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del Informe</w:t>
      </w:r>
    </w:p>
    <w:p>
      <w:pPr>
        <w:pStyle w:val="Heading1"/>
      </w:pPr>
      <w:r>
        <w:t>Distribución cruzada: nombre_propio_titular vs año_agrupado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7. Nombre propio en título</w:t>
            </w:r>
          </w:p>
        </w:tc>
        <w:tc>
          <w:tcPr>
            <w:tcW w:type="dxa" w:w="1234"/>
          </w:tcPr>
          <w:p>
            <w:r>
              <w:t>de 2017 a 2021</w:t>
            </w:r>
          </w:p>
        </w:tc>
        <w:tc>
          <w:tcPr>
            <w:tcW w:type="dxa" w:w="1234"/>
          </w:tcPr>
          <w:p>
            <w:r>
              <w:t>de 2017 a 2021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% col.</w:t>
            </w:r>
          </w:p>
        </w:tc>
        <w:tc>
          <w:tcPr>
            <w:tcW w:type="dxa" w:w="1234"/>
          </w:tcPr>
          <w:p>
            <w:r>
              <w:t>% fila</w:t>
            </w:r>
          </w:p>
        </w:tc>
        <w:tc>
          <w:tcPr>
            <w:tcW w:type="dxa" w:w="1234"/>
          </w:tcPr>
          <w:p>
            <w:r>
              <w:t>% col.</w:t>
            </w:r>
          </w:p>
        </w:tc>
        <w:tc>
          <w:tcPr>
            <w:tcW w:type="dxa" w:w="1234"/>
          </w:tcPr>
          <w:p>
            <w:r>
              <w:t>% fila</w:t>
            </w:r>
          </w:p>
        </w:tc>
        <w:tc>
          <w:tcPr>
            <w:tcW w:type="dxa" w:w="1234"/>
          </w:tcPr>
          <w:p>
            <w:r>
              <w:t>% col.</w:t>
            </w:r>
          </w:p>
        </w:tc>
        <w:tc>
          <w:tcPr>
            <w:tcW w:type="dxa" w:w="1234"/>
          </w:tcPr>
          <w:p>
            <w:r>
              <w:t>Frec.</w:t>
            </w:r>
          </w:p>
        </w:tc>
      </w:tr>
      <w:tr>
        <w:tc>
          <w:tcPr>
            <w:tcW w:type="dxa" w:w="1234"/>
          </w:tcPr>
          <w:p>
            <w:r>
              <w:t>Sí, mujer</w:t>
            </w:r>
          </w:p>
        </w:tc>
        <w:tc>
          <w:tcPr>
            <w:tcW w:type="dxa" w:w="1234"/>
          </w:tcPr>
          <w:p>
            <w:r>
              <w:t>46.41%</w:t>
            </w:r>
          </w:p>
        </w:tc>
        <w:tc>
          <w:tcPr>
            <w:tcW w:type="dxa" w:w="1234"/>
          </w:tcPr>
          <w:p>
            <w:r>
              <w:t>63.26%</w:t>
            </w:r>
          </w:p>
        </w:tc>
        <w:tc>
          <w:tcPr>
            <w:tcW w:type="dxa" w:w="1234"/>
          </w:tcPr>
          <w:p>
            <w:r>
              <w:t>37.36%</w:t>
            </w:r>
          </w:p>
        </w:tc>
        <w:tc>
          <w:tcPr>
            <w:tcW w:type="dxa" w:w="1234"/>
          </w:tcPr>
          <w:p>
            <w:r>
              <w:t>36.74%</w:t>
            </w:r>
          </w:p>
        </w:tc>
        <w:tc>
          <w:tcPr>
            <w:tcW w:type="dxa" w:w="1234"/>
          </w:tcPr>
          <w:p>
            <w:r>
              <w:t>42.61%</w:t>
            </w:r>
          </w:p>
        </w:tc>
        <w:tc>
          <w:tcPr>
            <w:tcW w:type="dxa" w:w="1234"/>
          </w:tcPr>
          <w:p>
            <w:r>
              <w:t>3032</w:t>
            </w:r>
          </w:p>
        </w:tc>
      </w:tr>
      <w:tr>
        <w:tc>
          <w:tcPr>
            <w:tcW w:type="dxa" w:w="1234"/>
          </w:tcPr>
          <w:p>
            <w:r>
              <w:t>Sí, mujer y hombre</w:t>
            </w:r>
          </w:p>
        </w:tc>
        <w:tc>
          <w:tcPr>
            <w:tcW w:type="dxa" w:w="1234"/>
          </w:tcPr>
          <w:p>
            <w:r>
              <w:t>9.97%</w:t>
            </w:r>
          </w:p>
        </w:tc>
        <w:tc>
          <w:tcPr>
            <w:tcW w:type="dxa" w:w="1234"/>
          </w:tcPr>
          <w:p>
            <w:r>
              <w:t>44.16%</w:t>
            </w:r>
          </w:p>
        </w:tc>
        <w:tc>
          <w:tcPr>
            <w:tcW w:type="dxa" w:w="1234"/>
          </w:tcPr>
          <w:p>
            <w:r>
              <w:t>17.47%</w:t>
            </w:r>
          </w:p>
        </w:tc>
        <w:tc>
          <w:tcPr>
            <w:tcW w:type="dxa" w:w="1234"/>
          </w:tcPr>
          <w:p>
            <w:r>
              <w:t>55.84%</w:t>
            </w:r>
          </w:p>
        </w:tc>
        <w:tc>
          <w:tcPr>
            <w:tcW w:type="dxa" w:w="1234"/>
          </w:tcPr>
          <w:p>
            <w:r>
              <w:t>13.11%</w:t>
            </w:r>
          </w:p>
        </w:tc>
        <w:tc>
          <w:tcPr>
            <w:tcW w:type="dxa" w:w="1234"/>
          </w:tcPr>
          <w:p>
            <w:r>
              <w:t>933</w:t>
            </w:r>
          </w:p>
        </w:tc>
      </w:tr>
      <w:tr>
        <w:tc>
          <w:tcPr>
            <w:tcW w:type="dxa" w:w="1234"/>
          </w:tcPr>
          <w:p>
            <w:r>
              <w:t>Sí, hombre</w:t>
            </w:r>
          </w:p>
        </w:tc>
        <w:tc>
          <w:tcPr>
            <w:tcW w:type="dxa" w:w="1234"/>
          </w:tcPr>
          <w:p>
            <w:r>
              <w:t>2.81%</w:t>
            </w:r>
          </w:p>
        </w:tc>
        <w:tc>
          <w:tcPr>
            <w:tcW w:type="dxa" w:w="1234"/>
          </w:tcPr>
          <w:p>
            <w:r>
              <w:t>38.93%</w:t>
            </w:r>
          </w:p>
        </w:tc>
        <w:tc>
          <w:tcPr>
            <w:tcW w:type="dxa" w:w="1234"/>
          </w:tcPr>
          <w:p>
            <w:r>
              <w:t>6.10%</w:t>
            </w:r>
          </w:p>
        </w:tc>
        <w:tc>
          <w:tcPr>
            <w:tcW w:type="dxa" w:w="1234"/>
          </w:tcPr>
          <w:p>
            <w:r>
              <w:t>61.07%</w:t>
            </w:r>
          </w:p>
        </w:tc>
        <w:tc>
          <w:tcPr>
            <w:tcW w:type="dxa" w:w="1234"/>
          </w:tcPr>
          <w:p>
            <w:r>
              <w:t>4.19%</w:t>
            </w:r>
          </w:p>
        </w:tc>
        <w:tc>
          <w:tcPr>
            <w:tcW w:type="dxa" w:w="1234"/>
          </w:tcPr>
          <w:p>
            <w:r>
              <w:t>298</w:t>
            </w:r>
          </w:p>
        </w:tc>
      </w:tr>
      <w:tr>
        <w:tc>
          <w:tcPr>
            <w:tcW w:type="dxa" w:w="1234"/>
          </w:tcPr>
          <w:p>
            <w:r>
              <w:t>Neutro: (Entidades, etc.)</w:t>
            </w:r>
          </w:p>
        </w:tc>
        <w:tc>
          <w:tcPr>
            <w:tcW w:type="dxa" w:w="1234"/>
          </w:tcPr>
          <w:p>
            <w:r>
              <w:t>0.46%</w:t>
            </w:r>
          </w:p>
        </w:tc>
        <w:tc>
          <w:tcPr>
            <w:tcW w:type="dxa" w:w="1234"/>
          </w:tcPr>
          <w:p>
            <w:r>
              <w:t>26.39%</w:t>
            </w:r>
          </w:p>
        </w:tc>
        <w:tc>
          <w:tcPr>
            <w:tcW w:type="dxa" w:w="1234"/>
          </w:tcPr>
          <w:p>
            <w:r>
              <w:t>1.78%</w:t>
            </w:r>
          </w:p>
        </w:tc>
        <w:tc>
          <w:tcPr>
            <w:tcW w:type="dxa" w:w="1234"/>
          </w:tcPr>
          <w:p>
            <w:r>
              <w:t>73.61%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No hay</w:t>
            </w:r>
          </w:p>
        </w:tc>
        <w:tc>
          <w:tcPr>
            <w:tcW w:type="dxa" w:w="1234"/>
          </w:tcPr>
          <w:p>
            <w:r>
              <w:t>40.36%</w:t>
            </w:r>
          </w:p>
        </w:tc>
        <w:tc>
          <w:tcPr>
            <w:tcW w:type="dxa" w:w="1234"/>
          </w:tcPr>
          <w:p>
            <w:r>
              <w:t>60.00%</w:t>
            </w:r>
          </w:p>
        </w:tc>
        <w:tc>
          <w:tcPr>
            <w:tcW w:type="dxa" w:w="1234"/>
          </w:tcPr>
          <w:p>
            <w:r>
              <w:t>37.29%</w:t>
            </w:r>
          </w:p>
        </w:tc>
        <w:tc>
          <w:tcPr>
            <w:tcW w:type="dxa" w:w="1234"/>
          </w:tcPr>
          <w:p>
            <w:r>
              <w:t>40.00%</w:t>
            </w:r>
          </w:p>
        </w:tc>
        <w:tc>
          <w:tcPr>
            <w:tcW w:type="dxa" w:w="1234"/>
          </w:tcPr>
          <w:p>
            <w:r>
              <w:t>39.07%</w:t>
            </w:r>
          </w:p>
        </w:tc>
        <w:tc>
          <w:tcPr>
            <w:tcW w:type="dxa" w:w="1234"/>
          </w:tcPr>
          <w:p>
            <w:r>
              <w:t>2780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58.09%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41.91%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7115</w:t>
            </w:r>
          </w:p>
        </w:tc>
      </w:tr>
    </w:tbl>
    <w:p/>
    <w:p>
      <w:pPr>
        <w:pStyle w:val="Heading2"/>
      </w:pPr>
      <w:r>
        <w:t>Análisis descriptivo (Autogenerado)</w:t>
      </w:r>
    </w:p>
    <w:p>
      <w:r>
        <w:t>El análisis de la tabla revela patrones distintivos en la mención de nombres propios en títulos, sugiriendo una evolución en las prácticas de nombramiento a lo largo del tiempo. Globalmente, la categoría "No hay" constituye el hallazgo más frecuente (39.07%), seguida de cerca por "Sí, mujer" (42.61%). No obstante, la comparación temporal entre el periodo 2017 a 2021 y el año 2024 muestra un cambio de tendencia significativo en la especificidad de los títulos.</w:t>
        <w:br/>
        <w:br/>
        <w:t>Este desplazamiento se manifiesta particularmente en las categorías de mención combinada de género y de nombres masculinos individuales. La proporción de títulos que incluyen nombres de "mujer y hombre" experimenta el aumento más notable, pasando de un 44.16% a un 55.84% de menciones dentro de esta categoría. De manera similar, el uso de nombres masculinos aislados también incrementa significativamente su peso relativo, pasando de un 38.93% a un 61.07%. Simultáneamente, se observa una reducción constante en la categoría "No hay", que disminuye su peso relativo del 60.00% (2017-2021) al 40.00% (2024). Estos datos sugieren una tendencia hacia la formalización y la precisión en la identificación de sujetos en los títulos analizados en 2024 en comparación con el periodo anterior.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