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C62BA" w14:textId="77777777" w:rsidR="005F17BC" w:rsidRDefault="005F17BC"/>
    <w:p w14:paraId="53BB8537" w14:textId="77777777" w:rsidR="00CD4B57" w:rsidRDefault="00CD4B57"/>
    <w:p w14:paraId="7F809CE1" w14:textId="77777777" w:rsidR="00CD4B57" w:rsidRDefault="00CD4B57"/>
    <w:p w14:paraId="5A7A68C0" w14:textId="77777777" w:rsidR="00CD4B57" w:rsidRDefault="00CD4B57"/>
    <w:p w14:paraId="0B1B4858" w14:textId="77777777" w:rsidR="00CD4B57" w:rsidRDefault="00CD4B57" w:rsidP="00CD4B57">
      <w:pPr>
        <w:spacing w:line="480" w:lineRule="auto"/>
        <w:jc w:val="center"/>
        <w:rPr>
          <w:rFonts w:ascii="Times New Roman" w:hAnsi="Times New Roman" w:cs="Times New Roman"/>
          <w:b/>
          <w:bCs/>
        </w:rPr>
      </w:pPr>
      <w:r w:rsidRPr="00CD4B57">
        <w:rPr>
          <w:rFonts w:ascii="Times New Roman" w:hAnsi="Times New Roman" w:cs="Times New Roman"/>
          <w:b/>
          <w:bCs/>
        </w:rPr>
        <w:t>Data Mining in Education: Summary and Abstract Analysis</w:t>
      </w:r>
    </w:p>
    <w:p w14:paraId="396E8A0D" w14:textId="6AD511DD" w:rsidR="00CD4B57" w:rsidRPr="00CD4B57" w:rsidRDefault="00CD4B57" w:rsidP="00CD4B57">
      <w:pPr>
        <w:spacing w:line="480" w:lineRule="auto"/>
        <w:jc w:val="center"/>
        <w:rPr>
          <w:rFonts w:ascii="Times New Roman" w:hAnsi="Times New Roman" w:cs="Times New Roman"/>
        </w:rPr>
      </w:pPr>
      <w:r w:rsidRPr="00CD4B57">
        <w:rPr>
          <w:rFonts w:ascii="Times New Roman" w:hAnsi="Times New Roman" w:cs="Times New Roman"/>
        </w:rPr>
        <w:t>Jesus Garcia</w:t>
      </w:r>
    </w:p>
    <w:p w14:paraId="60B2E079" w14:textId="77777777" w:rsidR="00CD4B57" w:rsidRPr="00CD4B57" w:rsidRDefault="00CD4B57" w:rsidP="00CD4B57">
      <w:pPr>
        <w:spacing w:line="480" w:lineRule="auto"/>
        <w:jc w:val="center"/>
        <w:rPr>
          <w:rFonts w:ascii="Times New Roman" w:hAnsi="Times New Roman" w:cs="Times New Roman"/>
        </w:rPr>
      </w:pPr>
      <w:r w:rsidRPr="00CD4B57">
        <w:rPr>
          <w:rFonts w:ascii="Times New Roman" w:hAnsi="Times New Roman" w:cs="Times New Roman"/>
        </w:rPr>
        <w:t>Computer Information Systems, Post University</w:t>
      </w:r>
    </w:p>
    <w:p w14:paraId="495A744C" w14:textId="77777777" w:rsidR="00CD4B57" w:rsidRPr="00CD4B57" w:rsidRDefault="00CD4B57" w:rsidP="00CD4B57">
      <w:pPr>
        <w:spacing w:line="480" w:lineRule="auto"/>
        <w:jc w:val="center"/>
        <w:rPr>
          <w:rFonts w:ascii="Times New Roman" w:hAnsi="Times New Roman" w:cs="Times New Roman"/>
        </w:rPr>
      </w:pPr>
      <w:r w:rsidRPr="00CD4B57">
        <w:rPr>
          <w:rFonts w:ascii="Times New Roman" w:hAnsi="Times New Roman" w:cs="Times New Roman"/>
        </w:rPr>
        <w:t>CIS311- Technical Writing in CIS</w:t>
      </w:r>
    </w:p>
    <w:p w14:paraId="2E2C687E" w14:textId="77777777" w:rsidR="00CD4B57" w:rsidRPr="00CD4B57" w:rsidRDefault="00CD4B57" w:rsidP="00CD4B57">
      <w:pPr>
        <w:spacing w:line="480" w:lineRule="auto"/>
        <w:jc w:val="center"/>
        <w:rPr>
          <w:rFonts w:ascii="Times New Roman" w:hAnsi="Times New Roman" w:cs="Times New Roman"/>
        </w:rPr>
      </w:pPr>
      <w:r w:rsidRPr="00CD4B57">
        <w:rPr>
          <w:rFonts w:ascii="Times New Roman" w:hAnsi="Times New Roman" w:cs="Times New Roman"/>
        </w:rPr>
        <w:t>Professor Unger</w:t>
      </w:r>
    </w:p>
    <w:p w14:paraId="78B17E4A" w14:textId="77777777" w:rsidR="00CD4B57" w:rsidRDefault="00CD4B57" w:rsidP="00CD4B57">
      <w:pPr>
        <w:spacing w:line="480" w:lineRule="auto"/>
        <w:jc w:val="center"/>
        <w:rPr>
          <w:rFonts w:ascii="Times New Roman" w:hAnsi="Times New Roman" w:cs="Times New Roman"/>
        </w:rPr>
      </w:pPr>
      <w:r w:rsidRPr="00CD4B57">
        <w:rPr>
          <w:rFonts w:ascii="Times New Roman" w:hAnsi="Times New Roman" w:cs="Times New Roman"/>
        </w:rPr>
        <w:t>March 29, 2026</w:t>
      </w:r>
    </w:p>
    <w:p w14:paraId="60B69B7B" w14:textId="77777777" w:rsidR="00CD4B57" w:rsidRDefault="00CD4B57" w:rsidP="00CD4B57">
      <w:pPr>
        <w:spacing w:line="480" w:lineRule="auto"/>
        <w:jc w:val="center"/>
        <w:rPr>
          <w:rFonts w:ascii="Times New Roman" w:hAnsi="Times New Roman" w:cs="Times New Roman"/>
        </w:rPr>
      </w:pPr>
    </w:p>
    <w:p w14:paraId="00053575" w14:textId="77777777" w:rsidR="00CD4B57" w:rsidRDefault="00CD4B57" w:rsidP="00CD4B57">
      <w:pPr>
        <w:spacing w:line="480" w:lineRule="auto"/>
        <w:jc w:val="center"/>
        <w:rPr>
          <w:rFonts w:ascii="Times New Roman" w:hAnsi="Times New Roman" w:cs="Times New Roman"/>
        </w:rPr>
      </w:pPr>
    </w:p>
    <w:p w14:paraId="59C2B3DF" w14:textId="77777777" w:rsidR="00CD4B57" w:rsidRDefault="00CD4B57" w:rsidP="00CD4B57">
      <w:pPr>
        <w:spacing w:line="480" w:lineRule="auto"/>
        <w:jc w:val="center"/>
        <w:rPr>
          <w:rFonts w:ascii="Times New Roman" w:hAnsi="Times New Roman" w:cs="Times New Roman"/>
        </w:rPr>
      </w:pPr>
    </w:p>
    <w:p w14:paraId="21417787" w14:textId="77777777" w:rsidR="00CD4B57" w:rsidRDefault="00CD4B57" w:rsidP="00CD4B57">
      <w:pPr>
        <w:spacing w:line="480" w:lineRule="auto"/>
        <w:jc w:val="center"/>
        <w:rPr>
          <w:rFonts w:ascii="Times New Roman" w:hAnsi="Times New Roman" w:cs="Times New Roman"/>
        </w:rPr>
      </w:pPr>
    </w:p>
    <w:p w14:paraId="184A0FD7" w14:textId="77777777" w:rsidR="00CD4B57" w:rsidRDefault="00CD4B57" w:rsidP="00CD4B57">
      <w:pPr>
        <w:spacing w:line="480" w:lineRule="auto"/>
        <w:jc w:val="center"/>
        <w:rPr>
          <w:rFonts w:ascii="Times New Roman" w:hAnsi="Times New Roman" w:cs="Times New Roman"/>
        </w:rPr>
      </w:pPr>
    </w:p>
    <w:p w14:paraId="14A0B68A" w14:textId="77777777" w:rsidR="00CD4B57" w:rsidRDefault="00CD4B57" w:rsidP="00CD4B57">
      <w:pPr>
        <w:spacing w:line="480" w:lineRule="auto"/>
        <w:jc w:val="center"/>
        <w:rPr>
          <w:rFonts w:ascii="Times New Roman" w:hAnsi="Times New Roman" w:cs="Times New Roman"/>
        </w:rPr>
      </w:pPr>
    </w:p>
    <w:p w14:paraId="0CAD5B8E" w14:textId="77777777" w:rsidR="00CD4B57" w:rsidRDefault="00CD4B57" w:rsidP="00CD4B57">
      <w:pPr>
        <w:spacing w:line="480" w:lineRule="auto"/>
        <w:jc w:val="center"/>
        <w:rPr>
          <w:rFonts w:ascii="Times New Roman" w:hAnsi="Times New Roman" w:cs="Times New Roman"/>
        </w:rPr>
      </w:pPr>
    </w:p>
    <w:p w14:paraId="57CF4FA8" w14:textId="77777777" w:rsidR="00CD4B57" w:rsidRDefault="00CD4B57" w:rsidP="00CD4B57">
      <w:pPr>
        <w:spacing w:line="480" w:lineRule="auto"/>
        <w:jc w:val="center"/>
        <w:rPr>
          <w:rFonts w:ascii="Times New Roman" w:hAnsi="Times New Roman" w:cs="Times New Roman"/>
        </w:rPr>
      </w:pPr>
    </w:p>
    <w:p w14:paraId="0BFD7D11" w14:textId="77777777" w:rsidR="00CD4B57" w:rsidRDefault="00CD4B57" w:rsidP="00CD4B57">
      <w:pPr>
        <w:spacing w:line="480" w:lineRule="auto"/>
        <w:jc w:val="center"/>
        <w:rPr>
          <w:rFonts w:ascii="Times New Roman" w:hAnsi="Times New Roman" w:cs="Times New Roman"/>
        </w:rPr>
      </w:pPr>
    </w:p>
    <w:p w14:paraId="07E3831E" w14:textId="77777777" w:rsidR="00CD4B57" w:rsidRDefault="00CD4B57" w:rsidP="00CD4B57">
      <w:pPr>
        <w:spacing w:line="480" w:lineRule="auto"/>
        <w:jc w:val="center"/>
        <w:rPr>
          <w:rFonts w:ascii="Times New Roman" w:hAnsi="Times New Roman" w:cs="Times New Roman"/>
        </w:rPr>
      </w:pPr>
    </w:p>
    <w:p w14:paraId="6275CCAF" w14:textId="39F86C6A" w:rsidR="00CD4B57" w:rsidRDefault="00CD4B57" w:rsidP="00CD4B57">
      <w:pPr>
        <w:spacing w:line="480" w:lineRule="auto"/>
        <w:jc w:val="center"/>
        <w:rPr>
          <w:rFonts w:ascii="Times New Roman" w:hAnsi="Times New Roman" w:cs="Times New Roman"/>
          <w:b/>
          <w:bCs/>
        </w:rPr>
      </w:pPr>
      <w:r w:rsidRPr="00CD4B57">
        <w:rPr>
          <w:rFonts w:ascii="Times New Roman" w:hAnsi="Times New Roman" w:cs="Times New Roman"/>
          <w:b/>
          <w:bCs/>
        </w:rPr>
        <w:lastRenderedPageBreak/>
        <w:t>Data Mining in Education: Summary and Abstract Analysis</w:t>
      </w:r>
    </w:p>
    <w:p w14:paraId="534FB71A" w14:textId="48292891" w:rsidR="00CD4B57" w:rsidRPr="00CD4B57" w:rsidRDefault="00CD4B57" w:rsidP="00CD4B57">
      <w:pPr>
        <w:spacing w:line="480" w:lineRule="auto"/>
        <w:jc w:val="center"/>
        <w:rPr>
          <w:rFonts w:ascii="Times New Roman" w:hAnsi="Times New Roman" w:cs="Times New Roman"/>
        </w:rPr>
      </w:pPr>
      <w:r w:rsidRPr="00CD4B57">
        <w:rPr>
          <w:rFonts w:ascii="Times New Roman" w:hAnsi="Times New Roman" w:cs="Times New Roman"/>
          <w:b/>
          <w:bCs/>
        </w:rPr>
        <w:t>Summary</w:t>
      </w:r>
    </w:p>
    <w:p w14:paraId="02BEEF24" w14:textId="6603F6DE" w:rsidR="00CD4B57" w:rsidRPr="00CD4B57" w:rsidRDefault="00CD4B57" w:rsidP="00CD4B57">
      <w:pPr>
        <w:spacing w:line="480" w:lineRule="auto"/>
        <w:ind w:firstLine="720"/>
        <w:rPr>
          <w:rFonts w:ascii="Times New Roman" w:hAnsi="Times New Roman" w:cs="Times New Roman"/>
        </w:rPr>
      </w:pPr>
      <w:r w:rsidRPr="00CD4B57">
        <w:rPr>
          <w:rFonts w:ascii="Times New Roman" w:hAnsi="Times New Roman" w:cs="Times New Roman"/>
        </w:rPr>
        <w:t xml:space="preserve">As higher education continues to grow, colleges and universities are looking for better ways to identify students who are falling behind before it is too late. Chen and Xu (2026) developed an </w:t>
      </w:r>
      <w:r>
        <w:rPr>
          <w:rFonts w:ascii="Times New Roman" w:hAnsi="Times New Roman" w:cs="Times New Roman"/>
        </w:rPr>
        <w:t xml:space="preserve">early-alert dynamic model that uses </w:t>
      </w:r>
      <w:proofErr w:type="gramStart"/>
      <w:r>
        <w:rPr>
          <w:rFonts w:ascii="Times New Roman" w:hAnsi="Times New Roman" w:cs="Times New Roman"/>
        </w:rPr>
        <w:t>educational big</w:t>
      </w:r>
      <w:proofErr w:type="gramEnd"/>
      <w:r>
        <w:rPr>
          <w:rFonts w:ascii="Times New Roman" w:hAnsi="Times New Roman" w:cs="Times New Roman"/>
        </w:rPr>
        <w:t xml:space="preserve"> data to identify</w:t>
      </w:r>
      <w:r w:rsidRPr="00CD4B57">
        <w:rPr>
          <w:rFonts w:ascii="Times New Roman" w:hAnsi="Times New Roman" w:cs="Times New Roman"/>
        </w:rPr>
        <w:t xml:space="preserve"> academically at-risk students and provide them with personalized support. The model is built around four layers: data collection, academic risk evaluation, early alerting, and pedagogical intervention. Each layer works together to monitor student progress and trigger appropriate responses based on </w:t>
      </w:r>
      <w:r>
        <w:rPr>
          <w:rFonts w:ascii="Times New Roman" w:hAnsi="Times New Roman" w:cs="Times New Roman"/>
        </w:rPr>
        <w:t>the data</w:t>
      </w:r>
      <w:r w:rsidRPr="00CD4B57">
        <w:rPr>
          <w:rFonts w:ascii="Times New Roman" w:hAnsi="Times New Roman" w:cs="Times New Roman"/>
        </w:rPr>
        <w:t>.</w:t>
      </w:r>
      <w:r>
        <w:rPr>
          <w:rFonts w:ascii="Times New Roman" w:hAnsi="Times New Roman" w:cs="Times New Roman"/>
        </w:rPr>
        <w:t xml:space="preserve"> </w:t>
      </w:r>
      <w:r w:rsidRPr="00CD4B57">
        <w:rPr>
          <w:rFonts w:ascii="Times New Roman" w:hAnsi="Times New Roman" w:cs="Times New Roman"/>
        </w:rPr>
        <w:t>To test the model, the researchers collected data from 500 college students across four universities in China. Six variables were found to significantly predict academic performance: academic motivation, perceived stress, academic burnout, interpersonal communication, assessment and evaluation, and intervention methods (Chen &amp; Xu, 2026). After running a binary logistic regression analysis, the model correctly identified at-risk students at an overall rate of 80.8%, which the authors considered strong evidence of the model's reliability.</w:t>
      </w:r>
      <w:r>
        <w:rPr>
          <w:rFonts w:ascii="Times New Roman" w:hAnsi="Times New Roman" w:cs="Times New Roman"/>
        </w:rPr>
        <w:t xml:space="preserve"> </w:t>
      </w:r>
      <w:r w:rsidRPr="00CD4B57">
        <w:rPr>
          <w:rFonts w:ascii="Times New Roman" w:hAnsi="Times New Roman" w:cs="Times New Roman"/>
        </w:rPr>
        <w:t xml:space="preserve">While the results were promising, Chen and Xu (2026) acknowledged that the model has limitations, including a small sample size and restricted generalizability. They also raised important ethical concerns about using student data, including </w:t>
      </w:r>
      <w:r>
        <w:rPr>
          <w:rFonts w:ascii="Times New Roman" w:hAnsi="Times New Roman" w:cs="Times New Roman"/>
        </w:rPr>
        <w:t>privacy issues, over-reliance on data-driven decision-making</w:t>
      </w:r>
      <w:r w:rsidRPr="00CD4B57">
        <w:rPr>
          <w:rFonts w:ascii="Times New Roman" w:hAnsi="Times New Roman" w:cs="Times New Roman"/>
        </w:rPr>
        <w:t xml:space="preserve">, and the risk of widening educational inequality. Overall, the study makes a strong case for </w:t>
      </w:r>
      <w:r>
        <w:rPr>
          <w:rFonts w:ascii="Times New Roman" w:hAnsi="Times New Roman" w:cs="Times New Roman"/>
        </w:rPr>
        <w:t>data mining in education while also stressing its responsible use</w:t>
      </w:r>
      <w:r w:rsidRPr="00CD4B57">
        <w:rPr>
          <w:rFonts w:ascii="Times New Roman" w:hAnsi="Times New Roman" w:cs="Times New Roman"/>
        </w:rPr>
        <w:t>.</w:t>
      </w:r>
    </w:p>
    <w:p w14:paraId="71E8EA0D" w14:textId="2BD36EAB" w:rsidR="00CD4B57" w:rsidRPr="00CD4B57" w:rsidRDefault="00CD4B57" w:rsidP="00CD4B57">
      <w:pPr>
        <w:spacing w:line="480" w:lineRule="auto"/>
        <w:jc w:val="center"/>
        <w:rPr>
          <w:rFonts w:ascii="Times New Roman" w:hAnsi="Times New Roman" w:cs="Times New Roman"/>
        </w:rPr>
      </w:pPr>
      <w:r w:rsidRPr="00CD4B57">
        <w:rPr>
          <w:rFonts w:ascii="Times New Roman" w:hAnsi="Times New Roman" w:cs="Times New Roman"/>
          <w:b/>
          <w:bCs/>
        </w:rPr>
        <w:t>Descriptive Abstract</w:t>
      </w:r>
    </w:p>
    <w:p w14:paraId="230F26A2" w14:textId="50D2C8F7" w:rsidR="00CD4B57" w:rsidRPr="00CD4B57" w:rsidRDefault="00CD4B57" w:rsidP="00CD4B57">
      <w:pPr>
        <w:spacing w:line="480" w:lineRule="auto"/>
        <w:ind w:firstLine="720"/>
        <w:rPr>
          <w:rFonts w:ascii="Times New Roman" w:hAnsi="Times New Roman" w:cs="Times New Roman"/>
        </w:rPr>
      </w:pPr>
      <w:r w:rsidRPr="00CD4B57">
        <w:rPr>
          <w:rFonts w:ascii="Times New Roman" w:hAnsi="Times New Roman" w:cs="Times New Roman"/>
        </w:rPr>
        <w:t xml:space="preserve">This article examines the development of an </w:t>
      </w:r>
      <w:r>
        <w:rPr>
          <w:rFonts w:ascii="Times New Roman" w:hAnsi="Times New Roman" w:cs="Times New Roman"/>
        </w:rPr>
        <w:t xml:space="preserve">early-alert dynamic model </w:t>
      </w:r>
      <w:r w:rsidRPr="00CD4B57">
        <w:rPr>
          <w:rFonts w:ascii="Times New Roman" w:hAnsi="Times New Roman" w:cs="Times New Roman"/>
        </w:rPr>
        <w:t xml:space="preserve">to identify academically at-risk students in higher education using </w:t>
      </w:r>
      <w:proofErr w:type="gramStart"/>
      <w:r w:rsidRPr="00CD4B57">
        <w:rPr>
          <w:rFonts w:ascii="Times New Roman" w:hAnsi="Times New Roman" w:cs="Times New Roman"/>
        </w:rPr>
        <w:t>educational big</w:t>
      </w:r>
      <w:proofErr w:type="gramEnd"/>
      <w:r w:rsidRPr="00CD4B57">
        <w:rPr>
          <w:rFonts w:ascii="Times New Roman" w:hAnsi="Times New Roman" w:cs="Times New Roman"/>
        </w:rPr>
        <w:t xml:space="preserve"> data. Chen and Xu (2026) </w:t>
      </w:r>
      <w:r w:rsidRPr="00CD4B57">
        <w:rPr>
          <w:rFonts w:ascii="Times New Roman" w:hAnsi="Times New Roman" w:cs="Times New Roman"/>
        </w:rPr>
        <w:lastRenderedPageBreak/>
        <w:t>explore how data mining and learning analytics can be used to collect, process, and analyze student data across multiple dimensions, including academic performance, learning behavior, and emotional engagement. The article reviews existing research on early alert systems and educational data mining, describes the structure and workflow of the proposed model, and outlines the process used to test its reliability and validity. The study also discusses practical and ethical considerations for applying big data technology in educational settings.</w:t>
      </w:r>
    </w:p>
    <w:p w14:paraId="1749D97D" w14:textId="340A234E" w:rsidR="00CD4B57" w:rsidRPr="00CD4B57" w:rsidRDefault="00CD4B57" w:rsidP="00CD4B57">
      <w:pPr>
        <w:spacing w:line="480" w:lineRule="auto"/>
        <w:jc w:val="center"/>
        <w:rPr>
          <w:rFonts w:ascii="Times New Roman" w:hAnsi="Times New Roman" w:cs="Times New Roman"/>
        </w:rPr>
      </w:pPr>
      <w:r w:rsidRPr="00CD4B57">
        <w:rPr>
          <w:rFonts w:ascii="Times New Roman" w:hAnsi="Times New Roman" w:cs="Times New Roman"/>
          <w:b/>
          <w:bCs/>
        </w:rPr>
        <w:t>Informative Abstract</w:t>
      </w:r>
    </w:p>
    <w:p w14:paraId="575193CA" w14:textId="638ED52B" w:rsidR="00CD4B57" w:rsidRPr="00CD4B57" w:rsidRDefault="00CD4B57" w:rsidP="00CD4B57">
      <w:pPr>
        <w:spacing w:line="480" w:lineRule="auto"/>
        <w:ind w:firstLine="720"/>
        <w:rPr>
          <w:rFonts w:ascii="Times New Roman" w:hAnsi="Times New Roman" w:cs="Times New Roman"/>
        </w:rPr>
      </w:pPr>
      <w:r w:rsidRPr="00CD4B57">
        <w:rPr>
          <w:rFonts w:ascii="Times New Roman" w:hAnsi="Times New Roman" w:cs="Times New Roman"/>
        </w:rPr>
        <w:t xml:space="preserve">Chen and Xu (2026) developed and empirically tested an </w:t>
      </w:r>
      <w:r>
        <w:rPr>
          <w:rFonts w:ascii="Times New Roman" w:hAnsi="Times New Roman" w:cs="Times New Roman"/>
        </w:rPr>
        <w:t>early-alert dynamic model to identify academically at-risk students using</w:t>
      </w:r>
      <w:r w:rsidRPr="00CD4B57">
        <w:rPr>
          <w:rFonts w:ascii="Times New Roman" w:hAnsi="Times New Roman" w:cs="Times New Roman"/>
        </w:rPr>
        <w:t xml:space="preserve"> </w:t>
      </w:r>
      <w:proofErr w:type="gramStart"/>
      <w:r w:rsidRPr="00CD4B57">
        <w:rPr>
          <w:rFonts w:ascii="Times New Roman" w:hAnsi="Times New Roman" w:cs="Times New Roman"/>
        </w:rPr>
        <w:t>educational big</w:t>
      </w:r>
      <w:proofErr w:type="gramEnd"/>
      <w:r w:rsidRPr="00CD4B57">
        <w:rPr>
          <w:rFonts w:ascii="Times New Roman" w:hAnsi="Times New Roman" w:cs="Times New Roman"/>
        </w:rPr>
        <w:t xml:space="preserve"> data. The model consists of four layers — data collection, risk evaluation, early alerting, and personalized intervention — and follows a structured four-stage workflow. The study involved 500 college students from four universities in Shandong Province, China. Using Pearson correlation and multiple linear regression analysis, six variables were identified as significant predictors of academic performance: academic motivation, perceived stress, academic burnout, interpersonal communication, assessment and evaluation, and intervention methods (Chen &amp; Xu, 2026). Binary logistic regression was then used to validate the model, producing an overall prediction success rate of 80.8%. Questionnaire reliability was confirmed with a Cronbach's alpha of 0.958, and confirmatory factor analysis supported the model's structural validity. The authors conclude that the model is effective at identifying at-risk students and delivering dynamic, personalized interventions. Limitations include a small sample size and limited generalizability, and the authors stress the need for responsible data use and stronger ethical guidelines in future applications.</w:t>
      </w:r>
    </w:p>
    <w:p w14:paraId="6F9F83AC" w14:textId="3A1A7DD5" w:rsidR="00CD4B57" w:rsidRPr="00CD4B57" w:rsidRDefault="00CD4B57" w:rsidP="00CD4B57">
      <w:pPr>
        <w:spacing w:line="480" w:lineRule="auto"/>
        <w:jc w:val="center"/>
        <w:rPr>
          <w:rFonts w:ascii="Times New Roman" w:hAnsi="Times New Roman" w:cs="Times New Roman"/>
        </w:rPr>
      </w:pPr>
      <w:r w:rsidRPr="00CD4B57">
        <w:rPr>
          <w:rFonts w:ascii="Times New Roman" w:hAnsi="Times New Roman" w:cs="Times New Roman"/>
          <w:b/>
          <w:bCs/>
        </w:rPr>
        <w:t>Reflection</w:t>
      </w:r>
    </w:p>
    <w:p w14:paraId="01FFBBD3" w14:textId="6C37A429" w:rsidR="00CD4B57" w:rsidRDefault="00CD4B57" w:rsidP="00CD4B57">
      <w:pPr>
        <w:spacing w:line="480" w:lineRule="auto"/>
        <w:ind w:firstLine="720"/>
        <w:rPr>
          <w:rFonts w:ascii="Times New Roman" w:hAnsi="Times New Roman" w:cs="Times New Roman"/>
        </w:rPr>
      </w:pPr>
      <w:r>
        <w:rPr>
          <w:rFonts w:ascii="Times New Roman" w:hAnsi="Times New Roman" w:cs="Times New Roman"/>
        </w:rPr>
        <w:lastRenderedPageBreak/>
        <w:t>Both descriptive and informative abstracts serve</w:t>
      </w:r>
      <w:r w:rsidRPr="00CD4B57">
        <w:rPr>
          <w:rFonts w:ascii="Times New Roman" w:hAnsi="Times New Roman" w:cs="Times New Roman"/>
        </w:rPr>
        <w:t xml:space="preserve"> a purpose, but they are useful in very different situations. A descriptive abstract </w:t>
      </w:r>
      <w:r>
        <w:rPr>
          <w:rFonts w:ascii="Times New Roman" w:hAnsi="Times New Roman" w:cs="Times New Roman"/>
        </w:rPr>
        <w:t>provides a general overview of an article's content without delving</w:t>
      </w:r>
      <w:r w:rsidRPr="00CD4B57">
        <w:rPr>
          <w:rFonts w:ascii="Times New Roman" w:hAnsi="Times New Roman" w:cs="Times New Roman"/>
        </w:rPr>
        <w:t xml:space="preserve"> into specific results or conclusions. This type is most useful when someone is </w:t>
      </w:r>
      <w:r>
        <w:rPr>
          <w:rFonts w:ascii="Times New Roman" w:hAnsi="Times New Roman" w:cs="Times New Roman"/>
        </w:rPr>
        <w:t>deciding</w:t>
      </w:r>
      <w:r w:rsidRPr="00CD4B57">
        <w:rPr>
          <w:rFonts w:ascii="Times New Roman" w:hAnsi="Times New Roman" w:cs="Times New Roman"/>
        </w:rPr>
        <w:t xml:space="preserve"> whether an article is worth reading, such as when browsing a database or reviewing a bibliography. In professional settings, it works well when the audience only needs a broad understanding of the topic before diving deeper.</w:t>
      </w:r>
      <w:r>
        <w:rPr>
          <w:rFonts w:ascii="Times New Roman" w:hAnsi="Times New Roman" w:cs="Times New Roman"/>
        </w:rPr>
        <w:t xml:space="preserve"> </w:t>
      </w:r>
      <w:r w:rsidRPr="00CD4B57">
        <w:rPr>
          <w:rFonts w:ascii="Times New Roman" w:hAnsi="Times New Roman" w:cs="Times New Roman"/>
        </w:rPr>
        <w:t xml:space="preserve">An informative abstract goes further by including the study's methods, findings, and conclusions. According to Kolin (2022), an informative abstract gives readers enough detail to understand the core of the research without having to read the full document. This makes it far more useful when the audience needs to make decisions based on research, compare multiple studies, or quickly understand </w:t>
      </w:r>
      <w:r>
        <w:rPr>
          <w:rFonts w:ascii="Times New Roman" w:hAnsi="Times New Roman" w:cs="Times New Roman"/>
        </w:rPr>
        <w:t>a report's conclusions</w:t>
      </w:r>
      <w:r w:rsidRPr="00CD4B57">
        <w:rPr>
          <w:rFonts w:ascii="Times New Roman" w:hAnsi="Times New Roman" w:cs="Times New Roman"/>
        </w:rPr>
        <w:t xml:space="preserve">. In technical and academic writing, an informative abstract is often essential because it saves time and helps readers </w:t>
      </w:r>
      <w:r>
        <w:rPr>
          <w:rFonts w:ascii="Times New Roman" w:hAnsi="Times New Roman" w:cs="Times New Roman"/>
        </w:rPr>
        <w:t>assess a source's relevance and quality</w:t>
      </w:r>
      <w:r w:rsidRPr="00CD4B57">
        <w:rPr>
          <w:rFonts w:ascii="Times New Roman" w:hAnsi="Times New Roman" w:cs="Times New Roman"/>
        </w:rPr>
        <w:t>.</w:t>
      </w:r>
      <w:r>
        <w:rPr>
          <w:rFonts w:ascii="Times New Roman" w:hAnsi="Times New Roman" w:cs="Times New Roman"/>
        </w:rPr>
        <w:t xml:space="preserve"> </w:t>
      </w:r>
      <w:r w:rsidRPr="00CD4B57">
        <w:rPr>
          <w:rFonts w:ascii="Times New Roman" w:hAnsi="Times New Roman" w:cs="Times New Roman"/>
        </w:rPr>
        <w:t>In terms of overall value, the informative abstract is more useful for decision-making because it communicates the full picture efficiently. The descriptive abstract is better suited for situations where revealing conclusions is premature or unnecessary. Of the two, the informative abstract was more difficult to write because it required breaking down complex statistical methods and presenting them clearly without losing accuracy or oversimplifying the findings.</w:t>
      </w:r>
    </w:p>
    <w:p w14:paraId="6BD2F4EC" w14:textId="77777777" w:rsidR="00CD4B57" w:rsidRDefault="00CD4B57" w:rsidP="00CD4B57">
      <w:pPr>
        <w:spacing w:line="480" w:lineRule="auto"/>
        <w:ind w:firstLine="720"/>
        <w:rPr>
          <w:rFonts w:ascii="Times New Roman" w:hAnsi="Times New Roman" w:cs="Times New Roman"/>
        </w:rPr>
      </w:pPr>
    </w:p>
    <w:p w14:paraId="1C5625F0" w14:textId="77777777" w:rsidR="00CD4B57" w:rsidRDefault="00CD4B57" w:rsidP="00CD4B57">
      <w:pPr>
        <w:spacing w:line="480" w:lineRule="auto"/>
        <w:ind w:firstLine="720"/>
        <w:rPr>
          <w:rFonts w:ascii="Times New Roman" w:hAnsi="Times New Roman" w:cs="Times New Roman"/>
        </w:rPr>
      </w:pPr>
    </w:p>
    <w:p w14:paraId="48486B87" w14:textId="77777777" w:rsidR="00CD4B57" w:rsidRDefault="00CD4B57" w:rsidP="00CD4B57">
      <w:pPr>
        <w:spacing w:line="480" w:lineRule="auto"/>
        <w:ind w:firstLine="720"/>
        <w:jc w:val="center"/>
        <w:rPr>
          <w:rFonts w:ascii="Times New Roman" w:hAnsi="Times New Roman" w:cs="Times New Roman"/>
          <w:b/>
          <w:bCs/>
        </w:rPr>
      </w:pPr>
    </w:p>
    <w:p w14:paraId="6BB29A86" w14:textId="77777777" w:rsidR="00CD4B57" w:rsidRDefault="00CD4B57" w:rsidP="00CD4B57">
      <w:pPr>
        <w:spacing w:line="480" w:lineRule="auto"/>
        <w:ind w:firstLine="720"/>
        <w:jc w:val="center"/>
        <w:rPr>
          <w:rFonts w:ascii="Times New Roman" w:hAnsi="Times New Roman" w:cs="Times New Roman"/>
          <w:b/>
          <w:bCs/>
        </w:rPr>
      </w:pPr>
    </w:p>
    <w:p w14:paraId="2AF07923" w14:textId="77777777" w:rsidR="00CD4B57" w:rsidRDefault="00CD4B57" w:rsidP="00CD4B57">
      <w:pPr>
        <w:spacing w:line="480" w:lineRule="auto"/>
        <w:ind w:firstLine="720"/>
        <w:jc w:val="center"/>
        <w:rPr>
          <w:rFonts w:ascii="Times New Roman" w:hAnsi="Times New Roman" w:cs="Times New Roman"/>
          <w:b/>
          <w:bCs/>
        </w:rPr>
      </w:pPr>
    </w:p>
    <w:p w14:paraId="29FE2F2E" w14:textId="3DDEE47E" w:rsidR="00CD4B57" w:rsidRDefault="00CD4B57" w:rsidP="00CD4B57">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References</w:t>
      </w:r>
    </w:p>
    <w:p w14:paraId="076C8C75" w14:textId="77777777" w:rsidR="00CD4B57" w:rsidRPr="00CD4B57" w:rsidRDefault="00CD4B57" w:rsidP="00CD4B57">
      <w:pPr>
        <w:spacing w:line="480" w:lineRule="auto"/>
        <w:ind w:left="720" w:hanging="720"/>
        <w:jc w:val="both"/>
        <w:rPr>
          <w:rFonts w:ascii="Times New Roman" w:hAnsi="Times New Roman" w:cs="Times New Roman"/>
        </w:rPr>
      </w:pPr>
      <w:r w:rsidRPr="00CD4B57">
        <w:rPr>
          <w:rFonts w:ascii="Times New Roman" w:hAnsi="Times New Roman" w:cs="Times New Roman"/>
        </w:rPr>
        <w:t xml:space="preserve">Chen, X., &amp; Xu, X. (2026). Mining </w:t>
      </w:r>
      <w:proofErr w:type="gramStart"/>
      <w:r w:rsidRPr="00CD4B57">
        <w:rPr>
          <w:rFonts w:ascii="Times New Roman" w:hAnsi="Times New Roman" w:cs="Times New Roman"/>
        </w:rPr>
        <w:t>educational big</w:t>
      </w:r>
      <w:proofErr w:type="gramEnd"/>
      <w:r w:rsidRPr="00CD4B57">
        <w:rPr>
          <w:rFonts w:ascii="Times New Roman" w:hAnsi="Times New Roman" w:cs="Times New Roman"/>
        </w:rPr>
        <w:t xml:space="preserve"> data to develop an early alert dynamic model of academically at-risk students: A proof of concept. </w:t>
      </w:r>
      <w:r w:rsidRPr="00CD4B57">
        <w:rPr>
          <w:rFonts w:ascii="Times New Roman" w:hAnsi="Times New Roman" w:cs="Times New Roman"/>
          <w:i/>
          <w:iCs/>
        </w:rPr>
        <w:t>Innovations in Education &amp; Teaching International</w:t>
      </w:r>
      <w:r w:rsidRPr="00CD4B57">
        <w:rPr>
          <w:rFonts w:ascii="Times New Roman" w:hAnsi="Times New Roman" w:cs="Times New Roman"/>
        </w:rPr>
        <w:t xml:space="preserve">, </w:t>
      </w:r>
      <w:r w:rsidRPr="00CD4B57">
        <w:rPr>
          <w:rFonts w:ascii="Times New Roman" w:hAnsi="Times New Roman" w:cs="Times New Roman"/>
          <w:i/>
          <w:iCs/>
        </w:rPr>
        <w:t>63</w:t>
      </w:r>
      <w:r w:rsidRPr="00CD4B57">
        <w:rPr>
          <w:rFonts w:ascii="Times New Roman" w:hAnsi="Times New Roman" w:cs="Times New Roman"/>
        </w:rPr>
        <w:t xml:space="preserve">(1), 26–38. </w:t>
      </w:r>
      <w:hyperlink r:id="rId6" w:history="1">
        <w:r w:rsidRPr="00CD4B57">
          <w:rPr>
            <w:rStyle w:val="Hyperlink"/>
            <w:rFonts w:ascii="Times New Roman" w:hAnsi="Times New Roman" w:cs="Times New Roman"/>
          </w:rPr>
          <w:t>https://doi.org/10.1080/14703297.2024.2396092</w:t>
        </w:r>
      </w:hyperlink>
    </w:p>
    <w:p w14:paraId="6A552072" w14:textId="77777777" w:rsidR="00CD4B57" w:rsidRPr="00CD4B57" w:rsidRDefault="00CD4B57" w:rsidP="00CD4B57">
      <w:pPr>
        <w:spacing w:line="480" w:lineRule="auto"/>
        <w:ind w:left="720" w:hanging="720"/>
        <w:jc w:val="both"/>
        <w:rPr>
          <w:rFonts w:ascii="Times New Roman" w:hAnsi="Times New Roman" w:cs="Times New Roman"/>
        </w:rPr>
      </w:pPr>
      <w:r w:rsidRPr="00CD4B57">
        <w:rPr>
          <w:rFonts w:ascii="Times New Roman" w:hAnsi="Times New Roman" w:cs="Times New Roman"/>
        </w:rPr>
        <w:t xml:space="preserve">Kolin, P. C. (2022). </w:t>
      </w:r>
      <w:r w:rsidRPr="00CD4B57">
        <w:rPr>
          <w:rFonts w:ascii="Times New Roman" w:hAnsi="Times New Roman" w:cs="Times New Roman"/>
          <w:i/>
          <w:iCs/>
        </w:rPr>
        <w:t>Successful writing at work</w:t>
      </w:r>
      <w:r w:rsidRPr="00CD4B57">
        <w:rPr>
          <w:rFonts w:ascii="Times New Roman" w:hAnsi="Times New Roman" w:cs="Times New Roman"/>
        </w:rPr>
        <w:t xml:space="preserve"> (12th ed.). Cengage.</w:t>
      </w:r>
    </w:p>
    <w:p w14:paraId="0F28E2AC" w14:textId="77777777" w:rsidR="00CD4B57" w:rsidRPr="00CD4B57" w:rsidRDefault="00CD4B57" w:rsidP="00CD4B57">
      <w:pPr>
        <w:spacing w:line="480" w:lineRule="auto"/>
        <w:ind w:firstLine="720"/>
        <w:rPr>
          <w:rFonts w:ascii="Times New Roman" w:hAnsi="Times New Roman" w:cs="Times New Roman"/>
        </w:rPr>
      </w:pPr>
    </w:p>
    <w:p w14:paraId="1A806E84" w14:textId="79ED9DFE" w:rsidR="00CD4B57" w:rsidRPr="00CD4B57" w:rsidRDefault="00CD4B57" w:rsidP="00CD4B57">
      <w:pPr>
        <w:spacing w:line="480" w:lineRule="auto"/>
        <w:rPr>
          <w:rFonts w:ascii="Times New Roman" w:hAnsi="Times New Roman" w:cs="Times New Roman"/>
        </w:rPr>
      </w:pPr>
    </w:p>
    <w:p w14:paraId="2B99D12C" w14:textId="77777777" w:rsidR="00CD4B57" w:rsidRDefault="00CD4B57" w:rsidP="00CD4B57">
      <w:pPr>
        <w:spacing w:line="480" w:lineRule="auto"/>
        <w:jc w:val="center"/>
      </w:pPr>
    </w:p>
    <w:sectPr w:rsidR="00CD4B5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8D811" w14:textId="77777777" w:rsidR="00654F84" w:rsidRDefault="00654F84" w:rsidP="00CD4B57">
      <w:pPr>
        <w:spacing w:after="0" w:line="240" w:lineRule="auto"/>
      </w:pPr>
      <w:r>
        <w:separator/>
      </w:r>
    </w:p>
  </w:endnote>
  <w:endnote w:type="continuationSeparator" w:id="0">
    <w:p w14:paraId="61C55FCF" w14:textId="77777777" w:rsidR="00654F84" w:rsidRDefault="00654F84" w:rsidP="00CD4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5E515" w14:textId="77777777" w:rsidR="00654F84" w:rsidRDefault="00654F84" w:rsidP="00CD4B57">
      <w:pPr>
        <w:spacing w:after="0" w:line="240" w:lineRule="auto"/>
      </w:pPr>
      <w:r>
        <w:separator/>
      </w:r>
    </w:p>
  </w:footnote>
  <w:footnote w:type="continuationSeparator" w:id="0">
    <w:p w14:paraId="1686E105" w14:textId="77777777" w:rsidR="00654F84" w:rsidRDefault="00654F84" w:rsidP="00CD4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228278"/>
      <w:docPartObj>
        <w:docPartGallery w:val="Page Numbers (Top of Page)"/>
        <w:docPartUnique/>
      </w:docPartObj>
    </w:sdtPr>
    <w:sdtEndPr>
      <w:rPr>
        <w:noProof/>
      </w:rPr>
    </w:sdtEndPr>
    <w:sdtContent>
      <w:p w14:paraId="30927B2F" w14:textId="6DE03A0C" w:rsidR="00CD4B57" w:rsidRDefault="00CD4B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1120CE" w14:textId="77777777" w:rsidR="00CD4B57" w:rsidRDefault="00CD4B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57"/>
    <w:rsid w:val="005442A8"/>
    <w:rsid w:val="005719FA"/>
    <w:rsid w:val="005F17BC"/>
    <w:rsid w:val="00654F84"/>
    <w:rsid w:val="00CD4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21B3"/>
  <w15:chartTrackingRefBased/>
  <w15:docId w15:val="{16D92F21-ABDD-4272-9AEF-653880883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B57"/>
    <w:rPr>
      <w:rFonts w:eastAsiaTheme="majorEastAsia" w:cstheme="majorBidi"/>
      <w:color w:val="272727" w:themeColor="text1" w:themeTint="D8"/>
    </w:rPr>
  </w:style>
  <w:style w:type="paragraph" w:styleId="Title">
    <w:name w:val="Title"/>
    <w:basedOn w:val="Normal"/>
    <w:next w:val="Normal"/>
    <w:link w:val="TitleChar"/>
    <w:uiPriority w:val="10"/>
    <w:qFormat/>
    <w:rsid w:val="00CD4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B57"/>
    <w:pPr>
      <w:spacing w:before="160"/>
      <w:jc w:val="center"/>
    </w:pPr>
    <w:rPr>
      <w:i/>
      <w:iCs/>
      <w:color w:val="404040" w:themeColor="text1" w:themeTint="BF"/>
    </w:rPr>
  </w:style>
  <w:style w:type="character" w:customStyle="1" w:styleId="QuoteChar">
    <w:name w:val="Quote Char"/>
    <w:basedOn w:val="DefaultParagraphFont"/>
    <w:link w:val="Quote"/>
    <w:uiPriority w:val="29"/>
    <w:rsid w:val="00CD4B57"/>
    <w:rPr>
      <w:i/>
      <w:iCs/>
      <w:color w:val="404040" w:themeColor="text1" w:themeTint="BF"/>
    </w:rPr>
  </w:style>
  <w:style w:type="paragraph" w:styleId="ListParagraph">
    <w:name w:val="List Paragraph"/>
    <w:basedOn w:val="Normal"/>
    <w:uiPriority w:val="34"/>
    <w:qFormat/>
    <w:rsid w:val="00CD4B57"/>
    <w:pPr>
      <w:ind w:left="720"/>
      <w:contextualSpacing/>
    </w:pPr>
  </w:style>
  <w:style w:type="character" w:styleId="IntenseEmphasis">
    <w:name w:val="Intense Emphasis"/>
    <w:basedOn w:val="DefaultParagraphFont"/>
    <w:uiPriority w:val="21"/>
    <w:qFormat/>
    <w:rsid w:val="00CD4B57"/>
    <w:rPr>
      <w:i/>
      <w:iCs/>
      <w:color w:val="0F4761" w:themeColor="accent1" w:themeShade="BF"/>
    </w:rPr>
  </w:style>
  <w:style w:type="paragraph" w:styleId="IntenseQuote">
    <w:name w:val="Intense Quote"/>
    <w:basedOn w:val="Normal"/>
    <w:next w:val="Normal"/>
    <w:link w:val="IntenseQuoteChar"/>
    <w:uiPriority w:val="30"/>
    <w:qFormat/>
    <w:rsid w:val="00CD4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B57"/>
    <w:rPr>
      <w:i/>
      <w:iCs/>
      <w:color w:val="0F4761" w:themeColor="accent1" w:themeShade="BF"/>
    </w:rPr>
  </w:style>
  <w:style w:type="character" w:styleId="IntenseReference">
    <w:name w:val="Intense Reference"/>
    <w:basedOn w:val="DefaultParagraphFont"/>
    <w:uiPriority w:val="32"/>
    <w:qFormat/>
    <w:rsid w:val="00CD4B57"/>
    <w:rPr>
      <w:b/>
      <w:bCs/>
      <w:smallCaps/>
      <w:color w:val="0F4761" w:themeColor="accent1" w:themeShade="BF"/>
      <w:spacing w:val="5"/>
    </w:rPr>
  </w:style>
  <w:style w:type="paragraph" w:styleId="Header">
    <w:name w:val="header"/>
    <w:basedOn w:val="Normal"/>
    <w:link w:val="HeaderChar"/>
    <w:uiPriority w:val="99"/>
    <w:unhideWhenUsed/>
    <w:rsid w:val="00CD4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B57"/>
  </w:style>
  <w:style w:type="paragraph" w:styleId="Footer">
    <w:name w:val="footer"/>
    <w:basedOn w:val="Normal"/>
    <w:link w:val="FooterChar"/>
    <w:uiPriority w:val="99"/>
    <w:unhideWhenUsed/>
    <w:rsid w:val="00CD4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B57"/>
  </w:style>
  <w:style w:type="character" w:styleId="Hyperlink">
    <w:name w:val="Hyperlink"/>
    <w:basedOn w:val="DefaultParagraphFont"/>
    <w:uiPriority w:val="99"/>
    <w:unhideWhenUsed/>
    <w:rsid w:val="00CD4B57"/>
    <w:rPr>
      <w:color w:val="467886" w:themeColor="hyperlink"/>
      <w:u w:val="single"/>
    </w:rPr>
  </w:style>
  <w:style w:type="character" w:styleId="UnresolvedMention">
    <w:name w:val="Unresolved Mention"/>
    <w:basedOn w:val="DefaultParagraphFont"/>
    <w:uiPriority w:val="99"/>
    <w:semiHidden/>
    <w:unhideWhenUsed/>
    <w:rsid w:val="00CD4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80/14703297.2024.2396092"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762</Words>
  <Characters>5117</Characters>
  <Application>Microsoft Office Word</Application>
  <DocSecurity>0</DocSecurity>
  <Lines>365</Lines>
  <Paragraphs>244</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Garcia</dc:creator>
  <cp:keywords/>
  <dc:description/>
  <cp:lastModifiedBy>Jesus Garcia</cp:lastModifiedBy>
  <cp:revision>1</cp:revision>
  <dcterms:created xsi:type="dcterms:W3CDTF">2026-03-29T07:03:00Z</dcterms:created>
  <dcterms:modified xsi:type="dcterms:W3CDTF">2026-03-29T07:12:00Z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4d87e719-42a9-4d7b-8a6b-1874e7c2f2da</vt:lpwstr>
  </property>
</Properties>
</file>