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F24D6" w14:textId="77777777" w:rsidR="00BC3C8E" w:rsidRDefault="00BC3C8E" w:rsidP="00BC3C8E">
      <w:pPr>
        <w:spacing w:after="120" w:line="480" w:lineRule="auto"/>
        <w:jc w:val="center"/>
        <w:rPr>
          <w:b/>
          <w:bCs/>
        </w:rPr>
      </w:pPr>
    </w:p>
    <w:p w14:paraId="69EE70B0" w14:textId="77777777" w:rsidR="00BC3C8E" w:rsidRDefault="00BC3C8E" w:rsidP="00BC3C8E">
      <w:pPr>
        <w:spacing w:after="120" w:line="480" w:lineRule="auto"/>
        <w:jc w:val="center"/>
        <w:rPr>
          <w:b/>
          <w:bCs/>
        </w:rPr>
      </w:pPr>
    </w:p>
    <w:p w14:paraId="12E28525" w14:textId="77777777" w:rsidR="00BC3C8E" w:rsidRDefault="00BC3C8E" w:rsidP="00BC3C8E">
      <w:pPr>
        <w:spacing w:after="120" w:line="480" w:lineRule="auto"/>
        <w:jc w:val="center"/>
        <w:rPr>
          <w:b/>
          <w:bCs/>
        </w:rPr>
      </w:pPr>
    </w:p>
    <w:p w14:paraId="7268EC85" w14:textId="77777777" w:rsidR="00BC3C8E" w:rsidRDefault="00BC3C8E" w:rsidP="00BC3C8E">
      <w:pPr>
        <w:spacing w:after="120" w:line="480" w:lineRule="auto"/>
        <w:jc w:val="center"/>
        <w:rPr>
          <w:b/>
          <w:bCs/>
        </w:rPr>
      </w:pPr>
    </w:p>
    <w:p w14:paraId="1F106402" w14:textId="171A98E9" w:rsidR="00BC3C8E" w:rsidRPr="00BC3C8E" w:rsidRDefault="00BC3C8E" w:rsidP="00BC3C8E">
      <w:pPr>
        <w:spacing w:after="120" w:line="480" w:lineRule="auto"/>
        <w:jc w:val="center"/>
        <w:rPr>
          <w:b/>
          <w:bCs/>
        </w:rPr>
      </w:pPr>
      <w:r w:rsidRPr="00BC3C8E">
        <w:rPr>
          <w:b/>
          <w:bCs/>
        </w:rPr>
        <w:t>Building Beyond the Bell: A Proposal for a Multiuse Community Campus</w:t>
      </w:r>
    </w:p>
    <w:p w14:paraId="369A9417" w14:textId="77777777" w:rsidR="00BC3C8E" w:rsidRDefault="00BC3C8E" w:rsidP="00BC3C8E">
      <w:pPr>
        <w:spacing w:after="120" w:line="480" w:lineRule="auto"/>
        <w:jc w:val="center"/>
      </w:pPr>
      <w:r>
        <w:t>Jesus Garcia</w:t>
      </w:r>
    </w:p>
    <w:p w14:paraId="63301510" w14:textId="77777777" w:rsidR="00BC3C8E" w:rsidRDefault="00BC3C8E" w:rsidP="00BC3C8E">
      <w:pPr>
        <w:spacing w:after="120" w:line="480" w:lineRule="auto"/>
        <w:jc w:val="center"/>
      </w:pPr>
      <w:r>
        <w:t>Computer Information Systems, Post University</w:t>
      </w:r>
    </w:p>
    <w:p w14:paraId="46A4F76E" w14:textId="77777777" w:rsidR="00BC3C8E" w:rsidRDefault="00BC3C8E" w:rsidP="00BC3C8E">
      <w:pPr>
        <w:spacing w:after="120" w:line="480" w:lineRule="auto"/>
        <w:jc w:val="center"/>
      </w:pPr>
      <w:r>
        <w:t>CIS311: Technical Writing in CIS</w:t>
      </w:r>
    </w:p>
    <w:p w14:paraId="2A2DE6C5" w14:textId="0C1B3776" w:rsidR="00BC3C8E" w:rsidRDefault="00BC3C8E" w:rsidP="00BC3C8E">
      <w:pPr>
        <w:spacing w:after="120" w:line="480" w:lineRule="auto"/>
        <w:jc w:val="center"/>
      </w:pPr>
      <w:r>
        <w:t>Professor Unger</w:t>
      </w:r>
    </w:p>
    <w:p w14:paraId="41B51106" w14:textId="0C9CB93B" w:rsidR="00BC3C8E" w:rsidRDefault="00BC3C8E" w:rsidP="00BC3C8E">
      <w:pPr>
        <w:spacing w:after="120" w:line="480" w:lineRule="auto"/>
        <w:jc w:val="center"/>
      </w:pPr>
      <w:r>
        <w:t xml:space="preserve">April </w:t>
      </w:r>
      <w:r>
        <w:t>19</w:t>
      </w:r>
      <w:r>
        <w:t>, 2026</w:t>
      </w:r>
    </w:p>
    <w:p w14:paraId="38983B99" w14:textId="77777777" w:rsidR="00BC3C8E" w:rsidRDefault="00BC3C8E" w:rsidP="00BC3C8E">
      <w:pPr>
        <w:spacing w:after="120" w:line="480" w:lineRule="auto"/>
        <w:jc w:val="center"/>
      </w:pPr>
    </w:p>
    <w:p w14:paraId="1D938C3B" w14:textId="77777777" w:rsidR="00BC3C8E" w:rsidRDefault="00BC3C8E" w:rsidP="00BC3C8E">
      <w:pPr>
        <w:spacing w:after="120" w:line="480" w:lineRule="auto"/>
        <w:jc w:val="center"/>
      </w:pPr>
    </w:p>
    <w:p w14:paraId="400166D3" w14:textId="77777777" w:rsidR="00BC3C8E" w:rsidRDefault="00BC3C8E" w:rsidP="00BC3C8E">
      <w:pPr>
        <w:spacing w:after="120" w:line="480" w:lineRule="auto"/>
        <w:jc w:val="center"/>
      </w:pPr>
    </w:p>
    <w:p w14:paraId="77FFBB9F" w14:textId="77777777" w:rsidR="00BC3C8E" w:rsidRDefault="00BC3C8E" w:rsidP="00BC3C8E">
      <w:pPr>
        <w:spacing w:after="120" w:line="480" w:lineRule="auto"/>
        <w:jc w:val="center"/>
      </w:pPr>
    </w:p>
    <w:p w14:paraId="79A06555" w14:textId="77777777" w:rsidR="00BC3C8E" w:rsidRDefault="00BC3C8E" w:rsidP="00BC3C8E">
      <w:pPr>
        <w:spacing w:after="120" w:line="480" w:lineRule="auto"/>
        <w:jc w:val="center"/>
      </w:pPr>
    </w:p>
    <w:p w14:paraId="09319661" w14:textId="77777777" w:rsidR="00BC3C8E" w:rsidRDefault="00BC3C8E" w:rsidP="00BC3C8E">
      <w:pPr>
        <w:spacing w:after="120" w:line="480" w:lineRule="auto"/>
        <w:jc w:val="center"/>
      </w:pPr>
    </w:p>
    <w:p w14:paraId="3B45FFCD" w14:textId="77777777" w:rsidR="00BC3C8E" w:rsidRDefault="00BC3C8E" w:rsidP="00BC3C8E">
      <w:pPr>
        <w:spacing w:after="120" w:line="480" w:lineRule="auto"/>
        <w:jc w:val="center"/>
      </w:pPr>
    </w:p>
    <w:p w14:paraId="69BCF0A3" w14:textId="77777777" w:rsidR="00BC3C8E" w:rsidRDefault="00BC3C8E" w:rsidP="00BC3C8E">
      <w:pPr>
        <w:spacing w:after="120" w:line="480" w:lineRule="auto"/>
        <w:jc w:val="center"/>
      </w:pPr>
    </w:p>
    <w:p w14:paraId="16ED94BF" w14:textId="77777777" w:rsidR="00BC3C8E" w:rsidRDefault="00BC3C8E" w:rsidP="00BC3C8E">
      <w:pPr>
        <w:spacing w:after="120" w:line="480" w:lineRule="auto"/>
        <w:jc w:val="center"/>
      </w:pPr>
    </w:p>
    <w:p w14:paraId="6021465E" w14:textId="646EC325" w:rsidR="00BC3C8E" w:rsidRPr="00BC3C8E" w:rsidRDefault="00BC3C8E" w:rsidP="00A25167">
      <w:pPr>
        <w:spacing w:after="120" w:line="480" w:lineRule="auto"/>
        <w:jc w:val="center"/>
      </w:pPr>
      <w:r w:rsidRPr="00BC3C8E">
        <w:rPr>
          <w:b/>
          <w:bCs/>
        </w:rPr>
        <w:lastRenderedPageBreak/>
        <w:t>Building Beyond the Bell: A Proposal for a Multiuse Community Campus</w:t>
      </w:r>
    </w:p>
    <w:p w14:paraId="49BDE74F" w14:textId="4B50C3FB" w:rsidR="00A25167" w:rsidRDefault="00BC3C8E" w:rsidP="00BC3C8E">
      <w:pPr>
        <w:spacing w:after="120" w:line="480" w:lineRule="auto"/>
      </w:pPr>
      <w:r w:rsidRPr="00BC3C8E">
        <w:t xml:space="preserve">TO: Dr. </w:t>
      </w:r>
      <w:r w:rsidR="00A25167">
        <w:t>Louis Unger</w:t>
      </w:r>
      <w:r w:rsidRPr="00BC3C8E">
        <w:t>, Superintendent</w:t>
      </w:r>
    </w:p>
    <w:p w14:paraId="1314E9D2" w14:textId="77777777" w:rsidR="00A25167" w:rsidRDefault="00BC3C8E" w:rsidP="00BC3C8E">
      <w:pPr>
        <w:spacing w:after="120" w:line="480" w:lineRule="auto"/>
      </w:pPr>
      <w:r w:rsidRPr="00BC3C8E">
        <w:t xml:space="preserve">FROM: Jesus Garcia, Facilities Planning Committee </w:t>
      </w:r>
    </w:p>
    <w:p w14:paraId="4C8EAF49" w14:textId="77777777" w:rsidR="00A25167" w:rsidRDefault="00BC3C8E" w:rsidP="00BC3C8E">
      <w:pPr>
        <w:spacing w:after="120" w:line="480" w:lineRule="auto"/>
      </w:pPr>
      <w:r w:rsidRPr="00BC3C8E">
        <w:t xml:space="preserve">DATE: April 19, 2026 </w:t>
      </w:r>
    </w:p>
    <w:p w14:paraId="38C1FEE4" w14:textId="245ADAF5" w:rsidR="00BC3C8E" w:rsidRPr="00BC3C8E" w:rsidRDefault="00BC3C8E" w:rsidP="00BC3C8E">
      <w:pPr>
        <w:spacing w:after="120" w:line="480" w:lineRule="auto"/>
      </w:pPr>
      <w:r w:rsidRPr="00BC3C8E">
        <w:t>SUBJECT: Proposal to Adopt a Multiuse Campus Design for Upcoming Construction</w:t>
      </w:r>
    </w:p>
    <w:p w14:paraId="055C54DC" w14:textId="77777777" w:rsidR="00BC3C8E" w:rsidRDefault="00BC3C8E" w:rsidP="00A25167">
      <w:pPr>
        <w:spacing w:after="120" w:line="480" w:lineRule="auto"/>
        <w:jc w:val="center"/>
        <w:rPr>
          <w:b/>
          <w:bCs/>
        </w:rPr>
      </w:pPr>
      <w:r w:rsidRPr="00BC3C8E">
        <w:rPr>
          <w:b/>
          <w:bCs/>
        </w:rPr>
        <w:t>Purpose</w:t>
      </w:r>
    </w:p>
    <w:p w14:paraId="60AA3536" w14:textId="0F35DE70" w:rsidR="00A25167" w:rsidRPr="00BC3C8E" w:rsidRDefault="00A25167" w:rsidP="00A25167">
      <w:pPr>
        <w:spacing w:after="120" w:line="480" w:lineRule="auto"/>
        <w:ind w:firstLine="720"/>
      </w:pPr>
      <w:r w:rsidRPr="00BC3C8E">
        <w:t xml:space="preserve">We propose that the district incorporate a </w:t>
      </w:r>
      <w:r>
        <w:t>multi-use</w:t>
      </w:r>
      <w:r w:rsidRPr="00BC3C8E">
        <w:t xml:space="preserve"> community campus model into the design of our upcoming school construction project. As enrollment continues to grow and community needs go unmet, this is the right moment to build a facility that works for everyone — not just students during school hours. Approving this plan will address both the district's space problem and the community's lack of accessible civic resources in a single, cost-effective investment.</w:t>
      </w:r>
    </w:p>
    <w:p w14:paraId="5ACBE484" w14:textId="2B88D309" w:rsidR="00BC3C8E" w:rsidRPr="00BC3C8E" w:rsidRDefault="00A25167" w:rsidP="00A25167">
      <w:pPr>
        <w:spacing w:after="120" w:line="480" w:lineRule="auto"/>
        <w:ind w:firstLine="720"/>
        <w:jc w:val="center"/>
        <w:rPr>
          <w:b/>
          <w:bCs/>
        </w:rPr>
      </w:pPr>
      <w:r>
        <w:rPr>
          <w:noProof/>
        </w:rPr>
        <w:pict w14:anchorId="02DFD963">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sidR="00BC3C8E" w:rsidRPr="00BC3C8E">
        <w:rPr>
          <w:b/>
          <w:bCs/>
        </w:rPr>
        <w:t>Problem</w:t>
      </w:r>
    </w:p>
    <w:p w14:paraId="3F8B0BDA" w14:textId="71F0096D" w:rsidR="00A25167" w:rsidRDefault="00BC3C8E" w:rsidP="00A25167">
      <w:pPr>
        <w:spacing w:after="120" w:line="480" w:lineRule="auto"/>
        <w:ind w:firstLine="720"/>
      </w:pPr>
      <w:r w:rsidRPr="00BC3C8E">
        <w:t>Our district is facing two interconnected problems that demand action now. First, enrollment has grown steadily over the past several years, pushing several campuses close to or beyond capacity. Second, the broader South Houston community lacks centrally located, accessible spaces for adult education, senior programming, health services, and cultural events — forcing residents to travel farther or go without.</w:t>
      </w:r>
      <w:r w:rsidR="00A25167">
        <w:t xml:space="preserve"> </w:t>
      </w:r>
      <w:r w:rsidRPr="00BC3C8E">
        <w:t>Neither problem is minor. On the facilities side, the district is already committed to new construction</w:t>
      </w:r>
      <w:r w:rsidR="00A25167">
        <w:t xml:space="preserve"> so that significant public funds will</w:t>
      </w:r>
      <w:r w:rsidRPr="00BC3C8E">
        <w:t xml:space="preserve"> be spent regardless. The question is whether those funds will produce a building used by a fraction of the community for part of the day, or one that serves the entire community all day. As Kolin (2022) notes, the average school is used "only a third of the day, three fourths of the year, by </w:t>
      </w:r>
      <w:r w:rsidRPr="00BC3C8E">
        <w:lastRenderedPageBreak/>
        <w:t>only a fifth of the population" (p. 458) — a poor return on a major public investment.</w:t>
      </w:r>
      <w:r w:rsidR="00A25167">
        <w:t xml:space="preserve"> </w:t>
      </w:r>
      <w:r w:rsidRPr="00BC3C8E">
        <w:t xml:space="preserve">On the community side, the </w:t>
      </w:r>
      <w:r w:rsidR="00A25167">
        <w:t>shortage of</w:t>
      </w:r>
      <w:r w:rsidRPr="00BC3C8E">
        <w:t xml:space="preserve"> civic space is </w:t>
      </w:r>
      <w:r w:rsidR="00A25167">
        <w:t>well-documented</w:t>
      </w:r>
      <w:r w:rsidRPr="00BC3C8E">
        <w:t xml:space="preserve">. According to the Learning Policy Institute, communities that lack co-located services — health care, adult education, family support — see lower </w:t>
      </w:r>
      <w:r w:rsidR="00A25167">
        <w:t xml:space="preserve">school engagement and fewer resources reaching </w:t>
      </w:r>
      <w:r w:rsidRPr="00BC3C8E">
        <w:t>students who need them most (Maier et al., 2017). In a district like ours, where a significant portion of families face economic barriers to accessing services, this is not a small concern.</w:t>
      </w:r>
      <w:r w:rsidR="00A25167">
        <w:t xml:space="preserve"> </w:t>
      </w:r>
      <w:r w:rsidRPr="00BC3C8E">
        <w:t xml:space="preserve">The combination of these two problems — an expensive construction commitment already underway and an underserved community surrounding it — creates both </w:t>
      </w:r>
      <w:proofErr w:type="gramStart"/>
      <w:r w:rsidRPr="00BC3C8E">
        <w:t>the urgency</w:t>
      </w:r>
      <w:proofErr w:type="gramEnd"/>
      <w:r w:rsidRPr="00BC3C8E">
        <w:t xml:space="preserve"> and the opportunity to act.</w:t>
      </w:r>
    </w:p>
    <w:p w14:paraId="238DE499" w14:textId="12180BD8" w:rsidR="00A25167" w:rsidRPr="00A25167" w:rsidRDefault="00A25167" w:rsidP="00A25167">
      <w:pPr>
        <w:spacing w:after="120" w:line="480" w:lineRule="auto"/>
        <w:ind w:firstLine="720"/>
        <w:jc w:val="center"/>
      </w:pPr>
      <w:r w:rsidRPr="00A25167">
        <w:rPr>
          <w:b/>
          <w:bCs/>
        </w:rPr>
        <w:t>Solution</w:t>
      </w:r>
    </w:p>
    <w:p w14:paraId="15878B04" w14:textId="18127993" w:rsidR="00A25167" w:rsidRPr="00A25167" w:rsidRDefault="00A25167" w:rsidP="00A25167">
      <w:pPr>
        <w:spacing w:after="120" w:line="480" w:lineRule="auto"/>
        <w:ind w:firstLine="720"/>
      </w:pPr>
      <w:r w:rsidRPr="00A25167">
        <w:t xml:space="preserve">We propose designing the new facility as a </w:t>
      </w:r>
      <w:r>
        <w:t>multi-use</w:t>
      </w:r>
      <w:r w:rsidRPr="00A25167">
        <w:t xml:space="preserve"> campus that integrates school and community functions into one shared space. This model is already working in districts with similar needs. Gaylord Community School in Michigan houses a high school alongside senior and day-care centers, adult education classrooms, a performing arts auditorium, a health care site, and bookable event space — all on one campus active from early morning until late evening (Kolin, 2022). The Big Lake School District in Minnesota combines all three school levels with a community theater, resource center, and athletic arena used extensively by residents (Kolin, 2022). Both campuses serve as what U.S. Secretary of Education Richard W. Riley called "anchors in the civic life of our nation" (as cited in Kolin, 2022, p. 458).</w:t>
      </w:r>
    </w:p>
    <w:p w14:paraId="0BECCC3B" w14:textId="77777777" w:rsidR="00A25167" w:rsidRPr="00A25167" w:rsidRDefault="00A25167" w:rsidP="00A25167">
      <w:pPr>
        <w:spacing w:after="120" w:line="480" w:lineRule="auto"/>
      </w:pPr>
      <w:r w:rsidRPr="00A25167">
        <w:t>Implementation would begin during the current design phase — the least expensive time to make these decisions. Specific steps include:</w:t>
      </w:r>
    </w:p>
    <w:p w14:paraId="1663BA9E" w14:textId="77777777" w:rsidR="00A25167" w:rsidRPr="00A25167" w:rsidRDefault="00A25167" w:rsidP="00A25167">
      <w:pPr>
        <w:numPr>
          <w:ilvl w:val="0"/>
          <w:numId w:val="2"/>
        </w:numPr>
        <w:spacing w:after="120" w:line="480" w:lineRule="auto"/>
      </w:pPr>
      <w:r w:rsidRPr="00A25167">
        <w:t>Forming a community advisory group to identify the highest-priority shared spaces</w:t>
      </w:r>
    </w:p>
    <w:p w14:paraId="0AFB084F" w14:textId="77777777" w:rsidR="00A25167" w:rsidRPr="00A25167" w:rsidRDefault="00A25167" w:rsidP="00A25167">
      <w:pPr>
        <w:numPr>
          <w:ilvl w:val="0"/>
          <w:numId w:val="2"/>
        </w:numPr>
        <w:spacing w:after="120" w:line="480" w:lineRule="auto"/>
      </w:pPr>
      <w:r w:rsidRPr="00A25167">
        <w:lastRenderedPageBreak/>
        <w:t>Working with the project architect to integrate community-accessible rooms and flexible meeting space into the building's layout</w:t>
      </w:r>
    </w:p>
    <w:p w14:paraId="5B7A680F" w14:textId="77777777" w:rsidR="00A25167" w:rsidRPr="00A25167" w:rsidRDefault="00A25167" w:rsidP="00A25167">
      <w:pPr>
        <w:numPr>
          <w:ilvl w:val="0"/>
          <w:numId w:val="2"/>
        </w:numPr>
        <w:spacing w:after="120" w:line="480" w:lineRule="auto"/>
      </w:pPr>
      <w:r w:rsidRPr="00A25167">
        <w:t>Establishing co-location agreements with partners like a local health clinic or continuing education provider who would share operating costs in exchange for dedicated space</w:t>
      </w:r>
    </w:p>
    <w:p w14:paraId="01F6EB7C" w14:textId="77777777" w:rsidR="00A25167" w:rsidRPr="00A25167" w:rsidRDefault="00A25167" w:rsidP="00A25167">
      <w:pPr>
        <w:spacing w:after="120" w:line="480" w:lineRule="auto"/>
        <w:jc w:val="center"/>
        <w:rPr>
          <w:b/>
          <w:bCs/>
        </w:rPr>
      </w:pPr>
      <w:r w:rsidRPr="00A25167">
        <w:rPr>
          <w:b/>
          <w:bCs/>
        </w:rPr>
        <w:t>Costs and Feasibility</w:t>
      </w:r>
    </w:p>
    <w:p w14:paraId="78B493F7" w14:textId="4F51B95C" w:rsidR="00A25167" w:rsidRPr="00A25167" w:rsidRDefault="00A25167" w:rsidP="00A25167">
      <w:pPr>
        <w:spacing w:after="120" w:line="480" w:lineRule="auto"/>
        <w:ind w:firstLine="720"/>
      </w:pPr>
      <w:r w:rsidRPr="00A25167">
        <w:t xml:space="preserve">Shared spaces reduce the </w:t>
      </w:r>
      <w:r>
        <w:t>district's per-square-foot operating cost burden, as</w:t>
      </w:r>
      <w:r w:rsidRPr="00A25167">
        <w:t xml:space="preserve"> partner organizations contribute to operating expenses. Rentable event space can generate supplemental revenue that offsets facility costs year over year (Kolin, 2022). Proceeding with a standard single-use building would require the community to fund a separate civic facility later at full cost</w:t>
      </w:r>
      <w:r>
        <w:t>,</w:t>
      </w:r>
      <w:r w:rsidRPr="00A25167">
        <w:t xml:space="preserve"> making the </w:t>
      </w:r>
      <w:r>
        <w:t>multi-use</w:t>
      </w:r>
      <w:r w:rsidRPr="00A25167">
        <w:t xml:space="preserve"> model the smarter financial decision </w:t>
      </w:r>
      <w:r>
        <w:t>once construction is underway</w:t>
      </w:r>
      <w:r w:rsidRPr="00A25167">
        <w:t>.</w:t>
      </w:r>
    </w:p>
    <w:p w14:paraId="6E44F3BC" w14:textId="77777777" w:rsidR="00BC3C8E" w:rsidRPr="00BC3C8E" w:rsidRDefault="00BC3C8E" w:rsidP="00A25167">
      <w:pPr>
        <w:spacing w:after="120" w:line="480" w:lineRule="auto"/>
        <w:jc w:val="center"/>
      </w:pPr>
      <w:r w:rsidRPr="00BC3C8E">
        <w:rPr>
          <w:b/>
          <w:bCs/>
        </w:rPr>
        <w:t>Conclusion</w:t>
      </w:r>
    </w:p>
    <w:p w14:paraId="664753CD" w14:textId="77777777" w:rsidR="00BC3C8E" w:rsidRDefault="00BC3C8E" w:rsidP="00A25167">
      <w:pPr>
        <w:spacing w:after="120" w:line="480" w:lineRule="auto"/>
        <w:ind w:firstLine="720"/>
      </w:pPr>
      <w:r w:rsidRPr="00BC3C8E">
        <w:t>The district is about to make a long-term investment in a building that will serve this community for decades. The problem — overcrowded schools and an underserved community — is ongoing and will not improve on its own. The multiuse campus model solves both issues at once, at the most cost-effective time possible, with a track record that proves it works. We strongly recommend that leadership authorize a community design committee to begin coordinating with the project architect immediately. We welcome the opportunity to discuss this plan further and are happy to answer any questions or address any concerns before a decision is made.</w:t>
      </w:r>
    </w:p>
    <w:p w14:paraId="6EDB045F" w14:textId="77777777" w:rsidR="00A25167" w:rsidRDefault="00A25167" w:rsidP="00A25167">
      <w:pPr>
        <w:spacing w:after="120" w:line="480" w:lineRule="auto"/>
        <w:ind w:firstLine="720"/>
      </w:pPr>
    </w:p>
    <w:p w14:paraId="3674D317" w14:textId="77777777" w:rsidR="00A25167" w:rsidRDefault="00A25167" w:rsidP="00A25167">
      <w:pPr>
        <w:spacing w:after="120" w:line="480" w:lineRule="auto"/>
        <w:ind w:firstLine="720"/>
      </w:pPr>
    </w:p>
    <w:p w14:paraId="22A8F5A0" w14:textId="77777777" w:rsidR="00A25167" w:rsidRDefault="00A25167" w:rsidP="00A25167">
      <w:pPr>
        <w:spacing w:after="120" w:line="480" w:lineRule="auto"/>
        <w:ind w:firstLine="720"/>
      </w:pPr>
    </w:p>
    <w:p w14:paraId="296BA793" w14:textId="66A9D9C8" w:rsidR="00A25167" w:rsidRDefault="00A25167" w:rsidP="00A25167">
      <w:pPr>
        <w:spacing w:after="120" w:line="480" w:lineRule="auto"/>
        <w:ind w:firstLine="720"/>
        <w:jc w:val="center"/>
        <w:rPr>
          <w:b/>
          <w:bCs/>
        </w:rPr>
      </w:pPr>
      <w:r>
        <w:rPr>
          <w:b/>
          <w:bCs/>
        </w:rPr>
        <w:lastRenderedPageBreak/>
        <w:t>References</w:t>
      </w:r>
    </w:p>
    <w:p w14:paraId="2DE8FF78" w14:textId="39046120" w:rsidR="00A25167" w:rsidRPr="00A25167" w:rsidRDefault="00A25167" w:rsidP="00A25167">
      <w:pPr>
        <w:spacing w:after="120" w:line="480" w:lineRule="auto"/>
        <w:ind w:left="720" w:hanging="720"/>
        <w:jc w:val="both"/>
      </w:pPr>
      <w:r w:rsidRPr="00A25167">
        <w:t xml:space="preserve">Kolin, P. C. (2022). Multiuse campuses: A plan that works. In </w:t>
      </w:r>
      <w:r w:rsidRPr="00A25167">
        <w:rPr>
          <w:i/>
          <w:iCs/>
        </w:rPr>
        <w:t xml:space="preserve">Successful </w:t>
      </w:r>
      <w:r w:rsidR="009C66B7">
        <w:rPr>
          <w:i/>
          <w:iCs/>
        </w:rPr>
        <w:t>Writing at Work</w:t>
      </w:r>
      <w:r w:rsidRPr="00A25167">
        <w:t xml:space="preserve"> (12th ed., p. 458). Cengage.</w:t>
      </w:r>
    </w:p>
    <w:p w14:paraId="5E9D74FC" w14:textId="77777777" w:rsidR="00A25167" w:rsidRPr="00A25167" w:rsidRDefault="00A25167" w:rsidP="00A25167">
      <w:pPr>
        <w:spacing w:after="120" w:line="480" w:lineRule="auto"/>
        <w:ind w:left="720" w:hanging="720"/>
        <w:jc w:val="both"/>
      </w:pPr>
      <w:r w:rsidRPr="00A25167">
        <w:t xml:space="preserve">Maier, A., Daniel, J., Oakes, J., &amp; Lam, L. (2017). </w:t>
      </w:r>
      <w:r w:rsidRPr="00A25167">
        <w:rPr>
          <w:i/>
          <w:iCs/>
        </w:rPr>
        <w:t>Community schools as an effective school improvement strategy: A review of the evidence</w:t>
      </w:r>
      <w:r w:rsidRPr="00A25167">
        <w:t>. Learning Policy Institute.</w:t>
      </w:r>
    </w:p>
    <w:p w14:paraId="421063C2" w14:textId="77777777" w:rsidR="00A25167" w:rsidRPr="00BC3C8E" w:rsidRDefault="00A25167" w:rsidP="00A25167">
      <w:pPr>
        <w:spacing w:after="120" w:line="480" w:lineRule="auto"/>
        <w:ind w:firstLine="720"/>
      </w:pPr>
    </w:p>
    <w:p w14:paraId="5D109136" w14:textId="5966DDE0" w:rsidR="00BC3C8E" w:rsidRDefault="00BC3C8E" w:rsidP="00BC3C8E">
      <w:pPr>
        <w:spacing w:after="120" w:line="480" w:lineRule="auto"/>
      </w:pPr>
    </w:p>
    <w:p w14:paraId="3E63AE9B" w14:textId="77777777" w:rsidR="00BC3C8E" w:rsidRDefault="00BC3C8E" w:rsidP="00BC3C8E">
      <w:pPr>
        <w:jc w:val="center"/>
      </w:pPr>
    </w:p>
    <w:sectPr w:rsidR="00BC3C8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FD8B4" w14:textId="77777777" w:rsidR="00DF2D01" w:rsidRDefault="00DF2D01" w:rsidP="00BC3C8E">
      <w:r>
        <w:separator/>
      </w:r>
    </w:p>
  </w:endnote>
  <w:endnote w:type="continuationSeparator" w:id="0">
    <w:p w14:paraId="394F54CC" w14:textId="77777777" w:rsidR="00DF2D01" w:rsidRDefault="00DF2D01" w:rsidP="00BC3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4167E" w14:textId="77777777" w:rsidR="00DF2D01" w:rsidRDefault="00DF2D01" w:rsidP="00BC3C8E">
      <w:r>
        <w:separator/>
      </w:r>
    </w:p>
  </w:footnote>
  <w:footnote w:type="continuationSeparator" w:id="0">
    <w:p w14:paraId="65523EE8" w14:textId="77777777" w:rsidR="00DF2D01" w:rsidRDefault="00DF2D01" w:rsidP="00BC3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015899"/>
      <w:docPartObj>
        <w:docPartGallery w:val="Page Numbers (Top of Page)"/>
        <w:docPartUnique/>
      </w:docPartObj>
    </w:sdtPr>
    <w:sdtEndPr>
      <w:rPr>
        <w:noProof/>
      </w:rPr>
    </w:sdtEndPr>
    <w:sdtContent>
      <w:p w14:paraId="2F672E59" w14:textId="0D653B06" w:rsidR="00BC3C8E" w:rsidRDefault="00BC3C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86CBF0" w14:textId="77777777" w:rsidR="00BC3C8E" w:rsidRDefault="00BC3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D60B1"/>
    <w:multiLevelType w:val="multilevel"/>
    <w:tmpl w:val="6258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65565"/>
    <w:multiLevelType w:val="multilevel"/>
    <w:tmpl w:val="782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678700">
    <w:abstractNumId w:val="1"/>
  </w:num>
  <w:num w:numId="2" w16cid:durableId="27297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8E"/>
    <w:rsid w:val="0029027B"/>
    <w:rsid w:val="005442A8"/>
    <w:rsid w:val="005F17BC"/>
    <w:rsid w:val="009C66B7"/>
    <w:rsid w:val="00A25167"/>
    <w:rsid w:val="00BC3C8E"/>
    <w:rsid w:val="00DF2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C088B2"/>
  <w15:chartTrackingRefBased/>
  <w15:docId w15:val="{BC803E28-D6C2-4EF8-971A-88062107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C8E"/>
    <w:pPr>
      <w:spacing w:after="0" w:line="24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BC3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C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C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C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C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C8E"/>
    <w:rPr>
      <w:rFonts w:eastAsiaTheme="majorEastAsia" w:cstheme="majorBidi"/>
      <w:color w:val="272727" w:themeColor="text1" w:themeTint="D8"/>
    </w:rPr>
  </w:style>
  <w:style w:type="paragraph" w:styleId="Title">
    <w:name w:val="Title"/>
    <w:basedOn w:val="Normal"/>
    <w:next w:val="Normal"/>
    <w:link w:val="TitleChar"/>
    <w:uiPriority w:val="10"/>
    <w:qFormat/>
    <w:rsid w:val="00BC3C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C8E"/>
    <w:pPr>
      <w:spacing w:before="160"/>
      <w:jc w:val="center"/>
    </w:pPr>
    <w:rPr>
      <w:i/>
      <w:iCs/>
      <w:color w:val="404040" w:themeColor="text1" w:themeTint="BF"/>
    </w:rPr>
  </w:style>
  <w:style w:type="character" w:customStyle="1" w:styleId="QuoteChar">
    <w:name w:val="Quote Char"/>
    <w:basedOn w:val="DefaultParagraphFont"/>
    <w:link w:val="Quote"/>
    <w:uiPriority w:val="29"/>
    <w:rsid w:val="00BC3C8E"/>
    <w:rPr>
      <w:i/>
      <w:iCs/>
      <w:color w:val="404040" w:themeColor="text1" w:themeTint="BF"/>
    </w:rPr>
  </w:style>
  <w:style w:type="paragraph" w:styleId="ListParagraph">
    <w:name w:val="List Paragraph"/>
    <w:basedOn w:val="Normal"/>
    <w:uiPriority w:val="34"/>
    <w:qFormat/>
    <w:rsid w:val="00BC3C8E"/>
    <w:pPr>
      <w:ind w:left="720"/>
      <w:contextualSpacing/>
    </w:pPr>
  </w:style>
  <w:style w:type="character" w:styleId="IntenseEmphasis">
    <w:name w:val="Intense Emphasis"/>
    <w:basedOn w:val="DefaultParagraphFont"/>
    <w:uiPriority w:val="21"/>
    <w:qFormat/>
    <w:rsid w:val="00BC3C8E"/>
    <w:rPr>
      <w:i/>
      <w:iCs/>
      <w:color w:val="0F4761" w:themeColor="accent1" w:themeShade="BF"/>
    </w:rPr>
  </w:style>
  <w:style w:type="paragraph" w:styleId="IntenseQuote">
    <w:name w:val="Intense Quote"/>
    <w:basedOn w:val="Normal"/>
    <w:next w:val="Normal"/>
    <w:link w:val="IntenseQuoteChar"/>
    <w:uiPriority w:val="30"/>
    <w:qFormat/>
    <w:rsid w:val="00BC3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C8E"/>
    <w:rPr>
      <w:i/>
      <w:iCs/>
      <w:color w:val="0F4761" w:themeColor="accent1" w:themeShade="BF"/>
    </w:rPr>
  </w:style>
  <w:style w:type="character" w:styleId="IntenseReference">
    <w:name w:val="Intense Reference"/>
    <w:basedOn w:val="DefaultParagraphFont"/>
    <w:uiPriority w:val="32"/>
    <w:qFormat/>
    <w:rsid w:val="00BC3C8E"/>
    <w:rPr>
      <w:b/>
      <w:bCs/>
      <w:smallCaps/>
      <w:color w:val="0F4761" w:themeColor="accent1" w:themeShade="BF"/>
      <w:spacing w:val="5"/>
    </w:rPr>
  </w:style>
  <w:style w:type="paragraph" w:styleId="Header">
    <w:name w:val="header"/>
    <w:basedOn w:val="Normal"/>
    <w:link w:val="HeaderChar"/>
    <w:uiPriority w:val="99"/>
    <w:unhideWhenUsed/>
    <w:rsid w:val="00BC3C8E"/>
    <w:pPr>
      <w:tabs>
        <w:tab w:val="center" w:pos="4680"/>
        <w:tab w:val="right" w:pos="9360"/>
      </w:tabs>
    </w:pPr>
  </w:style>
  <w:style w:type="character" w:customStyle="1" w:styleId="HeaderChar">
    <w:name w:val="Header Char"/>
    <w:basedOn w:val="DefaultParagraphFont"/>
    <w:link w:val="Header"/>
    <w:uiPriority w:val="99"/>
    <w:rsid w:val="00BC3C8E"/>
  </w:style>
  <w:style w:type="paragraph" w:styleId="Footer">
    <w:name w:val="footer"/>
    <w:basedOn w:val="Normal"/>
    <w:link w:val="FooterChar"/>
    <w:uiPriority w:val="99"/>
    <w:unhideWhenUsed/>
    <w:rsid w:val="00BC3C8E"/>
    <w:pPr>
      <w:tabs>
        <w:tab w:val="center" w:pos="4680"/>
        <w:tab w:val="right" w:pos="9360"/>
      </w:tabs>
    </w:pPr>
  </w:style>
  <w:style w:type="character" w:customStyle="1" w:styleId="FooterChar">
    <w:name w:val="Footer Char"/>
    <w:basedOn w:val="DefaultParagraphFont"/>
    <w:link w:val="Footer"/>
    <w:uiPriority w:val="99"/>
    <w:rsid w:val="00BC3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885</Words>
  <Characters>4429</Characters>
  <Application>Microsoft Office Word</Application>
  <DocSecurity>0</DocSecurity>
  <Lines>110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Garcia</dc:creator>
  <cp:keywords/>
  <dc:description/>
  <cp:lastModifiedBy>Jesus Garcia</cp:lastModifiedBy>
  <cp:revision>2</cp:revision>
  <dcterms:created xsi:type="dcterms:W3CDTF">2026-04-20T02:00:00Z</dcterms:created>
  <dcterms:modified xsi:type="dcterms:W3CDTF">2026-04-20T02:00:00Z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acd01ea9-1fa4-480b-ba57-395a2a24aec5</vt:lpwstr>
  </property>
</Properties>
</file>