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jc w:val="left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MedalVerse se base sur la blockchain pour décerner/délivrer ses récompenses sous forme de NFT.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Plusieurs types de NFT seront utilisés selon le type d'événement organisé.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paramètres sont proposés pour une meilleure adaptation à la compétition organisée. </w:t>
      </w:r>
    </w:p>
    <w:p w:rsidR="00000000" w:rsidDel="00000000" w:rsidP="00000000" w:rsidRDefault="00000000" w:rsidRPr="00000000" w14:paraId="00000006">
      <w:pPr>
        <w:ind w:hanging="566.9291338582677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firstLine="0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Types de récompense:</w:t>
      </w:r>
    </w:p>
    <w:p w:rsidR="00000000" w:rsidDel="00000000" w:rsidP="00000000" w:rsidRDefault="00000000" w:rsidRPr="00000000" w14:paraId="00000009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“Podium”: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850.3937007874017" w:hanging="150"/>
        <w:jc w:val="both"/>
        <w:rPr>
          <w:b w:val="1"/>
          <w:sz w:val="36"/>
          <w:szCs w:val="36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Médaille ou Trophée desservie en édition limitée, correspondant à une utilisation lors de la création d’un podium (ie: in nombre fini et limité de récompenses)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850.3937007874017" w:hanging="145.39370078740177"/>
        <w:jc w:val="both"/>
        <w:rPr>
          <w:b w:val="1"/>
          <w:sz w:val="36"/>
          <w:szCs w:val="36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 NFT utilise le standard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ERC1155</w:t>
        </w:r>
      </w:hyperlink>
      <w:r w:rsidDel="00000000" w:rsidR="00000000" w:rsidRPr="00000000">
        <w:rPr>
          <w:sz w:val="20"/>
          <w:szCs w:val="20"/>
          <w:rtl w:val="0"/>
        </w:rPr>
        <w:t xml:space="preserve"> pour Déployer 3 NFTs uniques ayant les raretés 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Argent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Bronze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Paramètre: </w:t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Possibilité pour l’organisateur de suspendre ou déchoir les médailles « Podium » à posteriori en fonction du résultat d’un contrôle anti-dopage.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Possibilité d’émettre une médaille en plusieurs exemplaires : par exemple, émission d’une copie de la médaille originale, qui sera vendue aux enchères avec un message de la part du/de la sporti.f.ve récompensée .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“Finisher”: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Médaille remise à tou.te.s les participant.e.s qui auront fini l’événement sportif (ex: course) ou pour toute condition souhaitée par l’organisateur .</w:t>
        <w:br w:type="textWrapping"/>
        <w:t xml:space="preserve">Utilisant le standard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ERC721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8"/>
          <w:szCs w:val="28"/>
          <w:u w:val="single"/>
          <w:rtl w:val="0"/>
        </w:rPr>
        <w:t xml:space="preserve">Paramètre:</w:t>
      </w:r>
      <w:r w:rsidDel="00000000" w:rsidR="00000000" w:rsidRPr="00000000">
        <w:rPr>
          <w:color w:val="0000ff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Créer directement les médailles « finisher » 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 médaille sera directement envoyée à l'adresse associé du/de la participant.e .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“Remise en jeu”:</w:t>
      </w:r>
    </w:p>
    <w:p w:rsidR="00000000" w:rsidDel="00000000" w:rsidP="00000000" w:rsidRDefault="00000000" w:rsidRPr="00000000" w14:paraId="00000016">
      <w:pPr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Trophée réservé aux récompenses récurrentes, adapté pour récompenser ponctuellement 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le/la meilleur.e joueu.r.se du mois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 événement de type coupe du monde, où la coupe est remise en jeu l’année suivante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Inspiré du fonctionnement des “smartNFT” pour faire évoluer le trophée en même temps que son histoire</w:t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NFT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conserve l’historique de ses attributions</w:t>
      </w:r>
      <w:r w:rsidDel="00000000" w:rsidR="00000000" w:rsidRPr="00000000">
        <w:rPr>
          <w:sz w:val="20"/>
          <w:szCs w:val="20"/>
          <w:rtl w:val="0"/>
        </w:rPr>
        <w:t xml:space="preserve">, et est complété à chaque nouvelle victoire.</w:t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Paramètre: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Possibilité de choisir ou non si le trophée peut être remporté sous certaines conditions.</w:t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Possibilité de faire évoluer le NFT pour suivre les vainqueurs dans le temps.</w:t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○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○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○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○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○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○.■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penzeppelin.com/contracts/3.x/erc1155" TargetMode="External"/><Relationship Id="rId7" Type="http://schemas.openxmlformats.org/officeDocument/2006/relationships/hyperlink" Target="https://docs.openzeppelin.com/contracts/3.x/erc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