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FinTrust Digital Bank</w:t>
      </w:r>
    </w:p>
    <w:p>
      <w:pPr>
        <w:spacing w:after="60"/>
        <w:jc w:val="center"/>
      </w:pPr>
      <w:r>
        <w:rPr>
          <w:b/>
          <w:bCs/>
          <w:sz w:val="26"/>
          <w:szCs w:val="26"/>
        </w:rPr>
        <w:t xml:space="preserve">Week 2 Business Findings</w:t>
      </w:r>
    </w:p>
    <w:p>
      <w:pPr>
        <w:spacing w:after="400"/>
        <w:jc w:val="center"/>
      </w:pPr>
      <w:r>
        <w:rPr>
          <w:color w:val="555555"/>
          <w:sz w:val="20"/>
          <w:szCs w:val="20"/>
        </w:rPr>
        <w:t xml:space="preserve">Track: Data Analytics  |  Author: Yawa Jacqueline GBEDEVI  |  AnalystLab Africa</w:t>
      </w:r>
    </w:p>
    <w:p>
      <w:pPr>
        <w:spacing w:after="150"/>
      </w:pPr>
      <w:r>
        <w:t xml:space="preserve">This document presents five meaningful business findings drawn from the SQL analysis (Part B) and the Python exploratory data analysis (Part C) performed on the FinTrust customer and transaction data. Each finding is presented with its supporting evidence and its business meaning, following the Finding → Evidence → Business Meaning structure required for Week 2.</w:t>
      </w:r>
    </w:p>
    <w:p>
      <w:pPr>
        <w:pStyle w:val="Heading2"/>
        <w:spacing w:after="100" w:before="200"/>
      </w:pPr>
      <w:r>
        <w:t xml:space="preserve">Finding 1: Premium customers do not have the highest average transaction value</w:t>
      </w:r>
    </w:p>
    <w:p>
      <w:pPr>
        <w:spacing w:after="80"/>
      </w:pPr>
      <w:r>
        <w:rPr>
          <w:b/>
          <w:bCs/>
        </w:rPr>
        <w:t xml:space="preserve">Evidence: </w:t>
      </w:r>
      <w:r>
        <w:t xml:space="preserve">Average transaction value by customer segment: SME 49,115.69 NGN, Student 46,953.20 NGN, Everyday 46,325.11 NGN, Premium 45,637.95 NGN (lowest of the four segments). Digital engagement scores follow a similar pattern, with Premium also the lowest (66.71 vs 68.37 for Everyday).</w:t>
      </w:r>
    </w:p>
    <w:p>
      <w:pPr>
        <w:spacing w:after="200"/>
      </w:pPr>
      <w:r>
        <w:rPr>
          <w:b/>
          <w:bCs/>
        </w:rPr>
        <w:t xml:space="preserve">Business Meaning: </w:t>
      </w:r>
      <w:r>
        <w:t xml:space="preserve">This challenges an assumption that might otherwise be made about the Premium segment. It suggests FinTrust's current Premium product features may not be well aligned with how these customers actually transact and engage digitally. This is worth investigating further: either the segment definition needs revisiting, or Premium customers are being under-served relative to their label.</w:t>
      </w:r>
    </w:p>
    <w:p>
      <w:pPr>
        <w:pStyle w:val="Heading2"/>
        <w:spacing w:after="100" w:before="200"/>
      </w:pPr>
      <w:r>
        <w:t xml:space="preserve">Finding 2: The Mobile App is both FinTrust's most valuable channel and its least reliable one</w:t>
      </w:r>
    </w:p>
    <w:p>
      <w:pPr>
        <w:spacing w:after="80"/>
      </w:pPr>
      <w:r>
        <w:rPr>
          <w:b/>
          <w:bCs/>
        </w:rPr>
        <w:t xml:space="preserve">Evidence: </w:t>
      </w:r>
      <w:r>
        <w:t xml:space="preserve">Mobile App accounts for the highest total transaction value (240.1M NGN) and the highest transaction count (5,102) of all channels, but also has the highest failure rate among channels (5.8%, compared to 4.2% for ATM, the most reliable channel).</w:t>
      </w:r>
    </w:p>
    <w:p>
      <w:pPr>
        <w:spacing w:after="200"/>
      </w:pPr>
      <w:r>
        <w:rPr>
          <w:b/>
          <w:bCs/>
        </w:rPr>
        <w:t xml:space="preserve">Business Meaning: </w:t>
      </w:r>
      <w:r>
        <w:t xml:space="preserve">Because Mobile App carries the most volume and value, even a moderate failure rate translates into the largest absolute number of affected customers and transactions. Improving Mobile App reliability is likely FinTrust's highest-leverage investment: it protects the channel that matters most to the business while directly reducing customer friction for the largest customer base.</w:t>
      </w:r>
    </w:p>
    <w:p>
      <w:pPr>
        <w:pStyle w:val="Heading2"/>
        <w:spacing w:after="100" w:before="200"/>
      </w:pPr>
      <w:r>
        <w:t xml:space="preserve">Finding 3: Two transaction types account for more than half of all activity</w:t>
      </w:r>
    </w:p>
    <w:p>
      <w:pPr>
        <w:spacing w:after="80"/>
      </w:pPr>
      <w:r>
        <w:rPr>
          <w:b/>
          <w:bCs/>
        </w:rPr>
        <w:t xml:space="preserve">Evidence: </w:t>
      </w:r>
      <w:r>
        <w:t xml:space="preserve">Transfer (29.6% of all transactions) and Card Purchase (25.3%) together make up 54.9% of transaction volume, while the remaining four types (Bill Payment, Cash Withdrawal, Deposit, Airtime/Data) each represent under 13%.</w:t>
      </w:r>
    </w:p>
    <w:p>
      <w:pPr>
        <w:spacing w:after="200"/>
      </w:pPr>
      <w:r>
        <w:rPr>
          <w:b/>
          <w:bCs/>
        </w:rPr>
        <w:t xml:space="preserve">Business Meaning: </w:t>
      </w:r>
      <w:r>
        <w:t xml:space="preserve">Product and engineering priorities should follow usage concentration. Any improvement, new feature, or reliability fix applied to Transfers or Card Purchases reaches the majority of FinTrust's customer activity, making these two flows the natural starting point for future development effort.</w:t>
      </w:r>
    </w:p>
    <w:p>
      <w:pPr>
        <w:pStyle w:val="Heading2"/>
        <w:spacing w:after="100" w:before="200"/>
      </w:pPr>
      <w:r>
        <w:t xml:space="preserve">Finding 4: Risk-review flagging follows a coherent, explainable pattern</w:t>
      </w:r>
    </w:p>
    <w:p>
      <w:pPr>
        <w:spacing w:after="80"/>
      </w:pPr>
      <w:r>
        <w:rPr>
          <w:b/>
          <w:bCs/>
        </w:rPr>
        <w:t xml:space="preserve">Evidence: </w:t>
      </w:r>
      <w:r>
        <w:t xml:space="preserve">Transactions flagged for review nearly double for international transactions (36.9%) compared to domestic ones (18.9%), and nearly double again for high-value transactions above the statistical outlier threshold of 117,922.86 NGN (32.2%) compared to lower amounts (17-18%).</w:t>
      </w:r>
    </w:p>
    <w:p>
      <w:pPr>
        <w:spacing w:after="200"/>
      </w:pPr>
      <w:r>
        <w:rPr>
          <w:b/>
          <w:bCs/>
        </w:rPr>
        <w:t xml:space="preserve">Business Meaning: </w:t>
      </w:r>
      <w:r>
        <w:t xml:space="preserve">Even though Risk_Review_Flag is a synthetic educational label, the pattern it follows mirrors realistic risk factors used in real banking (cross-border activity, unusually large amounts). This is a positive signal that the synthetic dataset behaves in a business-plausible way, and it points to two concrete factors (international status, amount) that any future real risk-scoring approach should treat as primary inputs.</w:t>
      </w:r>
    </w:p>
    <w:p>
      <w:pPr>
        <w:pStyle w:val="Heading2"/>
        <w:spacing w:after="100" w:before="200"/>
      </w:pPr>
      <w:r>
        <w:t xml:space="preserve">Finding 5: Transaction amounts are heavily concentrated at the low end, with a long high-value tail</w:t>
      </w:r>
    </w:p>
    <w:p>
      <w:pPr>
        <w:spacing w:after="80"/>
      </w:pPr>
      <w:r>
        <w:rPr>
          <w:b/>
          <w:bCs/>
        </w:rPr>
        <w:t xml:space="preserve">Evidence: </w:t>
      </w:r>
      <w:r>
        <w:t xml:space="preserve">The interquartile range analysis shows Q1 at 2,192.22 NGN and Q3 at 48,484.48 NGN, but the maximum transaction reaches 693,454.45 NGN. 1,474 transactions (12.3% of all transactions) fall above the statistical outlier threshold of 117,922.86 NGN.</w:t>
      </w:r>
    </w:p>
    <w:p>
      <w:pPr>
        <w:spacing w:after="200"/>
      </w:pPr>
      <w:r>
        <w:rPr>
          <w:b/>
          <w:bCs/>
        </w:rPr>
        <w:t xml:space="preserve">Business Meaning: </w:t>
      </w:r>
      <w:r>
        <w:t xml:space="preserve">Reporting on 'average transaction value' alone can be misleading given this skew: a relatively small number of high-value transactions pulls the average upward while most customers transact for modest amounts. FinTrust's dashboards and KPI reporting should present both the average and a measure of spread (or a breakdown by amount band), and the high-value segment deserves separate monitoring given its association with risk-review flags.</w:t>
      </w:r>
    </w:p>
    <w:p>
      <w:pPr>
        <w:pStyle w:val="Heading1"/>
        <w:spacing w:after="150" w:before="300"/>
      </w:pPr>
      <w:r>
        <w:t xml:space="preserve">Note on data limitations</w:t>
      </w:r>
    </w:p>
    <w:p>
      <w:pPr>
        <w:spacing w:after="150"/>
      </w:pPr>
      <w:r>
        <w:t xml:space="preserve">These findings are based on a synthetic dataset created for educational purposes. Risk_Review_Flag does not represent a real fraud or banking risk decision and should not be interpreted as such. The findings above are intended to demonstrate analytical reasoning and should not be used to make real financial or business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2026-09-27T22:24:38.931Z</dcterms:created>
  <dcterms:modified xsi:type="dcterms:W3CDTF">2026-09-27T22:24:38.940Z</dcterms:modified>
</cp:coreProperties>
</file>

<file path=docProps/custom.xml><?xml version="1.0" encoding="utf-8"?>
<Properties xmlns="http://schemas.openxmlformats.org/officeDocument/2006/custom-properties" xmlns:vt="http://schemas.openxmlformats.org/officeDocument/2006/docPropsVTypes"/>
</file>