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FinTrust Digital Bank</w:t>
      </w:r>
    </w:p>
    <w:p>
      <w:pPr>
        <w:spacing w:after="60"/>
        <w:jc w:val="center"/>
      </w:pPr>
      <w:r>
        <w:rPr>
          <w:b/>
          <w:bCs/>
          <w:sz w:val="26"/>
          <w:szCs w:val="26"/>
        </w:rPr>
        <w:t xml:space="preserve">Week 2 Documentation</w:t>
      </w:r>
    </w:p>
    <w:p>
      <w:pPr>
        <w:spacing w:after="400"/>
        <w:jc w:val="center"/>
      </w:pPr>
      <w:r>
        <w:rPr>
          <w:color w:val="555555"/>
          <w:sz w:val="20"/>
          <w:szCs w:val="20"/>
        </w:rPr>
        <w:t xml:space="preserve">Track: Data Analytics  |  Author: Yawa Jacqueline GBEDEVI  |  AnalystLab Africa</w:t>
      </w:r>
    </w:p>
    <w:p>
      <w:pPr>
        <w:pStyle w:val="Heading1"/>
        <w:spacing w:after="150" w:before="300"/>
      </w:pPr>
      <w:r>
        <w:t xml:space="preserve">1. Application of the Week 1 Plan</w:t>
      </w:r>
    </w:p>
    <w:p>
      <w:pPr>
        <w:pStyle w:val="Heading2"/>
        <w:spacing w:after="100" w:before="200"/>
      </w:pPr>
      <w:r>
        <w:t xml:space="preserve">1.1 What was originally planned for Week 2</w:t>
      </w:r>
    </w:p>
    <w:p>
      <w:pPr>
        <w:spacing w:after="150"/>
      </w:pPr>
      <w:r>
        <w:t xml:space="preserve">The Week 1 plan committed to three things for Week 2: clean the data by fixing the missing values already identified (96 missing Device_Type and 96 missing Location values in the transaction file), carry out the analysis using Python and SQL, and start building the Power BI dashboard. It also planned to share early findings on flagged transactions with the Data Science track.</w:t>
      </w:r>
    </w:p>
    <w:p>
      <w:pPr>
        <w:pStyle w:val="Heading2"/>
        <w:spacing w:after="100" w:before="200"/>
      </w:pPr>
      <w:r>
        <w:t xml:space="preserve">1.2 What was actually implemented</w:t>
      </w:r>
    </w:p>
    <w:p>
      <w:pPr>
        <w:pStyle w:val="ListParagraph"/>
        <w:numPr>
          <w:ilvl w:val="0"/>
          <w:numId w:val="1"/>
        </w:numPr>
        <w:spacing w:after="60"/>
      </w:pPr>
      <w:r>
        <w:t xml:space="preserve">Data cleaning: the 188 affected transaction rows were cleaned in Excel by replacing missing Device_Type and Location values with "Not Provided", documented in a Data Cleaning Log, and summarised in a Data Quality Report (PDF/Word).</w:t>
      </w:r>
    </w:p>
    <w:p>
      <w:pPr>
        <w:pStyle w:val="ListParagraph"/>
        <w:numPr>
          <w:ilvl w:val="0"/>
          <w:numId w:val="1"/>
        </w:numPr>
        <w:spacing w:after="60"/>
      </w:pPr>
      <w:r>
        <w:t xml:space="preserve">SQL analysis: 8 business questions were answered using DuckDB, covering customer behaviour, transaction activity, transaction value, transaction type, channel, status, customer segments, and risk-review patterns, saved as FinTrust_Week2_SQL_Analysis.sql.</w:t>
      </w:r>
    </w:p>
    <w:p>
      <w:pPr>
        <w:pStyle w:val="ListParagraph"/>
        <w:numPr>
          <w:ilvl w:val="0"/>
          <w:numId w:val="1"/>
        </w:numPr>
        <w:spacing w:after="60"/>
      </w:pPr>
      <w:r>
        <w:t xml:space="preserve">Python EDA: a Jupyter notebook (FinTrust_Week2_Data_Analysis.ipynb) was built with 6 executed visualizations covering transaction types, amount distribution, channel value, status/failure rate, international risk-review patterns, and segment behaviour.</w:t>
      </w:r>
    </w:p>
    <w:p>
      <w:pPr>
        <w:pStyle w:val="ListParagraph"/>
        <w:numPr>
          <w:ilvl w:val="0"/>
          <w:numId w:val="1"/>
        </w:numPr>
        <w:spacing w:after="60"/>
      </w:pPr>
      <w:r>
        <w:t xml:space="preserve">Power BI dashboard: in progress. KPI cards, category charts, a monthly trend, and filters have been built; layout and formatting are being refined.</w:t>
      </w:r>
    </w:p>
    <w:p>
      <w:pPr>
        <w:pStyle w:val="ListParagraph"/>
        <w:numPr>
          <w:ilvl w:val="0"/>
          <w:numId w:val="1"/>
        </w:numPr>
        <w:spacing w:after="60"/>
      </w:pPr>
      <w:r>
        <w:t xml:space="preserve">Business findings: 5 findings were documented (Finding → Evidence → Business Meaning) covering the Premium segment, the Mobile App channel, transaction type concentration, risk-review patterns, and the amount distribution.</w:t>
      </w:r>
    </w:p>
    <w:p>
      <w:pPr>
        <w:pStyle w:val="Heading2"/>
        <w:spacing w:after="100" w:before="200"/>
      </w:pPr>
      <w:r>
        <w:t xml:space="preserve">1.3 What changed from the original plan, and why</w:t>
      </w:r>
    </w:p>
    <w:p>
      <w:pPr>
        <w:pStyle w:val="ListParagraph"/>
        <w:numPr>
          <w:ilvl w:val="0"/>
          <w:numId w:val="1"/>
        </w:numPr>
        <w:spacing w:after="60"/>
      </w:pPr>
      <w:r>
        <w:t xml:space="preserve">KPI set: the Week 1 plan proposed 8 custom KPIs (transactions per month, total value, failed rate, risk-flagged rate, most used channel, average active customer, segment breakdown, dormant account rate). For Week 2, the 6 KPIs suggested directly in the Week 2 assignment brief were used instead (Total Customers, Total Transactions, Total Transaction Value, Average Transaction Value, Transaction Success Rate, Risk Review Rate), to align closely with the grading expectations. Several of the originally planned metrics (most used channel, segment breakdown) were kept, but as dashboard breakdown charts rather than standalone KPI cards.</w:t>
      </w:r>
    </w:p>
    <w:p>
      <w:pPr>
        <w:pStyle w:val="ListParagraph"/>
        <w:numPr>
          <w:ilvl w:val="0"/>
          <w:numId w:val="1"/>
        </w:numPr>
        <w:spacing w:after="60"/>
      </w:pPr>
      <w:r>
        <w:t xml:space="preserve">Analytical questions: the 6 questions planned in Week 1 were reformulated into 8 SQL-answerable business questions to meet the Week 2 minimum of 8, while keeping the same underlying themes (segment behaviour, channel usage, risk patterns, dormant accounts).</w:t>
      </w:r>
    </w:p>
    <w:p>
      <w:pPr>
        <w:pStyle w:val="ListParagraph"/>
        <w:numPr>
          <w:ilvl w:val="0"/>
          <w:numId w:val="1"/>
        </w:numPr>
        <w:spacing w:after="60"/>
      </w:pPr>
      <w:r>
        <w:t xml:space="preserve">New limitation discovered: the Week 1 risk register anticipated missing values as the main data risk. During Week 2, a separate and unanticipated technical issue emerged: numeric and date columns were read as text when loading the data into the SQL tool, due to locale-specific formatting (French decimal comma, non-standard date format). This was not a data quality defect but an export/import compatibility issue, resolved by reformatting columns in Excel and specifying explicit formats during SQL loading (see section 3).</w:t>
      </w:r>
    </w:p>
    <w:p>
      <w:pPr>
        <w:pStyle w:val="Heading1"/>
        <w:spacing w:after="150" w:before="300"/>
      </w:pPr>
      <w:r>
        <w:t xml:space="preserve">2. Use of Approved Project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500"/>
        <w:gridCol w:w="1960"/>
      </w:tblGrid>
      <w:tr>
        <w:trPr>
          <w:tblHeader/>
        </w:trPr>
        <w:tc>
          <w:tcPr>
            <w:tcW w:type="dxa" w:w="2200"/>
            <w:shd w:fill="1F3864" w:val="clear"/>
          </w:tcPr>
          <w:p>
            <w:r>
              <w:rPr>
                <w:b/>
                <w:bCs/>
                <w:color w:val="FFFFFF"/>
                <w:sz w:val="20"/>
                <w:szCs w:val="20"/>
              </w:rPr>
              <w:t xml:space="preserve">Resource</w:t>
            </w:r>
          </w:p>
        </w:tc>
        <w:tc>
          <w:tcPr>
            <w:tcW w:type="dxa" w:w="2700"/>
            <w:shd w:fill="1F3864" w:val="clear"/>
          </w:tcPr>
          <w:p>
            <w:r>
              <w:rPr>
                <w:b/>
                <w:bCs/>
                <w:color w:val="FFFFFF"/>
                <w:sz w:val="20"/>
                <w:szCs w:val="20"/>
              </w:rPr>
              <w:t xml:space="preserve">How it was used</w:t>
            </w:r>
          </w:p>
        </w:tc>
        <w:tc>
          <w:tcPr>
            <w:tcW w:type="dxa" w:w="2500"/>
            <w:shd w:fill="1F3864" w:val="clear"/>
          </w:tcPr>
          <w:p>
            <w:r>
              <w:rPr>
                <w:b/>
                <w:bCs/>
                <w:color w:val="FFFFFF"/>
                <w:sz w:val="20"/>
                <w:szCs w:val="20"/>
              </w:rPr>
              <w:t xml:space="preserve">Information it provided</w:t>
            </w:r>
          </w:p>
        </w:tc>
        <w:tc>
          <w:tcPr>
            <w:tcW w:type="dxa" w:w="1960"/>
            <w:shd w:fill="1F3864" w:val="clear"/>
          </w:tcPr>
          <w:p>
            <w:r>
              <w:rPr>
                <w:b/>
                <w:bCs/>
                <w:color w:val="FFFFFF"/>
                <w:sz w:val="20"/>
                <w:szCs w:val="20"/>
              </w:rPr>
              <w:t xml:space="preserve">Limitations encountered</w:t>
            </w:r>
          </w:p>
        </w:tc>
      </w:tr>
      <w:tr>
        <w:tc>
          <w:tcPr>
            <w:tcW w:type="dxa" w:w="2200"/>
          </w:tcPr>
          <w:p>
            <w:r>
              <w:rPr>
                <w:sz w:val="20"/>
                <w:szCs w:val="20"/>
              </w:rPr>
              <w:t xml:space="preserve">FinTrust_Customer_Data</w:t>
            </w:r>
          </w:p>
        </w:tc>
        <w:tc>
          <w:tcPr>
            <w:tcW w:type="dxa" w:w="2700"/>
          </w:tcPr>
          <w:p>
            <w:r>
              <w:rPr>
                <w:sz w:val="20"/>
                <w:szCs w:val="20"/>
              </w:rPr>
              <w:t xml:space="preserve">Quality-checked in Excel; loaded into DuckDB and pandas for SQL/Python analysis; will be loaded into Power BI</w:t>
            </w:r>
          </w:p>
        </w:tc>
        <w:tc>
          <w:tcPr>
            <w:tcW w:type="dxa" w:w="2500"/>
          </w:tcPr>
          <w:p>
            <w:r>
              <w:rPr>
                <w:sz w:val="20"/>
                <w:szCs w:val="20"/>
              </w:rPr>
              <w:t xml:space="preserve">Customer segment, tenure, digital engagement, income band, preferred channel for 1,500 customers</w:t>
            </w:r>
          </w:p>
        </w:tc>
        <w:tc>
          <w:tcPr>
            <w:tcW w:type="dxa" w:w="1960"/>
          </w:tcPr>
          <w:p>
            <w:r>
              <w:rPr>
                <w:sz w:val="20"/>
                <w:szCs w:val="20"/>
              </w:rPr>
              <w:t xml:space="preserve">None beyond what Week 1 identified (no missing values)</w:t>
            </w:r>
          </w:p>
        </w:tc>
      </w:tr>
      <w:tr>
        <w:tc>
          <w:tcPr>
            <w:tcW w:type="dxa" w:w="2200"/>
          </w:tcPr>
          <w:p>
            <w:r>
              <w:rPr>
                <w:sz w:val="20"/>
                <w:szCs w:val="20"/>
              </w:rPr>
              <w:t xml:space="preserve">FinTrust_Transaction_Data</w:t>
            </w:r>
          </w:p>
        </w:tc>
        <w:tc>
          <w:tcPr>
            <w:tcW w:type="dxa" w:w="2700"/>
          </w:tcPr>
          <w:p>
            <w:r>
              <w:rPr>
                <w:sz w:val="20"/>
                <w:szCs w:val="20"/>
              </w:rPr>
              <w:t xml:space="preserve">Quality-checked and cleaned in Excel; loaded into DuckDB and pandas; will be loaded into Power BI</w:t>
            </w:r>
          </w:p>
        </w:tc>
        <w:tc>
          <w:tcPr>
            <w:tcW w:type="dxa" w:w="2500"/>
          </w:tcPr>
          <w:p>
            <w:r>
              <w:rPr>
                <w:sz w:val="20"/>
                <w:szCs w:val="20"/>
              </w:rPr>
              <w:t xml:space="preserve">12,000 transactions with type, amount, channel, status and risk-review flag, Jan-Mar 2026</w:t>
            </w:r>
          </w:p>
        </w:tc>
        <w:tc>
          <w:tcPr>
            <w:tcW w:type="dxa" w:w="1960"/>
          </w:tcPr>
          <w:p>
            <w:r>
              <w:rPr>
                <w:sz w:val="20"/>
                <w:szCs w:val="20"/>
              </w:rPr>
              <w:t xml:space="preserve">96+96 missing Device_Type/Location (cleaned); numeric/date columns needed reformatting for SQL loading (new, see section 3)</w:t>
            </w:r>
          </w:p>
        </w:tc>
      </w:tr>
      <w:tr>
        <w:tc>
          <w:tcPr>
            <w:tcW w:type="dxa" w:w="2200"/>
          </w:tcPr>
          <w:p>
            <w:r>
              <w:rPr>
                <w:sz w:val="20"/>
                <w:szCs w:val="20"/>
              </w:rPr>
              <w:t xml:space="preserve">FinTrust_Data_Dictionary</w:t>
            </w:r>
          </w:p>
        </w:tc>
        <w:tc>
          <w:tcPr>
            <w:tcW w:type="dxa" w:w="2700"/>
          </w:tcPr>
          <w:p>
            <w:r>
              <w:rPr>
                <w:sz w:val="20"/>
                <w:szCs w:val="20"/>
              </w:rPr>
              <w:t xml:space="preserve">Used to confirm field meanings before writing SQL and Python code</w:t>
            </w:r>
          </w:p>
        </w:tc>
        <w:tc>
          <w:tcPr>
            <w:tcW w:type="dxa" w:w="2500"/>
          </w:tcPr>
          <w:p>
            <w:r>
              <w:rPr>
                <w:sz w:val="20"/>
                <w:szCs w:val="20"/>
              </w:rPr>
              <w:t xml:space="preserve">Official definitions for customer table fields</w:t>
            </w:r>
          </w:p>
        </w:tc>
        <w:tc>
          <w:tcPr>
            <w:tcW w:type="dxa" w:w="1960"/>
          </w:tcPr>
          <w:p>
            <w:r>
              <w:rPr>
                <w:sz w:val="20"/>
                <w:szCs w:val="20"/>
              </w:rPr>
              <w:t xml:space="preserve">Does not cover the transaction table, as already noted in Week 1</w:t>
            </w:r>
          </w:p>
        </w:tc>
      </w:tr>
    </w:tbl>
    <w:p>
      <w:pPr>
        <w:pStyle w:val="Heading1"/>
        <w:spacing w:after="150" w:before="300"/>
      </w:pPr>
      <w:r>
        <w:t xml:space="preserve">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val="clear"/>
          </w:tcPr>
          <w:p>
            <w:r>
              <w:rPr>
                <w:b/>
                <w:bCs/>
                <w:color w:val="FFFFFF"/>
                <w:sz w:val="20"/>
                <w:szCs w:val="20"/>
              </w:rPr>
              <w:t xml:space="preserve">Tool</w:t>
            </w:r>
          </w:p>
        </w:tc>
        <w:tc>
          <w:tcPr>
            <w:tcW w:type="dxa" w:w="5360"/>
            <w:shd w:fill="1F3864" w:val="clear"/>
          </w:tcPr>
          <w:p>
            <w:r>
              <w:rPr>
                <w:b/>
                <w:bCs/>
                <w:color w:val="FFFFFF"/>
                <w:sz w:val="20"/>
                <w:szCs w:val="20"/>
              </w:rPr>
              <w:t xml:space="preserve">Purpose in Week 2</w:t>
            </w:r>
          </w:p>
        </w:tc>
      </w:tr>
      <w:tr>
        <w:tc>
          <w:tcPr>
            <w:tcW w:type="dxa" w:w="4000"/>
          </w:tcPr>
          <w:p>
            <w:r>
              <w:rPr>
                <w:sz w:val="20"/>
                <w:szCs w:val="20"/>
              </w:rPr>
              <w:t xml:space="preserve">Microsoft Excel</w:t>
            </w:r>
          </w:p>
        </w:tc>
        <w:tc>
          <w:tcPr>
            <w:tcW w:type="dxa" w:w="5360"/>
          </w:tcPr>
          <w:p>
            <w:r>
              <w:rPr>
                <w:sz w:val="20"/>
                <w:szCs w:val="20"/>
              </w:rPr>
              <w:t xml:space="preserve">Data quality assessment (Part A) and cleaning of missing values</w:t>
            </w:r>
          </w:p>
        </w:tc>
      </w:tr>
      <w:tr>
        <w:tc>
          <w:tcPr>
            <w:tcW w:type="dxa" w:w="4000"/>
          </w:tcPr>
          <w:p>
            <w:r>
              <w:rPr>
                <w:sz w:val="20"/>
                <w:szCs w:val="20"/>
              </w:rPr>
              <w:t xml:space="preserve">DuckDB (via DBeaver)</w:t>
            </w:r>
          </w:p>
        </w:tc>
        <w:tc>
          <w:tcPr>
            <w:tcW w:type="dxa" w:w="5360"/>
          </w:tcPr>
          <w:p>
            <w:r>
              <w:rPr>
                <w:sz w:val="20"/>
                <w:szCs w:val="20"/>
              </w:rPr>
              <w:t xml:space="preserve">SQL business analysis (Part B), 8 queries with business interpretation</w:t>
            </w:r>
          </w:p>
        </w:tc>
      </w:tr>
      <w:tr>
        <w:tc>
          <w:tcPr>
            <w:tcW w:type="dxa" w:w="4000"/>
          </w:tcPr>
          <w:p>
            <w:r>
              <w:rPr>
                <w:sz w:val="20"/>
                <w:szCs w:val="20"/>
              </w:rPr>
              <w:t xml:space="preserve">Python (Pandas, Matplotlib, Seaborn, Jupyter)</w:t>
            </w:r>
          </w:p>
        </w:tc>
        <w:tc>
          <w:tcPr>
            <w:tcW w:type="dxa" w:w="5360"/>
          </w:tcPr>
          <w:p>
            <w:r>
              <w:rPr>
                <w:sz w:val="20"/>
                <w:szCs w:val="20"/>
              </w:rPr>
              <w:t xml:space="preserve">Exploratory data analysis (Part C), 6 visualizations</w:t>
            </w:r>
          </w:p>
        </w:tc>
      </w:tr>
      <w:tr>
        <w:tc>
          <w:tcPr>
            <w:tcW w:type="dxa" w:w="4000"/>
          </w:tcPr>
          <w:p>
            <w:r>
              <w:rPr>
                <w:sz w:val="20"/>
                <w:szCs w:val="20"/>
              </w:rPr>
              <w:t xml:space="preserve">Microsoft Power BI</w:t>
            </w:r>
          </w:p>
        </w:tc>
        <w:tc>
          <w:tcPr>
            <w:tcW w:type="dxa" w:w="5360"/>
          </w:tcPr>
          <w:p>
            <w:r>
              <w:rPr>
                <w:sz w:val="20"/>
                <w:szCs w:val="20"/>
              </w:rPr>
              <w:t xml:space="preserve">Management dashboard (Part D), in progress</w:t>
            </w:r>
          </w:p>
        </w:tc>
      </w:tr>
    </w:tbl>
    <w:p>
      <w:pPr>
        <w:pStyle w:val="Heading1"/>
        <w:spacing w:after="150" w:before="300"/>
      </w:pPr>
      <w:r>
        <w:t xml:space="preserve">4.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2660"/>
        <w:gridCol w:w="1000"/>
      </w:tblGrid>
      <w:tr>
        <w:trPr>
          <w:tblHeader/>
        </w:trPr>
        <w:tc>
          <w:tcPr>
            <w:tcW w:type="dxa" w:w="2800"/>
            <w:shd w:fill="1F3864" w:val="clear"/>
          </w:tcPr>
          <w:p>
            <w:r>
              <w:rPr>
                <w:b/>
                <w:bCs/>
                <w:color w:val="FFFFFF"/>
                <w:sz w:val="20"/>
                <w:szCs w:val="20"/>
              </w:rPr>
              <w:t xml:space="preserve">Decision</w:t>
            </w:r>
          </w:p>
        </w:tc>
        <w:tc>
          <w:tcPr>
            <w:tcW w:type="dxa" w:w="2900"/>
            <w:shd w:fill="1F3864" w:val="clear"/>
          </w:tcPr>
          <w:p>
            <w:r>
              <w:rPr>
                <w:b/>
                <w:bCs/>
                <w:color w:val="FFFFFF"/>
                <w:sz w:val="20"/>
                <w:szCs w:val="20"/>
              </w:rPr>
              <w:t xml:space="preserve">Reason</w:t>
            </w:r>
          </w:p>
        </w:tc>
        <w:tc>
          <w:tcPr>
            <w:tcW w:type="dxa" w:w="2660"/>
            <w:shd w:fill="1F3864" w:val="clear"/>
          </w:tcPr>
          <w:p>
            <w:r>
              <w:rPr>
                <w:b/>
                <w:bCs/>
                <w:color w:val="FFFFFF"/>
                <w:sz w:val="20"/>
                <w:szCs w:val="20"/>
              </w:rPr>
              <w:t xml:space="preserve">Impact</w:t>
            </w:r>
          </w:p>
        </w:tc>
        <w:tc>
          <w:tcPr>
            <w:tcW w:type="dxa" w:w="1000"/>
            <w:shd w:fill="1F3864" w:val="clear"/>
          </w:tcPr>
          <w:p>
            <w:r>
              <w:rPr>
                <w:b/>
                <w:bCs/>
                <w:color w:val="FFFFFF"/>
                <w:sz w:val="20"/>
                <w:szCs w:val="20"/>
              </w:rPr>
              <w:t xml:space="preserve">Date</w:t>
            </w:r>
          </w:p>
        </w:tc>
      </w:tr>
      <w:tr>
        <w:tc>
          <w:tcPr>
            <w:tcW w:type="dxa" w:w="2800"/>
          </w:tcPr>
          <w:p>
            <w:r>
              <w:rPr>
                <w:sz w:val="20"/>
                <w:szCs w:val="20"/>
              </w:rPr>
              <w:t xml:space="preserve">Replace missing Device_Type/Location with "Not Provided" rather than dropping rows</w:t>
            </w:r>
          </w:p>
        </w:tc>
        <w:tc>
          <w:tcPr>
            <w:tcW w:type="dxa" w:w="2900"/>
          </w:tcPr>
          <w:p>
            <w:r>
              <w:rPr>
                <w:sz w:val="20"/>
                <w:szCs w:val="20"/>
              </w:rPr>
              <w:t xml:space="preserve">Only 1.6% of transactions affected; other fields on these rows remain complete and usable</w:t>
            </w:r>
          </w:p>
        </w:tc>
        <w:tc>
          <w:tcPr>
            <w:tcW w:type="dxa" w:w="2660"/>
          </w:tcPr>
          <w:p>
            <w:r>
              <w:rPr>
                <w:sz w:val="20"/>
                <w:szCs w:val="20"/>
              </w:rPr>
              <w:t xml:space="preserve">No transaction rows lost; a new placeholder category appears in these two columns</w:t>
            </w:r>
          </w:p>
        </w:tc>
        <w:tc>
          <w:tcPr>
            <w:tcW w:type="dxa" w:w="1000"/>
          </w:tcPr>
          <w:p>
            <w:r>
              <w:rPr>
                <w:sz w:val="20"/>
                <w:szCs w:val="20"/>
              </w:rPr>
              <w:t xml:space="preserve">Week 2</w:t>
            </w:r>
          </w:p>
        </w:tc>
      </w:tr>
      <w:tr>
        <w:tc>
          <w:tcPr>
            <w:tcW w:type="dxa" w:w="2800"/>
          </w:tcPr>
          <w:p>
            <w:r>
              <w:rPr>
                <w:sz w:val="20"/>
                <w:szCs w:val="20"/>
              </w:rPr>
              <w:t xml:space="preserve">Use DuckDB as the SQL engine, accessed through DBeaver</w:t>
            </w:r>
          </w:p>
        </w:tc>
        <w:tc>
          <w:tcPr>
            <w:tcW w:type="dxa" w:w="2900"/>
          </w:tcPr>
          <w:p>
            <w:r>
              <w:rPr>
                <w:sz w:val="20"/>
                <w:szCs w:val="20"/>
              </w:rPr>
              <w:t xml:space="preserve">No server installation needed, reads CSV/Excel data directly, explicitly recommended in the assignment</w:t>
            </w:r>
          </w:p>
        </w:tc>
        <w:tc>
          <w:tcPr>
            <w:tcW w:type="dxa" w:w="2660"/>
          </w:tcPr>
          <w:p>
            <w:r>
              <w:rPr>
                <w:sz w:val="20"/>
                <w:szCs w:val="20"/>
              </w:rPr>
              <w:t xml:space="preserve">Faster setup; required extra care with French locale number/date formats</w:t>
            </w:r>
          </w:p>
        </w:tc>
        <w:tc>
          <w:tcPr>
            <w:tcW w:type="dxa" w:w="1000"/>
          </w:tcPr>
          <w:p>
            <w:r>
              <w:rPr>
                <w:sz w:val="20"/>
                <w:szCs w:val="20"/>
              </w:rPr>
              <w:t xml:space="preserve">Week 2</w:t>
            </w:r>
          </w:p>
        </w:tc>
      </w:tr>
      <w:tr>
        <w:tc>
          <w:tcPr>
            <w:tcW w:type="dxa" w:w="2800"/>
          </w:tcPr>
          <w:p>
            <w:r>
              <w:rPr>
                <w:sz w:val="20"/>
                <w:szCs w:val="20"/>
              </w:rPr>
              <w:t xml:space="preserve">Reformat numeric columns to standard number format in Excel and specify explicit date format when loading into DuckDB</w:t>
            </w:r>
          </w:p>
        </w:tc>
        <w:tc>
          <w:tcPr>
            <w:tcW w:type="dxa" w:w="2900"/>
          </w:tcPr>
          <w:p>
            <w:r>
              <w:rPr>
                <w:sz w:val="20"/>
                <w:szCs w:val="20"/>
              </w:rPr>
              <w:t xml:space="preserve">Original CSV export used French decimal comma and a non-slash date format, which the SQL tool read as text</w:t>
            </w:r>
          </w:p>
        </w:tc>
        <w:tc>
          <w:tcPr>
            <w:tcW w:type="dxa" w:w="2660"/>
          </w:tcPr>
          <w:p>
            <w:r>
              <w:rPr>
                <w:sz w:val="20"/>
                <w:szCs w:val="20"/>
              </w:rPr>
              <w:t xml:space="preserve">SQL aggregate and date functions now work correctly; documented as a technical limitation rather than a data defect</w:t>
            </w:r>
          </w:p>
        </w:tc>
        <w:tc>
          <w:tcPr>
            <w:tcW w:type="dxa" w:w="1000"/>
          </w:tcPr>
          <w:p>
            <w:r>
              <w:rPr>
                <w:sz w:val="20"/>
                <w:szCs w:val="20"/>
              </w:rPr>
              <w:t xml:space="preserve">Week 2</w:t>
            </w:r>
          </w:p>
        </w:tc>
      </w:tr>
      <w:tr>
        <w:tc>
          <w:tcPr>
            <w:tcW w:type="dxa" w:w="2800"/>
          </w:tcPr>
          <w:p>
            <w:r>
              <w:rPr>
                <w:sz w:val="20"/>
                <w:szCs w:val="20"/>
              </w:rPr>
              <w:t xml:space="preserve">Use the 6 KPIs suggested in the Week 2 brief instead of the 8 originally planned in Week 1</w:t>
            </w:r>
          </w:p>
        </w:tc>
        <w:tc>
          <w:tcPr>
            <w:tcW w:type="dxa" w:w="2900"/>
          </w:tcPr>
          <w:p>
            <w:r>
              <w:rPr>
                <w:sz w:val="20"/>
                <w:szCs w:val="20"/>
              </w:rPr>
              <w:t xml:space="preserve">Closer alignment with the official assignment requirements and grading criteria</w:t>
            </w:r>
          </w:p>
        </w:tc>
        <w:tc>
          <w:tcPr>
            <w:tcW w:type="dxa" w:w="2660"/>
          </w:tcPr>
          <w:p>
            <w:r>
              <w:rPr>
                <w:sz w:val="20"/>
                <w:szCs w:val="20"/>
              </w:rPr>
              <w:t xml:space="preserve">Some originally planned metrics kept as dashboard charts instead of KPI cards</w:t>
            </w:r>
          </w:p>
        </w:tc>
        <w:tc>
          <w:tcPr>
            <w:tcW w:type="dxa" w:w="1000"/>
          </w:tcPr>
          <w:p>
            <w:r>
              <w:rPr>
                <w:sz w:val="20"/>
                <w:szCs w:val="20"/>
              </w:rPr>
              <w:t xml:space="preserve">Week 2</w:t>
            </w:r>
          </w:p>
        </w:tc>
      </w:tr>
    </w:tbl>
    <w:p>
      <w:pPr>
        <w:pStyle w:val="Heading1"/>
        <w:spacing w:after="150" w:before="300"/>
      </w:pPr>
      <w:r>
        <w:t xml:space="preserve">5. Limitations (Updated from Week 1)</w:t>
      </w:r>
    </w:p>
    <w:p>
      <w:pPr>
        <w:pStyle w:val="Heading2"/>
        <w:spacing w:after="100" w:before="200"/>
      </w:pPr>
      <w:r>
        <w:t xml:space="preserve">5.1 Carried over from Week 1</w:t>
      </w:r>
    </w:p>
    <w:p>
      <w:pPr>
        <w:pStyle w:val="ListParagraph"/>
        <w:numPr>
          <w:ilvl w:val="0"/>
          <w:numId w:val="1"/>
        </w:numPr>
        <w:spacing w:after="60"/>
      </w:pPr>
      <w:r>
        <w:t xml:space="preserve">The data is synthetic and created for educational purposes; Risk_Review_Flag does not represent a real fraud or banking risk decision.</w:t>
      </w:r>
    </w:p>
    <w:p>
      <w:pPr>
        <w:pStyle w:val="ListParagraph"/>
        <w:numPr>
          <w:ilvl w:val="0"/>
          <w:numId w:val="1"/>
        </w:numPr>
        <w:spacing w:after="60"/>
      </w:pPr>
      <w:r>
        <w:t xml:space="preserve">The Data Dictionary only covers the customer table, not the transaction table (unchanged from Week 1).</w:t>
      </w:r>
    </w:p>
    <w:p>
      <w:pPr>
        <w:pStyle w:val="Heading2"/>
        <w:spacing w:after="100" w:before="200"/>
      </w:pPr>
      <w:r>
        <w:t xml:space="preserve">5.2 Resolved during Week 2</w:t>
      </w:r>
    </w:p>
    <w:p>
      <w:pPr>
        <w:pStyle w:val="ListParagraph"/>
        <w:numPr>
          <w:ilvl w:val="0"/>
          <w:numId w:val="1"/>
        </w:numPr>
        <w:spacing w:after="60"/>
      </w:pPr>
      <w:r>
        <w:t xml:space="preserve">96 missing Device_Type values and 96 missing Location values (188 rows total) have been cleaned by replacing them with "Not Provided".</w:t>
      </w:r>
    </w:p>
    <w:p>
      <w:pPr>
        <w:pStyle w:val="Heading2"/>
        <w:spacing w:after="100" w:before="200"/>
      </w:pPr>
      <w:r>
        <w:t xml:space="preserve">5.3 New limitations discovered in Week 2</w:t>
      </w:r>
    </w:p>
    <w:p>
      <w:pPr>
        <w:pStyle w:val="ListParagraph"/>
        <w:numPr>
          <w:ilvl w:val="0"/>
          <w:numId w:val="1"/>
        </w:numPr>
        <w:spacing w:after="60"/>
      </w:pPr>
      <w:r>
        <w:t xml:space="preserve">Locale-specific export/import issue: numeric and date columns were read as text (VARCHAR) when loaded into the SQL tool from a CSV export, due to French decimal and date formatting. This was not anticipated in the Week 1 risk register, which only flagged missing values as a data risk. Resolved through reformatting and explicit type casting.</w:t>
      </w:r>
    </w:p>
    <w:p>
      <w:pPr>
        <w:pStyle w:val="ListParagraph"/>
        <w:numPr>
          <w:ilvl w:val="0"/>
          <w:numId w:val="1"/>
        </w:numPr>
        <w:spacing w:after="60"/>
      </w:pPr>
      <w:r>
        <w:t xml:space="preserve">1,474 transactions (12.3%) sit above the statistical outlier threshold for transaction amount (117,922.86 NGN). These are not treated as errors but are flagged for closer monitoring, particularly given their association with higher risk-review rates.</w:t>
      </w:r>
    </w:p>
    <w:p>
      <w:pPr>
        <w:pStyle w:val="ListParagraph"/>
        <w:numPr>
          <w:ilvl w:val="0"/>
          <w:numId w:val="1"/>
        </w:numPr>
        <w:spacing w:after="60"/>
      </w:pPr>
      <w:r>
        <w:t xml:space="preserve">The Week 1 risk register flagged "the dashboard takes longer to build than planned" as a medium-probability, medium-impact risk. This has partly materialised: troubleshooting cross-filtering and locale-related import issues in Power BI has taken longer than expected, though the dashboard remains on track.</w:t>
      </w:r>
    </w:p>
    <w:p>
      <w:pPr>
        <w:pStyle w:val="Heading1"/>
        <w:spacing w:after="150" w:before="300"/>
      </w:pPr>
      <w:r>
        <w:t xml:space="preserve">6. Week 2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shd w:fill="1F3864" w:val="clear"/>
          </w:tcPr>
          <w:p>
            <w:r>
              <w:rPr>
                <w:b/>
                <w:bCs/>
                <w:color w:val="FFFFFF"/>
                <w:sz w:val="20"/>
                <w:szCs w:val="20"/>
              </w:rPr>
              <w:t xml:space="preserve">#</w:t>
            </w:r>
          </w:p>
        </w:tc>
        <w:tc>
          <w:tcPr>
            <w:tcW w:type="dxa" w:w="2200"/>
            <w:shd w:fill="1F3864" w:val="clear"/>
          </w:tcPr>
          <w:p>
            <w:r>
              <w:rPr>
                <w:b/>
                <w:bCs/>
                <w:color w:val="FFFFFF"/>
                <w:sz w:val="20"/>
                <w:szCs w:val="20"/>
              </w:rPr>
              <w:t xml:space="preserve">Item</w:t>
            </w:r>
          </w:p>
        </w:tc>
        <w:tc>
          <w:tcPr>
            <w:tcW w:type="dxa" w:w="6660"/>
            <w:shd w:fill="1F3864" w:val="clear"/>
          </w:tcPr>
          <w:p>
            <w:r>
              <w:rPr>
                <w:b/>
                <w:bCs/>
                <w:color w:val="FFFFFF"/>
                <w:sz w:val="20"/>
                <w:szCs w:val="20"/>
              </w:rPr>
              <w:t xml:space="preserve">Summary</w:t>
            </w:r>
          </w:p>
        </w:tc>
      </w:tr>
      <w:tr>
        <w:tc>
          <w:tcPr>
            <w:tcW w:type="dxa" w:w="500"/>
          </w:tcPr>
          <w:p>
            <w:r>
              <w:rPr>
                <w:sz w:val="20"/>
                <w:szCs w:val="20"/>
              </w:rPr>
              <w:t xml:space="preserve">1</w:t>
            </w:r>
          </w:p>
        </w:tc>
        <w:tc>
          <w:tcPr>
            <w:tcW w:type="dxa" w:w="2200"/>
          </w:tcPr>
          <w:p>
            <w:r>
              <w:rPr>
                <w:sz w:val="20"/>
                <w:szCs w:val="20"/>
              </w:rPr>
              <w:t xml:space="preserve">Planned for Week 2</w:t>
            </w:r>
          </w:p>
        </w:tc>
        <w:tc>
          <w:tcPr>
            <w:tcW w:type="dxa" w:w="6660"/>
          </w:tcPr>
          <w:p>
            <w:r>
              <w:rPr>
                <w:sz w:val="20"/>
                <w:szCs w:val="20"/>
              </w:rPr>
              <w:t xml:space="preserve">Clean the data, carry out SQL and Python analysis, start the Power BI dashboard, share early findings with Data Science</w:t>
            </w:r>
          </w:p>
        </w:tc>
      </w:tr>
      <w:tr>
        <w:tc>
          <w:tcPr>
            <w:tcW w:type="dxa" w:w="500"/>
          </w:tcPr>
          <w:p>
            <w:r>
              <w:rPr>
                <w:sz w:val="20"/>
                <w:szCs w:val="20"/>
              </w:rPr>
              <w:t xml:space="preserve">2</w:t>
            </w:r>
          </w:p>
        </w:tc>
        <w:tc>
          <w:tcPr>
            <w:tcW w:type="dxa" w:w="2200"/>
          </w:tcPr>
          <w:p>
            <w:r>
              <w:rPr>
                <w:sz w:val="20"/>
                <w:szCs w:val="20"/>
              </w:rPr>
              <w:t xml:space="preserve">Actually completed</w:t>
            </w:r>
          </w:p>
        </w:tc>
        <w:tc>
          <w:tcPr>
            <w:tcW w:type="dxa" w:w="6660"/>
          </w:tcPr>
          <w:p>
            <w:r>
              <w:rPr>
                <w:sz w:val="20"/>
                <w:szCs w:val="20"/>
              </w:rPr>
              <w:t xml:space="preserve">Data cleaning, 8 SQL business questions, 6 Python visualizations, 5 business findings, Power BI dashboard in progress</w:t>
            </w:r>
          </w:p>
        </w:tc>
      </w:tr>
      <w:tr>
        <w:tc>
          <w:tcPr>
            <w:tcW w:type="dxa" w:w="500"/>
          </w:tcPr>
          <w:p>
            <w:r>
              <w:rPr>
                <w:sz w:val="20"/>
                <w:szCs w:val="20"/>
              </w:rPr>
              <w:t xml:space="preserve">3</w:t>
            </w:r>
          </w:p>
        </w:tc>
        <w:tc>
          <w:tcPr>
            <w:tcW w:type="dxa" w:w="2200"/>
          </w:tcPr>
          <w:p>
            <w:r>
              <w:rPr>
                <w:sz w:val="20"/>
                <w:szCs w:val="20"/>
              </w:rPr>
              <w:t xml:space="preserve">Tools used</w:t>
            </w:r>
          </w:p>
        </w:tc>
        <w:tc>
          <w:tcPr>
            <w:tcW w:type="dxa" w:w="6660"/>
          </w:tcPr>
          <w:p>
            <w:r>
              <w:rPr>
                <w:sz w:val="20"/>
                <w:szCs w:val="20"/>
              </w:rPr>
              <w:t xml:space="preserve">Excel, DuckDB/DBeaver, Python (Pandas/Matplotlib/Seaborn/Jupyter), Power BI</w:t>
            </w:r>
          </w:p>
        </w:tc>
      </w:tr>
      <w:tr>
        <w:tc>
          <w:tcPr>
            <w:tcW w:type="dxa" w:w="500"/>
          </w:tcPr>
          <w:p>
            <w:r>
              <w:rPr>
                <w:sz w:val="20"/>
                <w:szCs w:val="20"/>
              </w:rPr>
              <w:t xml:space="preserve">4</w:t>
            </w:r>
          </w:p>
        </w:tc>
        <w:tc>
          <w:tcPr>
            <w:tcW w:type="dxa" w:w="2200"/>
          </w:tcPr>
          <w:p>
            <w:r>
              <w:rPr>
                <w:sz w:val="20"/>
                <w:szCs w:val="20"/>
              </w:rPr>
              <w:t xml:space="preserve">Key findings/outcomes</w:t>
            </w:r>
          </w:p>
        </w:tc>
        <w:tc>
          <w:tcPr>
            <w:tcW w:type="dxa" w:w="6660"/>
          </w:tcPr>
          <w:p>
            <w:r>
              <w:rPr>
                <w:sz w:val="20"/>
                <w:szCs w:val="20"/>
              </w:rPr>
              <w:t xml:space="preserve">Mobile App is highest-value but least reliable channel; Premium segment has lowest average transaction value and engagement; international and high-value transactions are flagged roughly twice as often</w:t>
            </w:r>
          </w:p>
        </w:tc>
      </w:tr>
      <w:tr>
        <w:tc>
          <w:tcPr>
            <w:tcW w:type="dxa" w:w="500"/>
          </w:tcPr>
          <w:p>
            <w:r>
              <w:rPr>
                <w:sz w:val="20"/>
                <w:szCs w:val="20"/>
              </w:rPr>
              <w:t xml:space="preserve">5</w:t>
            </w:r>
          </w:p>
        </w:tc>
        <w:tc>
          <w:tcPr>
            <w:tcW w:type="dxa" w:w="2200"/>
          </w:tcPr>
          <w:p>
            <w:r>
              <w:rPr>
                <w:sz w:val="20"/>
                <w:szCs w:val="20"/>
              </w:rPr>
              <w:t xml:space="preserve">Major challenges</w:t>
            </w:r>
          </w:p>
        </w:tc>
        <w:tc>
          <w:tcPr>
            <w:tcW w:type="dxa" w:w="6660"/>
          </w:tcPr>
          <w:p>
            <w:r>
              <w:rPr>
                <w:sz w:val="20"/>
                <w:szCs w:val="20"/>
              </w:rPr>
              <w:t xml:space="preserve">French locale formatting (decimal comma, date format) broke SQL type detection on import; Power BI cross-filtering caused misleading KPI totals during dashboard building</w:t>
            </w:r>
          </w:p>
        </w:tc>
      </w:tr>
      <w:tr>
        <w:tc>
          <w:tcPr>
            <w:tcW w:type="dxa" w:w="500"/>
          </w:tcPr>
          <w:p>
            <w:r>
              <w:rPr>
                <w:sz w:val="20"/>
                <w:szCs w:val="20"/>
              </w:rPr>
              <w:t xml:space="preserve">6</w:t>
            </w:r>
          </w:p>
        </w:tc>
        <w:tc>
          <w:tcPr>
            <w:tcW w:type="dxa" w:w="2200"/>
          </w:tcPr>
          <w:p>
            <w:r>
              <w:rPr>
                <w:sz w:val="20"/>
                <w:szCs w:val="20"/>
              </w:rPr>
              <w:t xml:space="preserve">Important decisions and why</w:t>
            </w:r>
          </w:p>
        </w:tc>
        <w:tc>
          <w:tcPr>
            <w:tcW w:type="dxa" w:w="6660"/>
          </w:tcPr>
          <w:p>
            <w:r>
              <w:rPr>
                <w:sz w:val="20"/>
                <w:szCs w:val="20"/>
              </w:rPr>
              <w:t xml:space="preserve">See Decision Log (section 4): cleaning approach for missing values, choice of DuckDB, column reformatting for SQL compatibility, adoption of the assignment's suggested KPI set</w:t>
            </w:r>
          </w:p>
        </w:tc>
      </w:tr>
      <w:tr>
        <w:tc>
          <w:tcPr>
            <w:tcW w:type="dxa" w:w="500"/>
          </w:tcPr>
          <w:p>
            <w:r>
              <w:rPr>
                <w:sz w:val="20"/>
                <w:szCs w:val="20"/>
              </w:rPr>
              <w:t xml:space="preserve">7</w:t>
            </w:r>
          </w:p>
        </w:tc>
        <w:tc>
          <w:tcPr>
            <w:tcW w:type="dxa" w:w="2200"/>
          </w:tcPr>
          <w:p>
            <w:r>
              <w:rPr>
                <w:sz w:val="20"/>
                <w:szCs w:val="20"/>
              </w:rPr>
              <w:t xml:space="preserve">Changes to Week 1 approach</w:t>
            </w:r>
          </w:p>
        </w:tc>
        <w:tc>
          <w:tcPr>
            <w:tcW w:type="dxa" w:w="6660"/>
          </w:tcPr>
          <w:p>
            <w:r>
              <w:rPr>
                <w:sz w:val="20"/>
                <w:szCs w:val="20"/>
              </w:rPr>
              <w:t xml:space="preserve">KPI set switched to the assignment's suggested 6 KPIs; analytical questions expanded from 6 to 8 to meet the SQL requirement; new technical limitation documented that was not anticipated in Week 1</w:t>
            </w:r>
          </w:p>
        </w:tc>
      </w:tr>
      <w:tr>
        <w:tc>
          <w:tcPr>
            <w:tcW w:type="dxa" w:w="500"/>
          </w:tcPr>
          <w:p>
            <w:r>
              <w:rPr>
                <w:sz w:val="20"/>
                <w:szCs w:val="20"/>
              </w:rPr>
              <w:t xml:space="preserve">8</w:t>
            </w:r>
          </w:p>
        </w:tc>
        <w:tc>
          <w:tcPr>
            <w:tcW w:type="dxa" w:w="2200"/>
          </w:tcPr>
          <w:p>
            <w:r>
              <w:rPr>
                <w:sz w:val="20"/>
                <w:szCs w:val="20"/>
              </w:rPr>
              <w:t xml:space="preserve">Testing/evaluation performed</w:t>
            </w:r>
          </w:p>
        </w:tc>
        <w:tc>
          <w:tcPr>
            <w:tcW w:type="dxa" w:w="6660"/>
          </w:tcPr>
          <w:p>
            <w:r>
              <w:rPr>
                <w:sz w:val="20"/>
                <w:szCs w:val="20"/>
              </w:rPr>
              <w:t xml:space="preserve">SQL query results cross-checked against independent calculations; Python notebook executed end-to-end without errors; Power BI totals verified against expected record counts (1,500 customers, 12,000 transactions) after troubleshooting</w:t>
            </w:r>
          </w:p>
        </w:tc>
      </w:tr>
      <w:tr>
        <w:tc>
          <w:tcPr>
            <w:tcW w:type="dxa" w:w="500"/>
          </w:tcPr>
          <w:p>
            <w:r>
              <w:rPr>
                <w:sz w:val="20"/>
                <w:szCs w:val="20"/>
              </w:rPr>
              <w:t xml:space="preserve">9</w:t>
            </w:r>
          </w:p>
        </w:tc>
        <w:tc>
          <w:tcPr>
            <w:tcW w:type="dxa" w:w="2200"/>
          </w:tcPr>
          <w:p>
            <w:r>
              <w:rPr>
                <w:sz w:val="20"/>
                <w:szCs w:val="20"/>
              </w:rPr>
              <w:t xml:space="preserve">Key limitations</w:t>
            </w:r>
          </w:p>
        </w:tc>
        <w:tc>
          <w:tcPr>
            <w:tcW w:type="dxa" w:w="6660"/>
          </w:tcPr>
          <w:p>
            <w:r>
              <w:rPr>
                <w:sz w:val="20"/>
                <w:szCs w:val="20"/>
              </w:rPr>
              <w:t xml:space="preserve">Synthetic data; Device_Type/Location placeholder category introduced by cleaning; high-value transactions not removed, only flagged; dashboard build took longer than planned</w:t>
            </w:r>
          </w:p>
        </w:tc>
      </w:tr>
      <w:tr>
        <w:tc>
          <w:tcPr>
            <w:tcW w:type="dxa" w:w="500"/>
          </w:tcPr>
          <w:p>
            <w:r>
              <w:rPr>
                <w:sz w:val="20"/>
                <w:szCs w:val="20"/>
              </w:rPr>
              <w:t xml:space="preserve">10</w:t>
            </w:r>
          </w:p>
        </w:tc>
        <w:tc>
          <w:tcPr>
            <w:tcW w:type="dxa" w:w="2200"/>
          </w:tcPr>
          <w:p>
            <w:r>
              <w:rPr>
                <w:sz w:val="20"/>
                <w:szCs w:val="20"/>
              </w:rPr>
              <w:t xml:space="preserve">Remaining work</w:t>
            </w:r>
          </w:p>
        </w:tc>
        <w:tc>
          <w:tcPr>
            <w:tcW w:type="dxa" w:w="6660"/>
          </w:tcPr>
          <w:p>
            <w:r>
              <w:rPr>
                <w:sz w:val="20"/>
                <w:szCs w:val="20"/>
              </w:rPr>
              <w:t xml:space="preserve">Finish Power BI dashboard formatting and validation; incorporate Data Cleaning Log line for the SQL-loading fix; share relevant findings with the Data Science track</w:t>
            </w:r>
          </w:p>
        </w:tc>
      </w:tr>
      <w:tr>
        <w:tc>
          <w:tcPr>
            <w:tcW w:type="dxa" w:w="500"/>
          </w:tcPr>
          <w:p>
            <w:r>
              <w:rPr>
                <w:sz w:val="20"/>
                <w:szCs w:val="20"/>
              </w:rPr>
              <w:t xml:space="preserve">11</w:t>
            </w:r>
          </w:p>
        </w:tc>
        <w:tc>
          <w:tcPr>
            <w:tcW w:type="dxa" w:w="2200"/>
          </w:tcPr>
          <w:p>
            <w:r>
              <w:rPr>
                <w:sz w:val="20"/>
                <w:szCs w:val="20"/>
              </w:rPr>
              <w:t xml:space="preserve">Proposed focus for Week 3</w:t>
            </w:r>
          </w:p>
        </w:tc>
        <w:tc>
          <w:tcPr>
            <w:tcW w:type="dxa" w:w="6660"/>
          </w:tcPr>
          <w:p>
            <w:r>
              <w:rPr>
                <w:sz w:val="20"/>
                <w:szCs w:val="20"/>
              </w:rPr>
              <w:t xml:space="preserve">Complete and polish the dashboard, deepen the analysis with additional segment/channel cross-tabulations, validate result reliability, and prepare the handover package for other tracks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2026-09-27T22:34:15.457Z</dcterms:created>
  <dcterms:modified xsi:type="dcterms:W3CDTF">2026-09-27T22:34:15.467Z</dcterms:modified>
</cp:coreProperties>
</file>

<file path=docProps/custom.xml><?xml version="1.0" encoding="utf-8"?>
<Properties xmlns="http://schemas.openxmlformats.org/officeDocument/2006/custom-properties" xmlns:vt="http://schemas.openxmlformats.org/officeDocument/2006/docPropsVTypes"/>
</file>