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FinTrust Digital Bank</w:t>
      </w:r>
    </w:p>
    <w:p>
      <w:pPr>
        <w:spacing w:after="60"/>
      </w:pPr>
      <w:r>
        <w:rPr>
          <w:rFonts w:ascii="Calibri" w:cs="Calibri" w:eastAsia="Calibri" w:hAnsi="Calibri"/>
          <w:b/>
          <w:bCs/>
          <w:color w:val="2E5597"/>
          <w:sz w:val="30"/>
          <w:szCs w:val="30"/>
        </w:rPr>
        <w:t xml:space="preserve">Week 3 KPI Analysis</w:t>
      </w:r>
    </w:p>
    <w:p>
      <w:pPr>
        <w:spacing w:after="120"/>
      </w:pPr>
      <w:r>
        <w:rPr>
          <w:rFonts w:ascii="Calibri" w:cs="Calibri" w:eastAsia="Calibri" w:hAnsi="Calibri"/>
          <w:color w:val="555555"/>
          <w:sz w:val="20"/>
          <w:szCs w:val="20"/>
        </w:rPr>
        <w:t xml:space="preserve">Track: Data Analytics  |  Author: Yawa Jacqueline GBEDEVI  |  AnalystLab Africa</w:t>
      </w:r>
    </w:p>
    <w:p>
      <w:pPr>
        <w:spacing w:after="120"/>
      </w:pPr>
      <w:r>
        <w:rPr>
          <w:rFonts w:ascii="Calibri" w:cs="Calibri" w:eastAsia="Calibri" w:hAnsi="Calibri"/>
          <w:sz w:val="22"/>
          <w:szCs w:val="22"/>
        </w:rPr>
        <w:t xml:space="preserve">This document analyses the key performance indicators of the FinTrust dashboard. For each KPI it gives the definition, the value on the full data, a breakdown showing where the number comes from, and a short business reading with the precautions to keep in mind. All values are calculated on the 12,000 cleaned transactions and 1,500 customers (January to March 2026), and they match the control values used to test the Power BI dashboard.</w:t>
      </w:r>
    </w:p>
    <w:p>
      <w:pPr>
        <w:spacing w:after="120"/>
      </w:pPr>
      <w:r>
        <w:rPr>
          <w:rFonts w:ascii="Calibri" w:cs="Calibri" w:eastAsia="Calibri" w:hAnsi="Calibri"/>
          <w:i/>
          <w:iCs/>
          <w:sz w:val="20"/>
          <w:szCs w:val="20"/>
        </w:rPr>
        <w:t xml:space="preserve">All data is synthetic and created for educational purposes. Risk_Review_Flag is an educational label, not a real fraud determination.</w:t>
      </w:r>
    </w:p>
    <w:p>
      <w:pPr>
        <w:pStyle w:val="Heading1"/>
        <w:spacing w:after="140" w:before="320"/>
      </w:pPr>
      <w:r>
        <w:rPr>
          <w:rFonts w:ascii="Calibri" w:cs="Calibri" w:eastAsia="Calibri" w:hAnsi="Calibri"/>
          <w:b/>
          <w:bCs/>
          <w:color w:val="1F3864"/>
          <w:sz w:val="30"/>
          <w:szCs w:val="30"/>
        </w:rPr>
        <w:t xml:space="preserve">1. KPI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1350"/>
        <w:gridCol w:w="3376"/>
      </w:tblGrid>
      <w:tr>
        <w:trPr>
          <w:tblHeader/>
        </w:trPr>
        <w:tc>
          <w:tcPr>
            <w:tcW w:type="dxa" w:w="165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KPI</w:t>
            </w:r>
          </w:p>
        </w:tc>
        <w:tc>
          <w:tcPr>
            <w:tcW w:type="dxa" w:w="265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How it is calculated</w:t>
            </w:r>
          </w:p>
        </w:tc>
        <w:tc>
          <w:tcPr>
            <w:tcW w:type="dxa" w:w="135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Value</w:t>
            </w:r>
          </w:p>
        </w:tc>
        <w:tc>
          <w:tcPr>
            <w:tcW w:type="dxa" w:w="337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Short reading</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Total Customers</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Distinct Customer_ID in the customer table</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1,500</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Fixed base. Every customer made at least one transaction.</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Total Transactions</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Number of rows in the transaction table</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12,000</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About 133 per day, with no trend over the quarter.</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Total Value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Sum of Amount_NGN</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560.48M NGN</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Follows volume closely. The Mobile App carries 42.8% of the value.</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Average Transaction Value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Total Value divided by Total Transactions</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46,706 NGN</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Pulled upward by a small number of large transactions.</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Median Transaction Value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Middle value of Amount_NGN</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10,306 NGN</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Describes a typical transaction better than the average.</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 Success Rate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Successful transactions divided by all transactions</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90.47%</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1,144 transactions were not successful (630 failed, 326 reversed, 188 pending).</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Risk Review Rate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Flagged transactions divided by all transactions</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19.60%</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2,352 flagged. International transactions are flagged about twice as often.</w:t>
            </w:r>
          </w:p>
        </w:tc>
      </w:tr>
      <w:tr>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Transactions per Day</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Total Transactions divided by number of days with activity</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133.3</w:t>
            </w:r>
          </w:p>
        </w:tc>
        <w:tc>
          <w:tcPr>
            <w:tcW w:type="dxa" w:w="3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Almost constant across the 90 days.</w:t>
            </w:r>
          </w:p>
        </w:tc>
      </w:tr>
    </w:tbl>
    <w:p>
      <w:pPr>
        <w:pStyle w:val="Heading1"/>
        <w:spacing w:after="140" w:before="320"/>
      </w:pPr>
      <w:r>
        <w:rPr>
          <w:rFonts w:ascii="Calibri" w:cs="Calibri" w:eastAsia="Calibri" w:hAnsi="Calibri"/>
          <w:b/>
          <w:bCs/>
          <w:color w:val="1F3864"/>
          <w:sz w:val="30"/>
          <w:szCs w:val="30"/>
        </w:rPr>
        <w:t xml:space="preserve">2. KPI by KPI</w:t>
      </w:r>
    </w:p>
    <w:p>
      <w:pPr>
        <w:pStyle w:val="Heading2"/>
        <w:spacing w:after="100" w:before="240"/>
      </w:pPr>
      <w:r>
        <w:rPr>
          <w:rFonts w:ascii="Calibri" w:cs="Calibri" w:eastAsia="Calibri" w:hAnsi="Calibri"/>
          <w:b/>
          <w:bCs/>
          <w:color w:val="2E5597"/>
          <w:sz w:val="25"/>
          <w:szCs w:val="25"/>
        </w:rPr>
        <w:t xml:space="preserve">2.1 Total Customers: 1,500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26"/>
      </w:tblGrid>
      <w:tr>
        <w:trPr>
          <w:tblHeader/>
        </w:trPr>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Breakdown</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Customers</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Share</w:t>
            </w:r>
          </w:p>
        </w:tc>
        <w:tc>
          <w:tcPr>
            <w:tcW w:type="dxa" w:w="34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Everyday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711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47.4%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Premium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295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19.7%</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Student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278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18.5%</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SME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216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14.4%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Status: Active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1,367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91.1%</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Status: Dormant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98 of them made a transaction in March</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Status: Restricted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Only 26 customers, so percentages are imprecise</w:t>
            </w:r>
          </w:p>
        </w:tc>
      </w:tr>
    </w:tbl>
    <w:p>
      <w:pPr>
        <w:spacing w:after="60"/>
      </w:pPr>
    </w:p>
    <w:p>
      <w:pPr>
        <w:spacing w:after="120"/>
      </w:pPr>
      <w:r>
        <w:rPr>
          <w:rFonts w:ascii="Calibri" w:cs="Calibri" w:eastAsia="Calibri" w:hAnsi="Calibri"/>
          <w:b/>
          <w:bCs/>
          <w:sz w:val="22"/>
          <w:szCs w:val="22"/>
        </w:rPr>
        <w:t xml:space="preserve">Reading. </w:t>
      </w:r>
      <w:r>
        <w:rPr>
          <w:rFonts w:ascii="Calibri" w:cs="Calibri" w:eastAsia="Calibri" w:hAnsi="Calibri"/>
          <w:sz w:val="22"/>
          <w:szCs w:val="22"/>
        </w:rPr>
        <w:t xml:space="preserve">Everyday is almost half of the base. Because dormant and restricted customers transact about as often as active ones in this dataset, Total Customers does not measure activity. On the dashboard, use Active Customers for visuals that react to filters, and show the Dormant rate as a status label, not as inactivity.</w:t>
      </w:r>
    </w:p>
    <w:p>
      <w:pPr>
        <w:pStyle w:val="Heading2"/>
        <w:spacing w:after="100" w:before="240"/>
      </w:pPr>
      <w:r>
        <w:rPr>
          <w:rFonts w:ascii="Calibri" w:cs="Calibri" w:eastAsia="Calibri" w:hAnsi="Calibri"/>
          <w:b/>
          <w:bCs/>
          <w:color w:val="2E5597"/>
          <w:sz w:val="25"/>
          <w:szCs w:val="25"/>
        </w:rPr>
        <w:t xml:space="preserve">2.2 Total Transactions: 12,000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26"/>
      </w:tblGrid>
      <w:tr>
        <w:trPr>
          <w:tblHeader/>
        </w:trPr>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Breakdown</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Transactions</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Share</w:t>
            </w:r>
          </w:p>
        </w:tc>
        <w:tc>
          <w:tcPr>
            <w:tcW w:type="dxa" w:w="34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January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4,133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34.4%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133.3 per day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February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3,734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31.1%</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133.4 per day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March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4,133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34.4%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133.3 per day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Mobile App</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5,102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42.5%</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POS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2,393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19.9%</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Web</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1,869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15.6%</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ATM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1,747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14.6%</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USSD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889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Transfer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3,549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29.6%</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Transfer and Card Purchase together make 54.9%</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Card Purchase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3,033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25.3%</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spacing w:after="60"/>
      </w:pPr>
    </w:p>
    <w:p>
      <w:pPr>
        <w:spacing w:after="120"/>
      </w:pPr>
      <w:r>
        <w:rPr>
          <w:rFonts w:ascii="Calibri" w:cs="Calibri" w:eastAsia="Calibri" w:hAnsi="Calibri"/>
          <w:b/>
          <w:bCs/>
          <w:sz w:val="22"/>
          <w:szCs w:val="22"/>
        </w:rPr>
        <w:t xml:space="preserve">Reading. </w:t>
      </w:r>
      <w:r>
        <w:rPr>
          <w:rFonts w:ascii="Calibri" w:cs="Calibri" w:eastAsia="Calibri" w:hAnsi="Calibri"/>
          <w:sz w:val="22"/>
          <w:szCs w:val="22"/>
        </w:rPr>
        <w:t xml:space="preserve">The lower February total only reflects the 28 days of the month. Per day, activity is flat. The Mobile App handles more than four transactions in ten, so it is the channel where any incident touches the most customers. Three months of data are not enough to speak about growth.</w:t>
      </w:r>
    </w:p>
    <w:p>
      <w:pPr>
        <w:pStyle w:val="Heading2"/>
        <w:spacing w:after="100" w:before="240"/>
      </w:pPr>
      <w:r>
        <w:rPr>
          <w:rFonts w:ascii="Calibri" w:cs="Calibri" w:eastAsia="Calibri" w:hAnsi="Calibri"/>
          <w:b/>
          <w:bCs/>
          <w:color w:val="2E5597"/>
          <w:sz w:val="25"/>
          <w:szCs w:val="25"/>
        </w:rPr>
        <w:t xml:space="preserve">2.3 Total Value: 560.48M NGN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00"/>
        <w:gridCol w:w="3226"/>
      </w:tblGrid>
      <w:tr>
        <w:trPr>
          <w:tblHeader/>
        </w:trPr>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Breakdown</w:t>
            </w:r>
          </w:p>
        </w:tc>
        <w:tc>
          <w:tcPr>
            <w:tcW w:type="dxa" w:w="1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Value (M NGN)</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Share</w:t>
            </w:r>
          </w:p>
        </w:tc>
        <w:tc>
          <w:tcPr>
            <w:tcW w:type="dxa" w:w="32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January</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188.5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33.6%</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6.08M per day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February</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175.8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31.4%</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6.28M per day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March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196.2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35.0%</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6.33M per day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Mobile App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240.1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42.8%</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POS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104.3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18.6%</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Web</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89.3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15.9%</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ATM</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83.9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15.0%</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USSD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42.8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7.6%</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Transfer</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237.9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42.4%</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29.6% of transactions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Deposit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131.0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23.4%</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Only 11.1% of transactions</w:t>
            </w:r>
          </w:p>
        </w:tc>
      </w:tr>
    </w:tbl>
    <w:p>
      <w:pPr>
        <w:spacing w:after="60"/>
      </w:pPr>
    </w:p>
    <w:p>
      <w:pPr>
        <w:spacing w:after="120"/>
      </w:pPr>
      <w:r>
        <w:rPr>
          <w:rFonts w:ascii="Calibri" w:cs="Calibri" w:eastAsia="Calibri" w:hAnsi="Calibri"/>
          <w:b/>
          <w:bCs/>
          <w:sz w:val="22"/>
          <w:szCs w:val="22"/>
        </w:rPr>
        <w:t xml:space="preserve">Reading. </w:t>
      </w:r>
      <w:r>
        <w:rPr>
          <w:rFonts w:ascii="Calibri" w:cs="Calibri" w:eastAsia="Calibri" w:hAnsi="Calibri"/>
          <w:sz w:val="22"/>
          <w:szCs w:val="22"/>
        </w:rPr>
        <w:t xml:space="preserve">The share of value of each channel is very close to its share of transactions, so no channel handles unusually large or small amounts. By type, value is concentrated in Transfers and Deposits, which together carry 65.8% of the value with 40.7% of the transactions. The 1,474 transactions above 117,923 NGN (12.3% of the count) carry 62.5% of the total value, so the total can move noticeably because of a few large operations.</w:t>
      </w:r>
    </w:p>
    <w:p>
      <w:pPr>
        <w:pStyle w:val="Heading2"/>
        <w:spacing w:after="100" w:before="240"/>
      </w:pPr>
      <w:r>
        <w:rPr>
          <w:rFonts w:ascii="Calibri" w:cs="Calibri" w:eastAsia="Calibri" w:hAnsi="Calibri"/>
          <w:b/>
          <w:bCs/>
          <w:color w:val="2E5597"/>
          <w:sz w:val="25"/>
          <w:szCs w:val="25"/>
        </w:rPr>
        <w:t xml:space="preserve">2.4 Average and Median Transaction Value: 46,706 and 10,306 NGN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1826"/>
      </w:tblGrid>
      <w:tr>
        <w:trPr>
          <w:tblHeader/>
        </w:trPr>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Breakdown</w:t>
            </w:r>
          </w:p>
        </w:tc>
        <w:tc>
          <w:tcPr>
            <w:tcW w:type="dxa" w:w="23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Average (NGN)</w:t>
            </w:r>
          </w:p>
        </w:tc>
        <w:tc>
          <w:tcPr>
            <w:tcW w:type="dxa" w:w="23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Median (NGN)</w:t>
            </w:r>
          </w:p>
        </w:tc>
        <w:tc>
          <w:tcPr>
            <w:tcW w:type="dxa" w:w="18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Ratio</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All transactions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46,706</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10,306</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4.5</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SME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49,116</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11,627</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4.2</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Student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46,953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10,531</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4.5</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Everyday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46,325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9,929</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4.7</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Premium</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45,638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10,219</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4.5</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Deposit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98,633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22,094</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4.5</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Transfer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67,038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15,082</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4.4</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Cash Withdrawal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47,393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17,357</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2.7</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Card Purchase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28,310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7,629</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3.7</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Bill Payment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19,094</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7,403</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2.6</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Airtime/Data</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8,250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2,494</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3.3</w:t>
            </w:r>
          </w:p>
        </w:tc>
      </w:tr>
    </w:tbl>
    <w:p>
      <w:pPr>
        <w:spacing w:after="60"/>
      </w:pPr>
    </w:p>
    <w:p>
      <w:pPr>
        <w:spacing w:after="120"/>
      </w:pPr>
      <w:r>
        <w:rPr>
          <w:rFonts w:ascii="Calibri" w:cs="Calibri" w:eastAsia="Calibri" w:hAnsi="Calibri"/>
          <w:b/>
          <w:bCs/>
          <w:sz w:val="22"/>
          <w:szCs w:val="22"/>
        </w:rPr>
        <w:t xml:space="preserve">Reading. </w:t>
      </w:r>
      <w:r>
        <w:rPr>
          <w:rFonts w:ascii="Calibri" w:cs="Calibri" w:eastAsia="Calibri" w:hAnsi="Calibri"/>
          <w:sz w:val="22"/>
          <w:szCs w:val="22"/>
        </w:rPr>
        <w:t xml:space="preserve">The average is about 4.5 times the median overall, so reporting the average alone would suggest a typical transaction of about 47,000 NGN when half of all transactions are below about 10,300 NGN. Segment differences are small (SME is 7% above Premium on the average) and not statistically significant, so no segment should be described as clearly higher or lower. The type of transaction explains far more of the amount than the segment does.</w:t>
      </w:r>
    </w:p>
    <w:p>
      <w:pPr>
        <w:pStyle w:val="Heading2"/>
        <w:spacing w:after="100" w:before="240"/>
      </w:pPr>
      <w:r>
        <w:rPr>
          <w:rFonts w:ascii="Calibri" w:cs="Calibri" w:eastAsia="Calibri" w:hAnsi="Calibri"/>
          <w:b/>
          <w:bCs/>
          <w:color w:val="2E5597"/>
          <w:sz w:val="25"/>
          <w:szCs w:val="25"/>
        </w:rPr>
        <w:t xml:space="preserve">2.5 Transaction Success Rate: 90.47%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3326"/>
      </w:tblGrid>
      <w:tr>
        <w:trPr>
          <w:tblHeader/>
        </w:trPr>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Breakdown</w:t>
            </w:r>
          </w:p>
        </w:tc>
        <w:tc>
          <w:tcPr>
            <w:tcW w:type="dxa" w:w="1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Success rate</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 successful</w:t>
            </w:r>
          </w:p>
        </w:tc>
        <w:tc>
          <w:tcPr>
            <w:tcW w:type="dxa" w:w="33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Failed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630 (5.25%)</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Reversed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326 (2.72%)</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Pending</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188 (1.57%)</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ATM</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91.70%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8.30%</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Highest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Web</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90.85%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9.15%</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POS</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90.85%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9.15%</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USSD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90.33%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9.67%</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Mobile App</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89.75%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10.25%</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Lowest, with 296 failed transactions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Month: January / February / March</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90.01% / 90.89% / 90.54%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No trend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Segment: Student</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89.30%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10.70%</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Lowest segment, not tested statistically</w:t>
            </w:r>
          </w:p>
        </w:tc>
      </w:tr>
    </w:tbl>
    <w:p>
      <w:pPr>
        <w:spacing w:after="60"/>
      </w:pPr>
    </w:p>
    <w:p>
      <w:pPr>
        <w:spacing w:after="120"/>
      </w:pPr>
      <w:r>
        <w:rPr>
          <w:rFonts w:ascii="Calibri" w:cs="Calibri" w:eastAsia="Calibri" w:hAnsi="Calibri"/>
          <w:b/>
          <w:bCs/>
          <w:sz w:val="22"/>
          <w:szCs w:val="22"/>
        </w:rPr>
        <w:t xml:space="preserve">Reading. </w:t>
      </w:r>
      <w:r>
        <w:rPr>
          <w:rFonts w:ascii="Calibri" w:cs="Calibri" w:eastAsia="Calibri" w:hAnsi="Calibri"/>
          <w:sz w:val="22"/>
          <w:szCs w:val="22"/>
        </w:rPr>
        <w:t xml:space="preserve">About one transaction in ten is not successful. Failures are only part of it, since reversed and pending transactions also leave the customer without a completed operation. Channel rates range from 89.75% to 91.70%, a gap of less than two points, and the difference between channels in failure rate is not statistically significant (p = 0.081). The Mobile App has the lowest rate and the most failures in number, so it is the channel to monitor first, without concluding that it is technically weaker.</w:t>
      </w:r>
    </w:p>
    <w:p>
      <w:pPr>
        <w:pStyle w:val="Heading2"/>
        <w:spacing w:after="100" w:before="240"/>
      </w:pPr>
      <w:r>
        <w:rPr>
          <w:rFonts w:ascii="Calibri" w:cs="Calibri" w:eastAsia="Calibri" w:hAnsi="Calibri"/>
          <w:b/>
          <w:bCs/>
          <w:color w:val="2E5597"/>
          <w:sz w:val="25"/>
          <w:szCs w:val="25"/>
        </w:rPr>
        <w:t xml:space="preserve">2.6 Risk Review Rate: 19.60%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00"/>
        <w:gridCol w:w="3226"/>
      </w:tblGrid>
      <w:tr>
        <w:trPr>
          <w:tblHeader/>
        </w:trPr>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Breakdown</w:t>
            </w:r>
          </w:p>
        </w:tc>
        <w:tc>
          <w:tcPr>
            <w:tcW w:type="dxa" w:w="1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Flag rate</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Transactions</w:t>
            </w:r>
          </w:p>
        </w:tc>
        <w:tc>
          <w:tcPr>
            <w:tcW w:type="dxa" w:w="32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Domestic</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18.88%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11,520</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International</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36.88%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480</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About twice the domestic rate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Transfer</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28.49%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3,549</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Cash Withdrawal</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25.31%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1,430</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Deposit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16.19%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1,328</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Airtime/Data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15.19%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1,185</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Card Purchase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13.02%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3,033</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Type: Bill Payment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12.81%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1,475</w:t>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Web / ATM / Mobile App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21.35% / 21.18% / 19.40%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Channel: POS / USSD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18.35% / 17.32%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Small differences between channels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Month: January / February / March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18.53% / 20.27% / 20.06%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spacing w:after="60"/>
      </w:pPr>
    </w:p>
    <w:p>
      <w:pPr>
        <w:spacing w:after="120"/>
      </w:pPr>
      <w:r>
        <w:rPr>
          <w:rFonts w:ascii="Calibri" w:cs="Calibri" w:eastAsia="Calibri" w:hAnsi="Calibri"/>
          <w:b/>
          <w:bCs/>
          <w:sz w:val="22"/>
          <w:szCs w:val="22"/>
        </w:rPr>
        <w:t xml:space="preserve">Reading. </w:t>
      </w:r>
      <w:r>
        <w:rPr>
          <w:rFonts w:ascii="Calibri" w:cs="Calibri" w:eastAsia="Calibri" w:hAnsi="Calibri"/>
          <w:sz w:val="22"/>
          <w:szCs w:val="22"/>
        </w:rPr>
        <w:t xml:space="preserve">The rate depends mainly on what is in the mix. International status, the Transfer and Cash Withdrawal types, and high amounts are associated with more flags, while the channel and the segment make little difference. A rise in the dashboard rate could therefore come from a larger share of transfers or international transactions, without any change in customer behaviour. For this reason the rate should always be read with the mix next to it. As the flag is synthetic, the figure describes the dataset and must not be presented as a fraud rate.</w:t>
      </w:r>
    </w:p>
    <w:p>
      <w:pPr>
        <w:pStyle w:val="Heading1"/>
        <w:spacing w:after="140" w:before="320"/>
      </w:pPr>
      <w:r>
        <w:rPr>
          <w:rFonts w:ascii="Calibri" w:cs="Calibri" w:eastAsia="Calibri" w:hAnsi="Calibri"/>
          <w:b/>
          <w:bCs/>
          <w:color w:val="1F3864"/>
          <w:sz w:val="30"/>
          <w:szCs w:val="30"/>
        </w:rPr>
        <w:t xml:space="preserve">3. Suggested monitoring rules</w:t>
      </w:r>
    </w:p>
    <w:p>
      <w:pPr>
        <w:spacing w:after="120"/>
      </w:pPr>
      <w:r>
        <w:rPr>
          <w:rFonts w:ascii="Calibri" w:cs="Calibri" w:eastAsia="Calibri" w:hAnsi="Calibri"/>
          <w:sz w:val="22"/>
          <w:szCs w:val="22"/>
        </w:rPr>
        <w:t xml:space="preserve">These rules are starting proposals built from the ranges observed over the three months. They should be adjusted with real data and with the tolerance chosen by the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600"/>
        <w:gridCol w:w="2126"/>
      </w:tblGrid>
      <w:tr>
        <w:trPr>
          <w:tblHeader/>
        </w:trPr>
        <w:tc>
          <w:tcPr>
            <w:tcW w:type="dxa" w:w="2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KPI</w:t>
            </w:r>
          </w:p>
        </w:tc>
        <w:tc>
          <w:tcPr>
            <w:tcW w:type="dxa" w:w="23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Observed range</w:t>
            </w:r>
          </w:p>
        </w:tc>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Suggested watch rule</w:t>
            </w:r>
          </w:p>
        </w:tc>
        <w:tc>
          <w:tcPr>
            <w:tcW w:type="dxa" w:w="2126"/>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Why</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Transactions per day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133 to 134 per day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Review if the 7-day average moves more than 10% from 133</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Activity is very stable, so a move would be a real signal</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Success rate by channel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89.75% to 91.70%</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Review any channel more than 2 points below the overall rate (under about 88.5%)</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Separates a real problem from normal variation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Average and median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Ratio about 4.5</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Always show both, and review if the ratio goes above 6</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Warns when a few large transactions distort the average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Risk Review Rate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18.5% to 20.3% by month</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Review if a month moves more than 3 points from 19.6%, and read it with the international and transfer share</w:t>
            </w:r>
          </w:p>
        </w:tc>
        <w:tc>
          <w:tcPr>
            <w:tcW w:type="dxa" w:w="2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Rate depends on the mix of transactions</w:t>
            </w:r>
          </w:p>
        </w:tc>
      </w:tr>
    </w:tbl>
    <w:p>
      <w:pPr>
        <w:pStyle w:val="Heading1"/>
        <w:spacing w:after="140" w:before="320"/>
      </w:pPr>
      <w:r>
        <w:rPr>
          <w:rFonts w:ascii="Calibri" w:cs="Calibri" w:eastAsia="Calibri" w:hAnsi="Calibri"/>
          <w:b/>
          <w:bCs/>
          <w:color w:val="1F3864"/>
          <w:sz w:val="30"/>
          <w:szCs w:val="30"/>
        </w:rPr>
        <w:t xml:space="preserve">4. Points to keep in mind</w:t>
      </w:r>
    </w:p>
    <w:p>
      <w:pPr>
        <w:pStyle w:val="ListParagraph"/>
        <w:numPr>
          <w:ilvl w:val="0"/>
          <w:numId w:val="2"/>
        </w:numPr>
        <w:spacing w:after="80"/>
      </w:pPr>
      <w:r>
        <w:rPr>
          <w:rFonts w:ascii="Calibri" w:cs="Calibri" w:eastAsia="Calibri" w:hAnsi="Calibri"/>
          <w:sz w:val="22"/>
          <w:szCs w:val="22"/>
        </w:rPr>
        <w:t xml:space="preserve">The data is synthetic, so some regularities are unrealistic (about 133 transactions every day, the same number in every hour). Rules and ranges above would need to be rebuilt on real data.</w:t>
      </w:r>
    </w:p>
    <w:p>
      <w:pPr>
        <w:pStyle w:val="ListParagraph"/>
        <w:numPr>
          <w:ilvl w:val="0"/>
          <w:numId w:val="2"/>
        </w:numPr>
        <w:spacing w:after="80"/>
      </w:pPr>
      <w:r>
        <w:rPr>
          <w:rFonts w:ascii="Calibri" w:cs="Calibri" w:eastAsia="Calibri" w:hAnsi="Calibri"/>
          <w:sz w:val="22"/>
          <w:szCs w:val="22"/>
        </w:rPr>
        <w:t xml:space="preserve">Three months of data do not allow any statement on growth or seasonality.</w:t>
      </w:r>
    </w:p>
    <w:p>
      <w:pPr>
        <w:pStyle w:val="ListParagraph"/>
        <w:numPr>
          <w:ilvl w:val="0"/>
          <w:numId w:val="2"/>
        </w:numPr>
        <w:spacing w:after="80"/>
      </w:pPr>
      <w:r>
        <w:rPr>
          <w:rFonts w:ascii="Calibri" w:cs="Calibri" w:eastAsia="Calibri" w:hAnsi="Calibri"/>
          <w:sz w:val="22"/>
          <w:szCs w:val="22"/>
        </w:rPr>
        <w:t xml:space="preserve">The Total Value, Average, Median and high-value figures depend on the amounts being read correctly. A decimal-comma import error multiplies the amounts by about 90, so these values should be checked against this document every time the data is reloaded.</w:t>
      </w:r>
    </w:p>
    <w:p>
      <w:pPr>
        <w:pStyle w:val="ListParagraph"/>
        <w:numPr>
          <w:ilvl w:val="0"/>
          <w:numId w:val="2"/>
        </w:numPr>
        <w:spacing w:after="80"/>
      </w:pPr>
      <w:r>
        <w:rPr>
          <w:rFonts w:ascii="Calibri" w:cs="Calibri" w:eastAsia="Calibri" w:hAnsi="Calibri"/>
          <w:sz w:val="22"/>
          <w:szCs w:val="22"/>
        </w:rPr>
        <w:t xml:space="preserve">Segment and channel differences in success rate and flag rate are small, so they are described as trends to watch and not as proven differences.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Week 3 KPI Analysis</dc:title>
  <dc:creator>Yawa Jacqueline GBEDEVI</dc:creator>
  <cp:lastModifiedBy>Un-named</cp:lastModifiedBy>
  <cp:revision>1</cp:revision>
  <dcterms:created xsi:type="dcterms:W3CDTF">2026-10-10T17:56:07.950Z</dcterms:created>
  <dcterms:modified xsi:type="dcterms:W3CDTF">2026-10-10T17:56:07.953Z</dcterms:modified>
</cp:coreProperties>
</file>

<file path=docProps/custom.xml><?xml version="1.0" encoding="utf-8"?>
<Properties xmlns="http://schemas.openxmlformats.org/officeDocument/2006/custom-properties" xmlns:vt="http://schemas.openxmlformats.org/officeDocument/2006/docPropsVTypes"/>
</file>