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8D19" w14:textId="4ED06CEF" w:rsidR="007E78F1" w:rsidRPr="007E78F1" w:rsidRDefault="007E78F1" w:rsidP="007E78F1">
      <w:pPr>
        <w:jc w:val="center"/>
        <w:rPr>
          <w:b/>
          <w:bCs/>
          <w:sz w:val="40"/>
          <w:szCs w:val="40"/>
          <w:lang w:val="fr-TG"/>
        </w:rPr>
      </w:pPr>
      <w:r w:rsidRPr="007E78F1">
        <w:rPr>
          <w:b/>
          <w:bCs/>
          <w:sz w:val="40"/>
          <w:szCs w:val="40"/>
          <w:lang w:val="fr-TG"/>
        </w:rPr>
        <w:t xml:space="preserve">Rapport de Synthèse </w:t>
      </w:r>
      <w:r w:rsidRPr="007E78F1">
        <w:rPr>
          <w:b/>
          <w:bCs/>
          <w:sz w:val="40"/>
          <w:szCs w:val="40"/>
          <w:lang w:val="fr-TG"/>
        </w:rPr>
        <w:t>-</w:t>
      </w:r>
      <w:r w:rsidRPr="007E78F1">
        <w:rPr>
          <w:b/>
          <w:bCs/>
          <w:sz w:val="40"/>
          <w:szCs w:val="40"/>
          <w:lang w:val="fr-TG"/>
        </w:rPr>
        <w:t xml:space="preserve"> Analyse du Service Public Numérique</w:t>
      </w:r>
    </w:p>
    <w:p w14:paraId="29469CCC" w14:textId="5AE35B25" w:rsidR="007E78F1" w:rsidRPr="007E78F1" w:rsidRDefault="007E78F1" w:rsidP="007E78F1">
      <w:pPr>
        <w:pStyle w:val="Sansinterligne"/>
        <w:rPr>
          <w:sz w:val="36"/>
          <w:szCs w:val="36"/>
        </w:rPr>
      </w:pPr>
      <w:r w:rsidRPr="007E78F1">
        <w:rPr>
          <w:sz w:val="36"/>
          <w:szCs w:val="36"/>
        </w:rPr>
        <w:t>Contexte de l’étude</w:t>
      </w:r>
    </w:p>
    <w:p w14:paraId="14FA181B" w14:textId="3A205033" w:rsidR="007E78F1" w:rsidRPr="007E78F1" w:rsidRDefault="007E78F1" w:rsidP="007E78F1">
      <w:p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Ce travail s’inscrit dans une démarche d’amélioration du fonctionnement d</w:t>
      </w:r>
      <w:r w:rsidR="00CC3314">
        <w:rPr>
          <w:sz w:val="24"/>
          <w:szCs w:val="24"/>
          <w:lang w:val="fr-TG"/>
        </w:rPr>
        <w:t>es</w:t>
      </w:r>
      <w:r w:rsidRPr="007E78F1">
        <w:rPr>
          <w:sz w:val="24"/>
          <w:szCs w:val="24"/>
          <w:lang w:val="fr-TG"/>
        </w:rPr>
        <w:t xml:space="preserve"> service</w:t>
      </w:r>
      <w:r w:rsidR="00CC3314">
        <w:rPr>
          <w:sz w:val="24"/>
          <w:szCs w:val="24"/>
          <w:lang w:val="fr-TG"/>
        </w:rPr>
        <w:t>s</w:t>
      </w:r>
      <w:r w:rsidRPr="007E78F1">
        <w:rPr>
          <w:sz w:val="24"/>
          <w:szCs w:val="24"/>
          <w:lang w:val="fr-TG"/>
        </w:rPr>
        <w:t xml:space="preserve"> public en charge du traitement des demandes administratives</w:t>
      </w:r>
      <w:r w:rsidR="00CC3314">
        <w:rPr>
          <w:sz w:val="24"/>
          <w:szCs w:val="24"/>
          <w:lang w:val="fr-TG"/>
        </w:rPr>
        <w:t xml:space="preserve"> pour l’</w:t>
      </w:r>
      <w:r w:rsidR="00CC3314">
        <w:rPr>
          <w:sz w:val="24"/>
          <w:szCs w:val="24"/>
        </w:rPr>
        <w:t>établissement des documents officiels au Togo</w:t>
      </w:r>
      <w:r w:rsidRPr="007E78F1">
        <w:rPr>
          <w:sz w:val="24"/>
          <w:szCs w:val="24"/>
          <w:lang w:val="fr-TG"/>
        </w:rPr>
        <w:t>. L’objectif est d’évaluer la performance opérationnelle, la couverture territoriale, la qualité de service et l’efficience des centres, afin d’appuyer la prise de décision stratégique.</w:t>
      </w:r>
    </w:p>
    <w:p w14:paraId="597B6DB1" w14:textId="77777777" w:rsidR="007E78F1" w:rsidRPr="007E78F1" w:rsidRDefault="007E78F1" w:rsidP="007E78F1">
      <w:p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Les analyses ont été menées à partir des journaux d’activité (logs), des caractéristiques des centres et des données démographiques liées aux communes.</w:t>
      </w:r>
    </w:p>
    <w:p w14:paraId="6F2C0DBE" w14:textId="3D9F5066" w:rsidR="007E78F1" w:rsidRPr="007E78F1" w:rsidRDefault="007E78F1" w:rsidP="007E78F1">
      <w:pPr>
        <w:rPr>
          <w:sz w:val="24"/>
          <w:szCs w:val="24"/>
          <w:lang w:val="fr-TG"/>
        </w:rPr>
      </w:pPr>
    </w:p>
    <w:p w14:paraId="08182830" w14:textId="13DB192E" w:rsidR="007E78F1" w:rsidRPr="007E78F1" w:rsidRDefault="007E78F1" w:rsidP="007E78F1">
      <w:pPr>
        <w:pStyle w:val="Sansinterligne"/>
        <w:rPr>
          <w:sz w:val="36"/>
          <w:szCs w:val="36"/>
        </w:rPr>
      </w:pPr>
      <w:r w:rsidRPr="007E78F1">
        <w:rPr>
          <w:sz w:val="36"/>
          <w:szCs w:val="36"/>
        </w:rPr>
        <w:t xml:space="preserve"> Principaux enseignements issus de l’analyse</w:t>
      </w:r>
    </w:p>
    <w:p w14:paraId="21CA7E26" w14:textId="77777777" w:rsidR="007E78F1" w:rsidRPr="007E78F1" w:rsidRDefault="007E78F1" w:rsidP="007E78F1">
      <w:pPr>
        <w:pStyle w:val="Titre1"/>
        <w:rPr>
          <w:sz w:val="32"/>
          <w:szCs w:val="32"/>
        </w:rPr>
      </w:pPr>
      <w:r w:rsidRPr="007E78F1">
        <w:rPr>
          <w:sz w:val="32"/>
          <w:szCs w:val="32"/>
        </w:rPr>
        <w:t>2.1. Distribution des demandes</w:t>
      </w:r>
    </w:p>
    <w:p w14:paraId="705640EF" w14:textId="77777777" w:rsidR="007E78F1" w:rsidRPr="007E78F1" w:rsidRDefault="007E78F1" w:rsidP="007E78F1">
      <w:pPr>
        <w:numPr>
          <w:ilvl w:val="0"/>
          <w:numId w:val="1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 volume de demandes est inégalement réparti entre les régions.</w:t>
      </w:r>
    </w:p>
    <w:p w14:paraId="3805F574" w14:textId="77777777" w:rsidR="007E78F1" w:rsidRPr="007E78F1" w:rsidRDefault="007E78F1" w:rsidP="007E78F1">
      <w:pPr>
        <w:numPr>
          <w:ilvl w:val="0"/>
          <w:numId w:val="1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Les régions Kara, Plateaux, Maritime et Centrale concentrent la majorité des volumes, ce qui reflète une densité de population plus élevée ou une meilleure accessibilité.</w:t>
      </w:r>
    </w:p>
    <w:p w14:paraId="57A63AE1" w14:textId="77777777" w:rsidR="007E78F1" w:rsidRPr="007E78F1" w:rsidRDefault="007E78F1" w:rsidP="007E78F1">
      <w:pPr>
        <w:pStyle w:val="Titre1"/>
        <w:rPr>
          <w:sz w:val="32"/>
          <w:szCs w:val="32"/>
        </w:rPr>
      </w:pPr>
      <w:r w:rsidRPr="007E78F1">
        <w:rPr>
          <w:sz w:val="32"/>
          <w:szCs w:val="32"/>
        </w:rPr>
        <w:t>2.2. Délais de traitement</w:t>
      </w:r>
    </w:p>
    <w:p w14:paraId="1F2DBE7B" w14:textId="77777777" w:rsidR="007E78F1" w:rsidRPr="007E78F1" w:rsidRDefault="007E78F1" w:rsidP="007E78F1">
      <w:pPr>
        <w:numPr>
          <w:ilvl w:val="0"/>
          <w:numId w:val="2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 délai moyen observé est d’environ 20,7 jours, ce qui constitue une attente importante pour l'usager.</w:t>
      </w:r>
    </w:p>
    <w:p w14:paraId="1698BED4" w14:textId="77777777" w:rsidR="007E78F1" w:rsidRPr="007E78F1" w:rsidRDefault="007E78F1" w:rsidP="007E78F1">
      <w:pPr>
        <w:pStyle w:val="Titre1"/>
        <w:rPr>
          <w:sz w:val="32"/>
          <w:szCs w:val="32"/>
        </w:rPr>
      </w:pPr>
      <w:r w:rsidRPr="007E78F1">
        <w:rPr>
          <w:sz w:val="32"/>
          <w:szCs w:val="32"/>
        </w:rPr>
        <w:t>2.3. Saturation des centres</w:t>
      </w:r>
    </w:p>
    <w:p w14:paraId="7CDD8648" w14:textId="77777777" w:rsidR="007E78F1" w:rsidRPr="007E78F1" w:rsidRDefault="007E78F1" w:rsidP="007E78F1">
      <w:pPr>
        <w:numPr>
          <w:ilvl w:val="0"/>
          <w:numId w:val="3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La saturation mensuelle moyenne nationale est estimée à ~2,05%, mais cette moyenne masque des pics importants par centre.</w:t>
      </w:r>
    </w:p>
    <w:p w14:paraId="59756BFF" w14:textId="522A9F97" w:rsidR="007E78F1" w:rsidRPr="007E78F1" w:rsidRDefault="007E78F1" w:rsidP="007E78F1">
      <w:pPr>
        <w:numPr>
          <w:ilvl w:val="0"/>
          <w:numId w:val="3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Certains centres</w:t>
      </w:r>
      <w:r w:rsidR="00CC3314">
        <w:rPr>
          <w:sz w:val="24"/>
          <w:szCs w:val="24"/>
          <w:lang w:val="fr-TG"/>
        </w:rPr>
        <w:t xml:space="preserve"> comme </w:t>
      </w:r>
      <w:r w:rsidR="00CC3314" w:rsidRPr="00CC3314">
        <w:rPr>
          <w:sz w:val="24"/>
          <w:szCs w:val="24"/>
        </w:rPr>
        <w:t>“</w:t>
      </w:r>
      <w:r w:rsidR="00CC3314">
        <w:rPr>
          <w:sz w:val="24"/>
          <w:szCs w:val="24"/>
        </w:rPr>
        <w:t xml:space="preserve">centre </w:t>
      </w:r>
      <w:proofErr w:type="spellStart"/>
      <w:r w:rsidR="00CC3314">
        <w:rPr>
          <w:sz w:val="24"/>
          <w:szCs w:val="24"/>
        </w:rPr>
        <w:t>Bafilo</w:t>
      </w:r>
      <w:proofErr w:type="spellEnd"/>
      <w:r w:rsidR="00CC3314">
        <w:rPr>
          <w:sz w:val="24"/>
          <w:szCs w:val="24"/>
        </w:rPr>
        <w:t xml:space="preserve">, centre </w:t>
      </w:r>
      <w:proofErr w:type="spellStart"/>
      <w:r w:rsidR="00CC3314">
        <w:rPr>
          <w:sz w:val="24"/>
          <w:szCs w:val="24"/>
        </w:rPr>
        <w:t>blitta</w:t>
      </w:r>
      <w:proofErr w:type="spellEnd"/>
      <w:r w:rsidR="00CC3314">
        <w:rPr>
          <w:sz w:val="24"/>
          <w:szCs w:val="24"/>
        </w:rPr>
        <w:t xml:space="preserve"> gare, centre </w:t>
      </w:r>
      <w:proofErr w:type="spellStart"/>
      <w:r w:rsidR="00CC3314">
        <w:rPr>
          <w:sz w:val="24"/>
          <w:szCs w:val="24"/>
        </w:rPr>
        <w:t>amlamé</w:t>
      </w:r>
      <w:proofErr w:type="spellEnd"/>
      <w:r w:rsidR="00CC3314">
        <w:rPr>
          <w:sz w:val="24"/>
          <w:szCs w:val="24"/>
        </w:rPr>
        <w:t xml:space="preserve">, centre </w:t>
      </w:r>
      <w:proofErr w:type="spellStart"/>
      <w:r w:rsidR="00CC3314">
        <w:rPr>
          <w:sz w:val="24"/>
          <w:szCs w:val="24"/>
        </w:rPr>
        <w:t>niamtougou</w:t>
      </w:r>
      <w:proofErr w:type="spellEnd"/>
      <w:r w:rsidR="00CC3314" w:rsidRPr="00CC3314">
        <w:rPr>
          <w:sz w:val="24"/>
          <w:szCs w:val="24"/>
        </w:rPr>
        <w:t>”</w:t>
      </w:r>
      <w:r w:rsidRPr="007E78F1">
        <w:rPr>
          <w:sz w:val="24"/>
          <w:szCs w:val="24"/>
          <w:lang w:val="fr-TG"/>
        </w:rPr>
        <w:t xml:space="preserve"> présentent des taux supérieurs à 200%, révélant une surcharge opérationnelle.</w:t>
      </w:r>
    </w:p>
    <w:p w14:paraId="08BCE896" w14:textId="77777777" w:rsidR="007E78F1" w:rsidRPr="007E78F1" w:rsidRDefault="007E78F1" w:rsidP="007E78F1">
      <w:pPr>
        <w:pStyle w:val="Titre1"/>
      </w:pPr>
      <w:r w:rsidRPr="007E78F1">
        <w:t>2.4. Couverture territoriale</w:t>
      </w:r>
    </w:p>
    <w:p w14:paraId="523378E4" w14:textId="77777777" w:rsidR="007E78F1" w:rsidRPr="007E78F1" w:rsidRDefault="007E78F1" w:rsidP="007E78F1">
      <w:pPr>
        <w:numPr>
          <w:ilvl w:val="0"/>
          <w:numId w:val="4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 service couvre environ 14,2% des communes, ce qui signifie que plus de 85% du territoire n’a pas accès direct à un centre.</w:t>
      </w:r>
    </w:p>
    <w:p w14:paraId="1BB197B9" w14:textId="77777777" w:rsidR="007E78F1" w:rsidRDefault="007E78F1" w:rsidP="007E78F1">
      <w:pPr>
        <w:numPr>
          <w:ilvl w:val="0"/>
          <w:numId w:val="4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L’absence de centres dans des zones rurales limite l’accessibilité et génère des migrations administratives.</w:t>
      </w:r>
    </w:p>
    <w:p w14:paraId="72DE74C2" w14:textId="77777777" w:rsidR="00CC3314" w:rsidRPr="007E78F1" w:rsidRDefault="00CC3314" w:rsidP="00CC3314">
      <w:pPr>
        <w:ind w:left="720"/>
        <w:rPr>
          <w:sz w:val="24"/>
          <w:szCs w:val="24"/>
          <w:lang w:val="fr-TG"/>
        </w:rPr>
      </w:pPr>
    </w:p>
    <w:p w14:paraId="07166655" w14:textId="77777777" w:rsidR="007E78F1" w:rsidRPr="007E78F1" w:rsidRDefault="007E78F1" w:rsidP="007E78F1">
      <w:pPr>
        <w:pStyle w:val="Titre1"/>
      </w:pPr>
      <w:r w:rsidRPr="007E78F1">
        <w:lastRenderedPageBreak/>
        <w:t>2.5. Pénétration administrative</w:t>
      </w:r>
    </w:p>
    <w:p w14:paraId="0160815B" w14:textId="76F05C76" w:rsidR="007E78F1" w:rsidRPr="007E78F1" w:rsidRDefault="007E78F1" w:rsidP="007E78F1">
      <w:pPr>
        <w:numPr>
          <w:ilvl w:val="0"/>
          <w:numId w:val="5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 taux moyen de pénétration est de ~11,07‰, montrant une utilisation modérée d</w:t>
      </w:r>
      <w:r w:rsidR="00CC3314">
        <w:rPr>
          <w:sz w:val="24"/>
          <w:szCs w:val="24"/>
          <w:lang w:val="fr-TG"/>
        </w:rPr>
        <w:t>es</w:t>
      </w:r>
      <w:r w:rsidRPr="007E78F1">
        <w:rPr>
          <w:sz w:val="24"/>
          <w:szCs w:val="24"/>
          <w:lang w:val="fr-TG"/>
        </w:rPr>
        <w:t xml:space="preserve"> service</w:t>
      </w:r>
      <w:r w:rsidR="00CC3314">
        <w:rPr>
          <w:sz w:val="24"/>
          <w:szCs w:val="24"/>
          <w:lang w:val="fr-TG"/>
        </w:rPr>
        <w:t>s</w:t>
      </w:r>
      <w:r w:rsidRPr="007E78F1">
        <w:rPr>
          <w:sz w:val="24"/>
          <w:szCs w:val="24"/>
          <w:lang w:val="fr-TG"/>
        </w:rPr>
        <w:t>.</w:t>
      </w:r>
    </w:p>
    <w:p w14:paraId="6FC67CF3" w14:textId="77777777" w:rsidR="007E78F1" w:rsidRPr="007E78F1" w:rsidRDefault="007E78F1" w:rsidP="007E78F1">
      <w:pPr>
        <w:pStyle w:val="Titre1"/>
      </w:pPr>
      <w:r w:rsidRPr="007E78F1">
        <w:t>2.6. Qualité du service</w:t>
      </w:r>
    </w:p>
    <w:p w14:paraId="2CB45F1B" w14:textId="77777777" w:rsidR="007E78F1" w:rsidRPr="007E78F1" w:rsidRDefault="007E78F1" w:rsidP="007E78F1">
      <w:pPr>
        <w:numPr>
          <w:ilvl w:val="0"/>
          <w:numId w:val="6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 taux de premier dépôt conforme atteint ~66%, indiquant que 1 demande sur 3 nécessite correction, ce qui augmente la charge de traitement et rallonge les délais.</w:t>
      </w:r>
    </w:p>
    <w:p w14:paraId="1EB146C8" w14:textId="7F6E1818" w:rsidR="007E78F1" w:rsidRPr="007E78F1" w:rsidRDefault="007E78F1" w:rsidP="007E78F1">
      <w:pPr>
        <w:rPr>
          <w:sz w:val="24"/>
          <w:szCs w:val="24"/>
          <w:lang w:val="fr-TG"/>
        </w:rPr>
      </w:pPr>
    </w:p>
    <w:p w14:paraId="11F5346F" w14:textId="1C0DEA9B" w:rsidR="007E78F1" w:rsidRPr="007E78F1" w:rsidRDefault="007E78F1" w:rsidP="007E78F1">
      <w:pPr>
        <w:pStyle w:val="Sansinterligne"/>
      </w:pPr>
      <w:r w:rsidRPr="007E78F1">
        <w:t>KPI Clés et Interprétation</w:t>
      </w:r>
    </w:p>
    <w:p w14:paraId="06E94EA2" w14:textId="77777777" w:rsidR="007E78F1" w:rsidRPr="007E78F1" w:rsidRDefault="007E78F1" w:rsidP="007E78F1">
      <w:p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Les KPI retenus sont les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361"/>
        <w:gridCol w:w="3970"/>
      </w:tblGrid>
      <w:tr w:rsidR="007E78F1" w:rsidRPr="007E78F1" w14:paraId="25C7D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A5B31" w14:textId="77777777" w:rsidR="007E78F1" w:rsidRPr="007E78F1" w:rsidRDefault="007E78F1" w:rsidP="007E78F1">
            <w:pPr>
              <w:rPr>
                <w:b/>
                <w:bCs/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09456F" w14:textId="77777777" w:rsidR="007E78F1" w:rsidRPr="007E78F1" w:rsidRDefault="007E78F1" w:rsidP="007E78F1">
            <w:pPr>
              <w:rPr>
                <w:b/>
                <w:bCs/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Finalité analytique</w:t>
            </w:r>
          </w:p>
        </w:tc>
        <w:tc>
          <w:tcPr>
            <w:tcW w:w="0" w:type="auto"/>
            <w:vAlign w:val="center"/>
            <w:hideMark/>
          </w:tcPr>
          <w:p w14:paraId="02B99CFA" w14:textId="77777777" w:rsidR="007E78F1" w:rsidRPr="007E78F1" w:rsidRDefault="007E78F1" w:rsidP="007E78F1">
            <w:pPr>
              <w:rPr>
                <w:b/>
                <w:bCs/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Interprétation décisionnelle</w:t>
            </w:r>
          </w:p>
        </w:tc>
      </w:tr>
      <w:tr w:rsidR="007E78F1" w:rsidRPr="007E78F1" w14:paraId="2E1A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ABC7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Taux de Saturation Mensuelle des Centres</w:t>
            </w:r>
          </w:p>
        </w:tc>
        <w:tc>
          <w:tcPr>
            <w:tcW w:w="0" w:type="auto"/>
            <w:vAlign w:val="center"/>
            <w:hideMark/>
          </w:tcPr>
          <w:p w14:paraId="6399FF35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Mesurer la pression opérationnelle</w:t>
            </w:r>
          </w:p>
        </w:tc>
        <w:tc>
          <w:tcPr>
            <w:tcW w:w="0" w:type="auto"/>
            <w:vAlign w:val="center"/>
            <w:hideMark/>
          </w:tcPr>
          <w:p w14:paraId="25E06F4B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&gt;100% = centre sous-dimensionné, nécessite renfort ou redéploiement</w:t>
            </w:r>
          </w:p>
        </w:tc>
      </w:tr>
      <w:tr w:rsidR="007E78F1" w:rsidRPr="007E78F1" w14:paraId="31AF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53F8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Délai Moyen de Traitement (jours)</w:t>
            </w:r>
          </w:p>
        </w:tc>
        <w:tc>
          <w:tcPr>
            <w:tcW w:w="0" w:type="auto"/>
            <w:vAlign w:val="center"/>
            <w:hideMark/>
          </w:tcPr>
          <w:p w14:paraId="7C1F254F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Mesurer la performance interne</w:t>
            </w:r>
          </w:p>
        </w:tc>
        <w:tc>
          <w:tcPr>
            <w:tcW w:w="0" w:type="auto"/>
            <w:vAlign w:val="center"/>
            <w:hideMark/>
          </w:tcPr>
          <w:p w14:paraId="51E74E32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&gt;15 jours = risque d’insatisfaction usager et ralentissement administratif</w:t>
            </w:r>
          </w:p>
        </w:tc>
      </w:tr>
      <w:tr w:rsidR="007E78F1" w:rsidRPr="007E78F1" w14:paraId="5777F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2AEF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Taux de Couverture Territoriale (%)</w:t>
            </w:r>
          </w:p>
        </w:tc>
        <w:tc>
          <w:tcPr>
            <w:tcW w:w="0" w:type="auto"/>
            <w:vAlign w:val="center"/>
            <w:hideMark/>
          </w:tcPr>
          <w:p w14:paraId="3A93D609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Mesurer l’accessibilité géographique</w:t>
            </w:r>
          </w:p>
        </w:tc>
        <w:tc>
          <w:tcPr>
            <w:tcW w:w="0" w:type="auto"/>
            <w:vAlign w:val="center"/>
            <w:hideMark/>
          </w:tcPr>
          <w:p w14:paraId="5486EE7C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Faible taux = nécessité de centres mobiles / dématérialisation</w:t>
            </w:r>
          </w:p>
        </w:tc>
      </w:tr>
      <w:tr w:rsidR="007E78F1" w:rsidRPr="007E78F1" w14:paraId="4E66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0DB0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Taux de Pénétration (‰)</w:t>
            </w:r>
          </w:p>
        </w:tc>
        <w:tc>
          <w:tcPr>
            <w:tcW w:w="0" w:type="auto"/>
            <w:vAlign w:val="center"/>
            <w:hideMark/>
          </w:tcPr>
          <w:p w14:paraId="7FD2DA0C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Mesurer l’usage par habitant</w:t>
            </w:r>
          </w:p>
        </w:tc>
        <w:tc>
          <w:tcPr>
            <w:tcW w:w="0" w:type="auto"/>
            <w:vAlign w:val="center"/>
            <w:hideMark/>
          </w:tcPr>
          <w:p w14:paraId="5703F8A4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Faible taux = déficit d’information ou barrière d'accès</w:t>
            </w:r>
          </w:p>
        </w:tc>
      </w:tr>
      <w:tr w:rsidR="007E78F1" w:rsidRPr="007E78F1" w14:paraId="1951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0E93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Taux de Premier Dépôt Conforme (%)</w:t>
            </w:r>
          </w:p>
        </w:tc>
        <w:tc>
          <w:tcPr>
            <w:tcW w:w="0" w:type="auto"/>
            <w:vAlign w:val="center"/>
            <w:hideMark/>
          </w:tcPr>
          <w:p w14:paraId="3444F465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Mesurer la qualité du front-office</w:t>
            </w:r>
          </w:p>
        </w:tc>
        <w:tc>
          <w:tcPr>
            <w:tcW w:w="0" w:type="auto"/>
            <w:vAlign w:val="center"/>
            <w:hideMark/>
          </w:tcPr>
          <w:p w14:paraId="54609C1C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&lt;80% = documents mal renseignés → besoin de guides usagers</w:t>
            </w:r>
          </w:p>
        </w:tc>
      </w:tr>
      <w:tr w:rsidR="007E78F1" w:rsidRPr="007E78F1" w14:paraId="6595E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981A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b/>
                <w:bCs/>
                <w:sz w:val="24"/>
                <w:szCs w:val="24"/>
                <w:lang w:val="fr-TG"/>
              </w:rPr>
              <w:t>Charge par Agent (dossiers/agent)</w:t>
            </w:r>
          </w:p>
        </w:tc>
        <w:tc>
          <w:tcPr>
            <w:tcW w:w="0" w:type="auto"/>
            <w:vAlign w:val="center"/>
            <w:hideMark/>
          </w:tcPr>
          <w:p w14:paraId="66FC224B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Mesurer l’efficience opérationnelle</w:t>
            </w:r>
          </w:p>
        </w:tc>
        <w:tc>
          <w:tcPr>
            <w:tcW w:w="0" w:type="auto"/>
            <w:vAlign w:val="center"/>
            <w:hideMark/>
          </w:tcPr>
          <w:p w14:paraId="71BC7308" w14:textId="77777777" w:rsidR="007E78F1" w:rsidRPr="007E78F1" w:rsidRDefault="007E78F1" w:rsidP="007E78F1">
            <w:pPr>
              <w:rPr>
                <w:sz w:val="24"/>
                <w:szCs w:val="24"/>
                <w:lang w:val="fr-TG"/>
              </w:rPr>
            </w:pPr>
            <w:r w:rsidRPr="007E78F1">
              <w:rPr>
                <w:sz w:val="24"/>
                <w:szCs w:val="24"/>
                <w:lang w:val="fr-TG"/>
              </w:rPr>
              <w:t>Valeur élevée = risque d’épuisement et baisse de qualité</w:t>
            </w:r>
          </w:p>
        </w:tc>
      </w:tr>
    </w:tbl>
    <w:p w14:paraId="42D7564E" w14:textId="24878E62" w:rsidR="007E78F1" w:rsidRPr="007E78F1" w:rsidRDefault="007E78F1" w:rsidP="007E78F1">
      <w:pPr>
        <w:rPr>
          <w:sz w:val="24"/>
          <w:szCs w:val="24"/>
          <w:lang w:val="fr-TG"/>
        </w:rPr>
      </w:pPr>
    </w:p>
    <w:p w14:paraId="5A16C64D" w14:textId="48427DBE" w:rsidR="007E78F1" w:rsidRPr="007E78F1" w:rsidRDefault="007E78F1" w:rsidP="007E78F1">
      <w:pPr>
        <w:pStyle w:val="Sansinterligne"/>
      </w:pPr>
      <w:r w:rsidRPr="007E78F1">
        <w:t xml:space="preserve"> Recommandations Opérationnelles</w:t>
      </w:r>
    </w:p>
    <w:p w14:paraId="36C25B41" w14:textId="77777777" w:rsidR="007E78F1" w:rsidRPr="007E78F1" w:rsidRDefault="007E78F1" w:rsidP="007E78F1">
      <w:p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Les recommandations se structurent autour de trois axes : organisation, territoire, qualité de service.</w:t>
      </w:r>
    </w:p>
    <w:p w14:paraId="593399F0" w14:textId="77777777" w:rsidR="007E78F1" w:rsidRPr="007E78F1" w:rsidRDefault="007E78F1" w:rsidP="007E78F1">
      <w:pPr>
        <w:pStyle w:val="Titre1"/>
      </w:pPr>
      <w:r w:rsidRPr="007E78F1">
        <w:t>4.1. Optimisation Organisationnelle</w:t>
      </w:r>
    </w:p>
    <w:p w14:paraId="7E8100CD" w14:textId="0F3C3D9B" w:rsidR="007E78F1" w:rsidRPr="007E78F1" w:rsidRDefault="007E78F1" w:rsidP="007E78F1">
      <w:pPr>
        <w:pStyle w:val="Paragraphedeliste"/>
        <w:numPr>
          <w:ilvl w:val="0"/>
          <w:numId w:val="9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Renforcer le personnel dans les centres en surcharge chronique (&gt;1</w:t>
      </w:r>
      <w:r w:rsidR="003A25A7">
        <w:rPr>
          <w:sz w:val="24"/>
          <w:szCs w:val="24"/>
          <w:lang w:val="fr-TG"/>
        </w:rPr>
        <w:t>0</w:t>
      </w:r>
      <w:r w:rsidRPr="007E78F1">
        <w:rPr>
          <w:sz w:val="24"/>
          <w:szCs w:val="24"/>
          <w:lang w:val="fr-TG"/>
        </w:rPr>
        <w:t>0%)</w:t>
      </w:r>
    </w:p>
    <w:p w14:paraId="6AD30C05" w14:textId="77777777" w:rsidR="007E78F1" w:rsidRPr="007E78F1" w:rsidRDefault="007E78F1" w:rsidP="007E78F1">
      <w:pPr>
        <w:pStyle w:val="Paragraphedeliste"/>
        <w:numPr>
          <w:ilvl w:val="0"/>
          <w:numId w:val="9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 xml:space="preserve"> Red</w:t>
      </w:r>
      <w:r w:rsidRPr="007E78F1">
        <w:rPr>
          <w:rFonts w:ascii="Calibri" w:hAnsi="Calibri" w:cs="Calibri"/>
          <w:sz w:val="24"/>
          <w:szCs w:val="24"/>
          <w:lang w:val="fr-TG"/>
        </w:rPr>
        <w:t>é</w:t>
      </w:r>
      <w:r w:rsidRPr="007E78F1">
        <w:rPr>
          <w:sz w:val="24"/>
          <w:szCs w:val="24"/>
          <w:lang w:val="fr-TG"/>
        </w:rPr>
        <w:t>ployer des agents des centres sous-utilisés (&lt;50%)</w:t>
      </w:r>
    </w:p>
    <w:p w14:paraId="2BA57769" w14:textId="0F5FD74B" w:rsidR="007E78F1" w:rsidRPr="007E78F1" w:rsidRDefault="007E78F1" w:rsidP="007E78F1">
      <w:pPr>
        <w:pStyle w:val="Paragraphedeliste"/>
        <w:numPr>
          <w:ilvl w:val="0"/>
          <w:numId w:val="9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Mettre en place une planification basée sur la saisonnalité des demandes</w:t>
      </w:r>
    </w:p>
    <w:p w14:paraId="05E2CE37" w14:textId="77777777" w:rsidR="007E78F1" w:rsidRPr="007E78F1" w:rsidRDefault="007E78F1" w:rsidP="007E78F1">
      <w:pPr>
        <w:pStyle w:val="Titre1"/>
      </w:pPr>
      <w:r w:rsidRPr="007E78F1">
        <w:t>4.2. Amélioration de l’Accessibilité</w:t>
      </w:r>
    </w:p>
    <w:p w14:paraId="791A97F0" w14:textId="77777777" w:rsidR="007E78F1" w:rsidRPr="007E78F1" w:rsidRDefault="007E78F1" w:rsidP="007E78F1">
      <w:pPr>
        <w:pStyle w:val="Paragraphedeliste"/>
        <w:numPr>
          <w:ilvl w:val="0"/>
          <w:numId w:val="10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lastRenderedPageBreak/>
        <w:t>Déployer des guichets mobiles dans les zones rurales</w:t>
      </w:r>
    </w:p>
    <w:p w14:paraId="7C1694E6" w14:textId="77777777" w:rsidR="007E78F1" w:rsidRPr="007E78F1" w:rsidRDefault="007E78F1" w:rsidP="007E78F1">
      <w:pPr>
        <w:pStyle w:val="Paragraphedeliste"/>
        <w:numPr>
          <w:ilvl w:val="0"/>
          <w:numId w:val="10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Acc</w:t>
      </w:r>
      <w:r w:rsidRPr="007E78F1">
        <w:rPr>
          <w:rFonts w:ascii="Calibri" w:hAnsi="Calibri" w:cs="Calibri"/>
          <w:sz w:val="24"/>
          <w:szCs w:val="24"/>
          <w:lang w:val="fr-TG"/>
        </w:rPr>
        <w:t>é</w:t>
      </w:r>
      <w:r w:rsidRPr="007E78F1">
        <w:rPr>
          <w:sz w:val="24"/>
          <w:szCs w:val="24"/>
          <w:lang w:val="fr-TG"/>
        </w:rPr>
        <w:t>l</w:t>
      </w:r>
      <w:r w:rsidRPr="007E78F1">
        <w:rPr>
          <w:rFonts w:ascii="Calibri" w:hAnsi="Calibri" w:cs="Calibri"/>
          <w:sz w:val="24"/>
          <w:szCs w:val="24"/>
          <w:lang w:val="fr-TG"/>
        </w:rPr>
        <w:t>é</w:t>
      </w:r>
      <w:r w:rsidRPr="007E78F1">
        <w:rPr>
          <w:sz w:val="24"/>
          <w:szCs w:val="24"/>
          <w:lang w:val="fr-TG"/>
        </w:rPr>
        <w:t>rer la dématérialisation des dépôts</w:t>
      </w:r>
    </w:p>
    <w:p w14:paraId="690DCA00" w14:textId="1FF10341" w:rsidR="007E78F1" w:rsidRPr="007E78F1" w:rsidRDefault="007E78F1" w:rsidP="007E78F1">
      <w:pPr>
        <w:pStyle w:val="Paragraphedeliste"/>
        <w:numPr>
          <w:ilvl w:val="0"/>
          <w:numId w:val="10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 xml:space="preserve"> Prioriser l</w:t>
      </w:r>
      <w:r w:rsidRPr="007E78F1">
        <w:rPr>
          <w:rFonts w:ascii="Calibri" w:hAnsi="Calibri" w:cs="Calibri"/>
          <w:sz w:val="24"/>
          <w:szCs w:val="24"/>
          <w:lang w:val="fr-TG"/>
        </w:rPr>
        <w:t>’</w:t>
      </w:r>
      <w:r w:rsidRPr="007E78F1">
        <w:rPr>
          <w:sz w:val="24"/>
          <w:szCs w:val="24"/>
          <w:lang w:val="fr-TG"/>
        </w:rPr>
        <w:t>installation de nouveaux centres dans les régions non couvertes</w:t>
      </w:r>
    </w:p>
    <w:p w14:paraId="510B60C7" w14:textId="77777777" w:rsidR="007E78F1" w:rsidRPr="007E78F1" w:rsidRDefault="007E78F1" w:rsidP="007E78F1">
      <w:pPr>
        <w:pStyle w:val="Titre1"/>
      </w:pPr>
      <w:r w:rsidRPr="007E78F1">
        <w:t>4.3. Renforcement de la Qualité du Service</w:t>
      </w:r>
    </w:p>
    <w:p w14:paraId="626D7342" w14:textId="77777777" w:rsidR="007E78F1" w:rsidRPr="007E78F1" w:rsidRDefault="007E78F1" w:rsidP="007E78F1">
      <w:pPr>
        <w:pStyle w:val="Paragraphedeliste"/>
        <w:numPr>
          <w:ilvl w:val="0"/>
          <w:numId w:val="11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Publier une liste unique et claire des pièces requises</w:t>
      </w:r>
    </w:p>
    <w:p w14:paraId="68D896E3" w14:textId="77777777" w:rsidR="007E78F1" w:rsidRPr="007E78F1" w:rsidRDefault="007E78F1" w:rsidP="007E78F1">
      <w:pPr>
        <w:pStyle w:val="Paragraphedeliste"/>
        <w:numPr>
          <w:ilvl w:val="0"/>
          <w:numId w:val="11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Mettre en place un assistant de pré-dépôt (web ou mobile)</w:t>
      </w:r>
    </w:p>
    <w:p w14:paraId="3C8C9905" w14:textId="223DD8CE" w:rsidR="007E78F1" w:rsidRPr="007E78F1" w:rsidRDefault="007E78F1" w:rsidP="007E78F1">
      <w:pPr>
        <w:pStyle w:val="Paragraphedeliste"/>
        <w:numPr>
          <w:ilvl w:val="0"/>
          <w:numId w:val="11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Instaurer des formations front-office sur le contrôle documentaire</w:t>
      </w:r>
    </w:p>
    <w:p w14:paraId="78D72FC7" w14:textId="77777777" w:rsidR="007E78F1" w:rsidRPr="007E78F1" w:rsidRDefault="007E78F1" w:rsidP="007E78F1">
      <w:pPr>
        <w:rPr>
          <w:b/>
          <w:bCs/>
          <w:sz w:val="24"/>
          <w:szCs w:val="24"/>
          <w:lang w:val="fr-TG"/>
        </w:rPr>
      </w:pPr>
      <w:r w:rsidRPr="007E78F1">
        <w:rPr>
          <w:b/>
          <w:bCs/>
          <w:sz w:val="24"/>
          <w:szCs w:val="24"/>
          <w:lang w:val="fr-TG"/>
        </w:rPr>
        <w:t>4.4. Pilotage et Suivi</w:t>
      </w:r>
    </w:p>
    <w:p w14:paraId="3D25A4ED" w14:textId="29BB2A90" w:rsidR="007E78F1" w:rsidRPr="007E78F1" w:rsidRDefault="007E78F1" w:rsidP="007E78F1">
      <w:pPr>
        <w:pStyle w:val="Paragraphedeliste"/>
        <w:numPr>
          <w:ilvl w:val="0"/>
          <w:numId w:val="14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 xml:space="preserve">Suivre mensuellement les KPI via tableau de bord </w:t>
      </w:r>
    </w:p>
    <w:p w14:paraId="45557F8F" w14:textId="4221E781" w:rsidR="007E78F1" w:rsidRPr="007E78F1" w:rsidRDefault="007E78F1" w:rsidP="007E78F1">
      <w:pPr>
        <w:pStyle w:val="Paragraphedeliste"/>
        <w:numPr>
          <w:ilvl w:val="0"/>
          <w:numId w:val="14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D</w:t>
      </w:r>
      <w:r w:rsidRPr="007E78F1">
        <w:rPr>
          <w:rFonts w:ascii="Calibri" w:hAnsi="Calibri" w:cs="Calibri"/>
          <w:sz w:val="24"/>
          <w:szCs w:val="24"/>
          <w:lang w:val="fr-TG"/>
        </w:rPr>
        <w:t>é</w:t>
      </w:r>
      <w:r w:rsidRPr="007E78F1">
        <w:rPr>
          <w:sz w:val="24"/>
          <w:szCs w:val="24"/>
          <w:lang w:val="fr-TG"/>
        </w:rPr>
        <w:t>finir des seuils d’alerte (ex : saturation &gt;1</w:t>
      </w:r>
      <w:r w:rsidR="003A25A7">
        <w:rPr>
          <w:sz w:val="24"/>
          <w:szCs w:val="24"/>
          <w:lang w:val="fr-TG"/>
        </w:rPr>
        <w:t>0</w:t>
      </w:r>
      <w:r w:rsidRPr="007E78F1">
        <w:rPr>
          <w:sz w:val="24"/>
          <w:szCs w:val="24"/>
          <w:lang w:val="fr-TG"/>
        </w:rPr>
        <w:t>0%, délai &gt;15j)</w:t>
      </w:r>
    </w:p>
    <w:p w14:paraId="7250D2C3" w14:textId="2E63CA52" w:rsidR="007E78F1" w:rsidRPr="007E78F1" w:rsidRDefault="007E78F1" w:rsidP="007E78F1">
      <w:pPr>
        <w:pStyle w:val="Paragraphedeliste"/>
        <w:numPr>
          <w:ilvl w:val="0"/>
          <w:numId w:val="14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Int</w:t>
      </w:r>
      <w:r w:rsidRPr="007E78F1">
        <w:rPr>
          <w:rFonts w:ascii="Calibri" w:hAnsi="Calibri" w:cs="Calibri"/>
          <w:sz w:val="24"/>
          <w:szCs w:val="24"/>
          <w:lang w:val="fr-TG"/>
        </w:rPr>
        <w:t>é</w:t>
      </w:r>
      <w:r w:rsidRPr="007E78F1">
        <w:rPr>
          <w:sz w:val="24"/>
          <w:szCs w:val="24"/>
          <w:lang w:val="fr-TG"/>
        </w:rPr>
        <w:t>grer la dimension populationnelle pour ajuster la ressource humaine</w:t>
      </w:r>
    </w:p>
    <w:p w14:paraId="21B26B38" w14:textId="4243224C" w:rsidR="007E78F1" w:rsidRPr="007E78F1" w:rsidRDefault="007E78F1" w:rsidP="007E78F1">
      <w:pPr>
        <w:rPr>
          <w:sz w:val="24"/>
          <w:szCs w:val="24"/>
          <w:lang w:val="fr-TG"/>
        </w:rPr>
      </w:pPr>
    </w:p>
    <w:p w14:paraId="54C7F7DE" w14:textId="77777777" w:rsidR="007E78F1" w:rsidRPr="007E78F1" w:rsidRDefault="007E78F1" w:rsidP="007E78F1">
      <w:pPr>
        <w:rPr>
          <w:b/>
          <w:bCs/>
          <w:sz w:val="24"/>
          <w:szCs w:val="24"/>
          <w:lang w:val="fr-TG"/>
        </w:rPr>
      </w:pPr>
      <w:r w:rsidRPr="007E78F1">
        <w:rPr>
          <w:b/>
          <w:bCs/>
          <w:sz w:val="24"/>
          <w:szCs w:val="24"/>
          <w:lang w:val="fr-TG"/>
        </w:rPr>
        <w:t>5. Conclusion</w:t>
      </w:r>
    </w:p>
    <w:p w14:paraId="167CE627" w14:textId="3DD090E2" w:rsidR="007E78F1" w:rsidRPr="007E78F1" w:rsidRDefault="007E78F1" w:rsidP="007E78F1">
      <w:p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 xml:space="preserve">L’analyse met en lumière une demande croissante, une hétérogénéité territoriale forte, et des centres localement sous-dimensionnés. Le système actuel répond aux besoins urbains mais reste insuffisamment </w:t>
      </w:r>
      <w:r w:rsidRPr="007E78F1">
        <w:rPr>
          <w:sz w:val="24"/>
          <w:szCs w:val="24"/>
          <w:lang w:val="fr-TG"/>
        </w:rPr>
        <w:t>accessible</w:t>
      </w:r>
      <w:r w:rsidRPr="007E78F1">
        <w:rPr>
          <w:sz w:val="24"/>
          <w:szCs w:val="24"/>
          <w:lang w:val="fr-TG"/>
        </w:rPr>
        <w:t xml:space="preserve"> et homogène à l’échelle du territoire.</w:t>
      </w:r>
    </w:p>
    <w:p w14:paraId="50962C3A" w14:textId="77777777" w:rsidR="007E78F1" w:rsidRPr="007E78F1" w:rsidRDefault="007E78F1" w:rsidP="007E78F1">
      <w:p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La mise en place d’un pilotage régulier par KPI, d’une amélioration des processus front-office et d’une extension territoriale ciblée permettraient de :</w:t>
      </w:r>
    </w:p>
    <w:p w14:paraId="2C2B808B" w14:textId="59B2C41C" w:rsidR="007E78F1" w:rsidRPr="007E78F1" w:rsidRDefault="007E78F1" w:rsidP="007E78F1">
      <w:pPr>
        <w:numPr>
          <w:ilvl w:val="0"/>
          <w:numId w:val="7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Réduire</w:t>
      </w:r>
      <w:r w:rsidRPr="007E78F1">
        <w:rPr>
          <w:sz w:val="24"/>
          <w:szCs w:val="24"/>
          <w:lang w:val="fr-TG"/>
        </w:rPr>
        <w:t xml:space="preserve"> les délais,</w:t>
      </w:r>
    </w:p>
    <w:p w14:paraId="1BEF1550" w14:textId="1C5B81A9" w:rsidR="007E78F1" w:rsidRPr="007E78F1" w:rsidRDefault="007E78F1" w:rsidP="007E78F1">
      <w:pPr>
        <w:numPr>
          <w:ilvl w:val="0"/>
          <w:numId w:val="7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Améliorer</w:t>
      </w:r>
      <w:r w:rsidRPr="007E78F1">
        <w:rPr>
          <w:sz w:val="24"/>
          <w:szCs w:val="24"/>
          <w:lang w:val="fr-TG"/>
        </w:rPr>
        <w:t xml:space="preserve"> la satisfaction citoyenne,</w:t>
      </w:r>
    </w:p>
    <w:p w14:paraId="3E11561C" w14:textId="30535887" w:rsidR="007E78F1" w:rsidRPr="007E78F1" w:rsidRDefault="007E78F1" w:rsidP="007E78F1">
      <w:pPr>
        <w:numPr>
          <w:ilvl w:val="0"/>
          <w:numId w:val="7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Optimiser</w:t>
      </w:r>
      <w:r w:rsidRPr="007E78F1">
        <w:rPr>
          <w:sz w:val="24"/>
          <w:szCs w:val="24"/>
          <w:lang w:val="fr-TG"/>
        </w:rPr>
        <w:t xml:space="preserve"> les ressources,</w:t>
      </w:r>
    </w:p>
    <w:p w14:paraId="3A2144EB" w14:textId="7D4BB188" w:rsidR="007E78F1" w:rsidRPr="007E78F1" w:rsidRDefault="007E78F1" w:rsidP="007E78F1">
      <w:pPr>
        <w:numPr>
          <w:ilvl w:val="0"/>
          <w:numId w:val="7"/>
        </w:num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Renforcer</w:t>
      </w:r>
      <w:r w:rsidRPr="007E78F1">
        <w:rPr>
          <w:sz w:val="24"/>
          <w:szCs w:val="24"/>
          <w:lang w:val="fr-TG"/>
        </w:rPr>
        <w:t xml:space="preserve"> l'équité territoriale.</w:t>
      </w:r>
    </w:p>
    <w:p w14:paraId="295DAF8F" w14:textId="77777777" w:rsidR="007E78F1" w:rsidRPr="007E78F1" w:rsidRDefault="007E78F1" w:rsidP="007E78F1">
      <w:pPr>
        <w:rPr>
          <w:sz w:val="24"/>
          <w:szCs w:val="24"/>
          <w:lang w:val="fr-TG"/>
        </w:rPr>
      </w:pPr>
      <w:r w:rsidRPr="007E78F1">
        <w:rPr>
          <w:sz w:val="24"/>
          <w:szCs w:val="24"/>
          <w:lang w:val="fr-TG"/>
        </w:rPr>
        <w:t>Ce travail constitue une base solide pour un plan d’amélioration continue du service public numérique.</w:t>
      </w:r>
    </w:p>
    <w:p w14:paraId="753794AB" w14:textId="77777777" w:rsidR="002E25E1" w:rsidRPr="007E78F1" w:rsidRDefault="002E25E1">
      <w:pPr>
        <w:rPr>
          <w:sz w:val="24"/>
          <w:szCs w:val="24"/>
          <w:lang w:val="fr-TG"/>
        </w:rPr>
      </w:pPr>
    </w:p>
    <w:sectPr w:rsidR="002E25E1" w:rsidRPr="007E7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373"/>
    <w:multiLevelType w:val="multilevel"/>
    <w:tmpl w:val="3D1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11009"/>
    <w:multiLevelType w:val="hybridMultilevel"/>
    <w:tmpl w:val="BE5C46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8488E"/>
    <w:multiLevelType w:val="hybridMultilevel"/>
    <w:tmpl w:val="876EFA9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915F9"/>
    <w:multiLevelType w:val="multilevel"/>
    <w:tmpl w:val="3D4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1713F"/>
    <w:multiLevelType w:val="hybridMultilevel"/>
    <w:tmpl w:val="80A84E8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A51BB"/>
    <w:multiLevelType w:val="hybridMultilevel"/>
    <w:tmpl w:val="7410FA4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764C54"/>
    <w:multiLevelType w:val="multilevel"/>
    <w:tmpl w:val="D3E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232D1"/>
    <w:multiLevelType w:val="multilevel"/>
    <w:tmpl w:val="776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D7338"/>
    <w:multiLevelType w:val="hybridMultilevel"/>
    <w:tmpl w:val="00006D1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E35D8"/>
    <w:multiLevelType w:val="multilevel"/>
    <w:tmpl w:val="AE8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D3014"/>
    <w:multiLevelType w:val="multilevel"/>
    <w:tmpl w:val="579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A52B2"/>
    <w:multiLevelType w:val="hybridMultilevel"/>
    <w:tmpl w:val="D9F08D4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B2EF6"/>
    <w:multiLevelType w:val="multilevel"/>
    <w:tmpl w:val="AB3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3142B"/>
    <w:multiLevelType w:val="hybridMultilevel"/>
    <w:tmpl w:val="A9A48550"/>
    <w:lvl w:ilvl="0" w:tplc="E836E646">
      <w:start w:val="1"/>
      <w:numFmt w:val="decimal"/>
      <w:pStyle w:val="Sansinterligne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784369">
    <w:abstractNumId w:val="7"/>
  </w:num>
  <w:num w:numId="2" w16cid:durableId="60912675">
    <w:abstractNumId w:val="9"/>
  </w:num>
  <w:num w:numId="3" w16cid:durableId="1174883189">
    <w:abstractNumId w:val="3"/>
  </w:num>
  <w:num w:numId="4" w16cid:durableId="840849979">
    <w:abstractNumId w:val="0"/>
  </w:num>
  <w:num w:numId="5" w16cid:durableId="262299619">
    <w:abstractNumId w:val="10"/>
  </w:num>
  <w:num w:numId="6" w16cid:durableId="1117603111">
    <w:abstractNumId w:val="6"/>
  </w:num>
  <w:num w:numId="7" w16cid:durableId="1378123124">
    <w:abstractNumId w:val="12"/>
  </w:num>
  <w:num w:numId="8" w16cid:durableId="504633628">
    <w:abstractNumId w:val="13"/>
  </w:num>
  <w:num w:numId="9" w16cid:durableId="1833065172">
    <w:abstractNumId w:val="8"/>
  </w:num>
  <w:num w:numId="10" w16cid:durableId="774835018">
    <w:abstractNumId w:val="4"/>
  </w:num>
  <w:num w:numId="11" w16cid:durableId="495727486">
    <w:abstractNumId w:val="2"/>
  </w:num>
  <w:num w:numId="12" w16cid:durableId="1502549491">
    <w:abstractNumId w:val="5"/>
  </w:num>
  <w:num w:numId="13" w16cid:durableId="889997968">
    <w:abstractNumId w:val="1"/>
  </w:num>
  <w:num w:numId="14" w16cid:durableId="13514887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F1"/>
    <w:rsid w:val="001B4369"/>
    <w:rsid w:val="001D7DB4"/>
    <w:rsid w:val="002E25E1"/>
    <w:rsid w:val="00300E10"/>
    <w:rsid w:val="003A25A7"/>
    <w:rsid w:val="006627EB"/>
    <w:rsid w:val="006F68D5"/>
    <w:rsid w:val="007E78F1"/>
    <w:rsid w:val="00CC3314"/>
    <w:rsid w:val="00F6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24797"/>
  <w15:chartTrackingRefBased/>
  <w15:docId w15:val="{54A74BF6-D969-499A-87CE-12B41E0F4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E78F1"/>
    <w:pPr>
      <w:outlineLvl w:val="0"/>
    </w:pPr>
    <w:rPr>
      <w:b/>
      <w:bCs/>
      <w:sz w:val="28"/>
      <w:szCs w:val="28"/>
      <w:lang w:val="fr-TG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7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7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78F1"/>
    <w:rPr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7E78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E78F1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E78F1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E78F1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E78F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E78F1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E78F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E78F1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E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78F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78F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E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78F1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E78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78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7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78F1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E78F1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basedOn w:val="Paragraphedeliste"/>
    <w:uiPriority w:val="1"/>
    <w:qFormat/>
    <w:rsid w:val="007E78F1"/>
    <w:pPr>
      <w:numPr>
        <w:numId w:val="8"/>
      </w:numPr>
    </w:pPr>
    <w:rPr>
      <w:b/>
      <w:bCs/>
      <w:sz w:val="32"/>
      <w:szCs w:val="32"/>
      <w:lang w:val="fr-T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88B1A-19E7-4A92-87BA-ED17649CC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gbedevi</dc:creator>
  <cp:keywords/>
  <dc:description/>
  <cp:lastModifiedBy>jacqueline gbedevi</cp:lastModifiedBy>
  <cp:revision>1</cp:revision>
  <dcterms:created xsi:type="dcterms:W3CDTF">2026-01-20T16:06:00Z</dcterms:created>
  <dcterms:modified xsi:type="dcterms:W3CDTF">2026-01-20T16:46:00Z</dcterms:modified>
</cp:coreProperties>
</file>