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5.png" ContentType="image/png"/>
  <Override PartName="/word/media/rId64.jpg" ContentType="image/jpeg"/>
  <Override PartName="/word/media/rId46.svg" ContentType="image/svg+xml"/>
  <Override PartName="/word/media/rId92.png" ContentType="image/png"/>
  <Override PartName="/word/media/rId102.png" ContentType="image/png"/>
  <Override PartName="/word/media/rId109.png" ContentType="image/png"/>
  <Override PartName="/word/media/rId82.png" ContentType="image/png"/>
  <Override PartName="/word/media/rId98.png" ContentType="image/png"/>
  <Override PartName="/word/media/rId78.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Colby</w:t>
      </w:r>
      <w:r>
        <w:rPr>
          <w:vertAlign w:val="superscript"/>
        </w:rPr>
        <w:t xml:space="preserve">3</w:t>
      </w:r>
      <w:r>
        <w:t xml:space="preserve">, and Julia Droulin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Lingustics, University of Ottawa</w:t>
      </w:r>
    </w:p>
    <w:p>
      <w:pPr>
        <w:pStyle w:val="Author"/>
      </w:pPr>
      <w:r>
        <w:rPr>
          <w:vertAlign w:val="superscript"/>
        </w:rPr>
        <w:t xml:space="preserve">4</w:t>
      </w:r>
      <w:r>
        <w:t xml:space="preserve">Department of Psychology and Neuroscience,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Droulin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Colby</w:t>
      </w:r>
      <w:r>
        <w:rPr>
          <w:b/>
          <w:bCs/>
        </w:rPr>
        <w:t xml:space="preserve">: </w:t>
      </w:r>
      <w:r>
        <w:t xml:space="preserve">methodology and writing – review &amp; editing. </w:t>
      </w:r>
      <w:r>
        <w:rPr>
          <w:i/>
          <w:iCs/>
        </w:rPr>
        <w:t xml:space="preserve">Julia Droulin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w:t>
      </w:r>
      <w:r>
        <w:t xml:space="preserve"> </w:t>
      </w:r>
      <w:r>
        <w:rPr>
          <w:rStyle w:val="VerbatimChar"/>
        </w:rPr>
        <w:t xml:space="preserve">webgazeR</w:t>
      </w:r>
      <w:r>
        <w:t xml:space="preserve">,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3"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sometimes required the use of contact lenses fitted with search coils, often requiring anesthesia, or the attachment of suction cups to the sclera of the eyes</w:t>
      </w:r>
      <w:r>
        <w:t xml:space="preserve"> </w:t>
      </w:r>
      <w:r>
        <w:t xml:space="preserve">(Płużyczka, 2018)</w:t>
      </w:r>
      <w:r>
        <w:t xml:space="preserve">. These methods were not only cumbersome for the researcher,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Despite its widespread adoption in cognitive and behavioral research, eye-tracking technology faces several obstacles that can limit its accessibility and integration into research programs. One significant challenge is the specialized expertise required to operate research-grade eye-trackers. Proper calibration, data collection, and analysis often demand extensive training, meaning that studies typically need to be conducted in controlled lab environments by trained students or faculty. This reliance on specialized skills can be a barrier for researchers who lack access to experienced personnel or institutional support.</w:t>
      </w:r>
    </w:p>
    <w:p>
      <w:pPr>
        <w:pStyle w:val="BodyText"/>
      </w:pPr>
      <w:r>
        <w:t xml:space="preserve">Cost is another major limitation. High-quality eye-tracking equipment can be prohibitively expensive, with prices ranging from a few thousand dollars (e.g., Gazepoint; www.gazept.com) to tens of thousands of dollars for more advanced systems (e.g., Tobii; www.tobii.com, SR Research; www.sr-research.com). These costs extend beyond the hardware, as proprietary software, maintenance, and upgrades can further strain research budgets. Consequently, institutions with limited funding may find it challenging to invest in or sustain eye-tracking research.</w:t>
      </w:r>
    </w:p>
    <w:p>
      <w:pPr>
        <w:pStyle w:val="BodyText"/>
      </w:pPr>
      <w:r>
        <w:t xml:space="preserve">Time constraints also pose a significant hurdle. Many labs possess only a limited number of eye-trackers, restricting the number of participants that can be run simultaneously. This limitation can lead to prolonged data collection periods, especially for studies requiring large sample sizes or longitudinal designs. The time-intensive nature of both data collection and the subsequent analysis can deter researchers from integrating eye-tracking into their projects.</w:t>
      </w:r>
    </w:p>
    <w:p>
      <w:pPr>
        <w:pStyle w:val="BodyText"/>
      </w:pPr>
      <w:r>
        <w:t xml:space="preserve">In addition to the above, an issue often not discussed is the burden placed on participants. Participating in eye-tracking studies requires participants to come into the lab. This significantly limits the sample or population researchers can recruit. Behavioral science research, in general, frequently suffers from a lack of diversity, relying heavily on participants who are predominantly Western, Educated, Industrialized, Rich, Democratic, and able-bodied (WEIRD-A)</w:t>
      </w:r>
      <w:r>
        <w:t xml:space="preserve"> </w:t>
      </w:r>
      <w:r>
        <w:t xml:space="preserve">(Henrich et al., 2010)</w:t>
      </w:r>
      <w:r>
        <w:t xml:space="preserve">. This focus often excludes individuals from geographically dispersed areas, those from lower socioeconomic backgrounds, and people with disabilities who may face barriers to accessing research facilities. In language research, this issue is particularly evident, as it often prioritizes modal listeners and speakers, which are typically characterized as young, monolingual, and neurotypical</w:t>
      </w:r>
      <w:r>
        <w:t xml:space="preserve"> </w:t>
      </w:r>
      <w:r>
        <w:t xml:space="preserve">(Blasi et al., 2022; Bylund et al., 2024; McMurray et al., 2010)</w:t>
      </w:r>
    </w:p>
    <w:p>
      <w:pPr>
        <w:pStyle w:val="BodyText"/>
      </w:pPr>
      <w:r>
        <w:t xml:space="preserve">Collectively, these challenges—expertise, cost, time, and space/location—mean that not all researchers have the resources or capacity to incorporate eye-tracking into their research program nor recruit the sample they want, thereby limiting the broader adoption of this powerful methodology in fields where it could provide valuable insights.</w:t>
      </w:r>
    </w:p>
    <w:bookmarkStart w:id="40" w:name="eye-tracking-outside-the-lab"/>
    <w:p>
      <w:pPr>
        <w:pStyle w:val="Heading2"/>
      </w:pPr>
      <w:r>
        <w:t xml:space="preserve">Eye-tracking outside the lab</w:t>
      </w:r>
    </w:p>
    <w:p>
      <w:pPr>
        <w:pStyle w:val="FirstParagraph"/>
      </w:pPr>
      <w:r>
        <w:t xml:space="preserve">Methods that allow participants to use their own equipment from anywhere in the world offer a potential solution to the issues outlined above, enabling researchers to recruit more diverse and disadvantaged samples and explore a broader range of questions</w:t>
      </w:r>
      <w:r>
        <w:t xml:space="preserve"> </w:t>
      </w:r>
      <w:r>
        <w:t xml:space="preserve">(Gosling et al., 2010)</w:t>
      </w:r>
      <w:r>
        <w:t xml:space="preserve">.  The shift toward online behavioral experiments has been gradually increasing in the behavioral sciences and has become ever more important since the COVID-19 pandemic forced many to explore options outside the lab</w:t>
      </w:r>
      <w:r>
        <w:t xml:space="preserve"> </w:t>
      </w:r>
      <w:r>
        <w:t xml:space="preserve">(Anderson et al., 2019; Rodd, 2024)</w:t>
      </w:r>
      <w:r>
        <w:t xml:space="preserve">. The</w:t>
      </w:r>
      <w:r>
        <w:t xml:space="preserve"> </w:t>
      </w:r>
      <w:r>
        <w:rPr>
          <w:i/>
          <w:iCs/>
        </w:rPr>
        <w:t xml:space="preserve">onlineification</w:t>
      </w:r>
      <w:r>
        <w:t xml:space="preserve"> </w:t>
      </w:r>
      <w:r>
        <w:t xml:space="preserve">of behavioral research has prompted the development of eye-tracking methods that do not rely on traditional lab settings.</w:t>
      </w:r>
    </w:p>
    <w:p>
      <w:pPr>
        <w:pStyle w:val="BodyText"/>
      </w:pPr>
      <w:r>
        <w:t xml:space="preserve">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tutorial, is automated eye-tracking or webcam eye-tracking. Webcam eye-tracking requires three things: 1. A personal computer. 2. An internet connection and 3. A purchased or pre-installed webcamera. Gaze information can be collected via a web browser. One common method to perform webcam eye-tracking is through an open source, free, and actively maintained JavaScript library plugin called WebGazer.js</w:t>
      </w:r>
      <w:r>
        <w:t xml:space="preserve"> </w:t>
      </w:r>
      <w:r>
        <w:t xml:space="preserve">(Papoutsaki et al., 2016)</w:t>
      </w:r>
      <w:r>
        <w:t xml:space="preserve">. This plugin is already incorporated into several popular experimental platforms (e.g., Gorilla,</w:t>
      </w:r>
      <w:r>
        <w:t xml:space="preserve"> </w:t>
      </w:r>
      <w:r>
        <w:rPr>
          <w:i/>
          <w:iCs/>
        </w:rPr>
        <w:t xml:space="preserve">jsPsych</w:t>
      </w:r>
      <w:r>
        <w:t xml:space="preserve">, PsychoPy, and PCIbex;</w:t>
      </w:r>
      <w:r>
        <w:t xml:space="preserve"> </w:t>
      </w:r>
      <w:r>
        <w:t xml:space="preserve">(Anwyl-Irvine et al., 2020; Leeuw, 2015; Peirce et al., 2019; Zehr &amp; Schwarz, 2018)</w:t>
      </w:r>
      <w:r>
        <w:t xml:space="preserve">. WebGazer.js runs locally through a person’s personal computer via a browser. A benefit of WebGazer.js is that it does not require users to download any software, and is fully integrated in the browser, making it extremely easy to start webcam eye-tracking. In addition, videos taken from webcams are not recorded and saved which eliminates some of the ethical and privacy concerns.</w:t>
      </w:r>
    </w:p>
    <w:p>
      <w:pPr>
        <w:pStyle w:val="BodyText"/>
      </w:pPr>
      <w:r>
        <w:t xml:space="preserve">WebGazer.js utilizes facial feature detection to estimate gaze positions in real time through a webcam. At each time point, determined by the sampling rate, x and y coordinates of the gaze are recorded. The system employs machine learning to analyze the relative movement of the eyes and infer the gaze location on the screen. To enhance accuracy, calibration and validation procedures are implemented, during which participants fixate on markers with known positions on the screen.</w:t>
      </w:r>
    </w:p>
    <w:p>
      <w:pPr>
        <w:pStyle w:val="BodyText"/>
      </w:pPr>
      <w:r>
        <w:t xml:space="preserve">During calibration, users interact with visual stimuli by looking at and clicking on randomly placed dots or by following a moving dot across the screen. This interaction allows the system to map eye positions to specific screen coordinates. In the subsequent validation phase, participants repeat a similar procedure, enabling researchers to assess the accuracy of the gaze predictions. These procedures provide an estimate of the deviation between the calibrated eye-tracking data (where the system predicts the participant looked) and the actual known positions of the stimuli, thus allowing for the evaluation and refinement of gaze estimation accuracy.</w:t>
      </w:r>
    </w:p>
    <w:p>
      <w:pPr>
        <w:pStyle w:val="BodyText"/>
      </w:pPr>
      <w:r>
        <w:t xml:space="preserve">It is important to note that WebGazer.js is not the only method available. Other methods have been implemented by companies like Tobii (www.tobii.com) and Labvanced</w:t>
      </w:r>
      <w:r>
        <w:t xml:space="preserve"> </w:t>
      </w:r>
      <w:r>
        <w:t xml:space="preserve">(Kaduk et al., 2024)</w:t>
      </w:r>
      <w:r>
        <w:t xml:space="preserve"> </w:t>
      </w:r>
      <w:r>
        <w:t xml:space="preserve">. However, because these methods are proprietary, they are less accessible and difficult to reproduce.</w:t>
      </w:r>
    </w:p>
    <w:p>
      <w:pPr>
        <w:pStyle w:val="BodyText"/>
      </w:pPr>
      <w:r>
        <w:t xml:space="preserve">The algorithms underlying webcam-based eye tracking differ significantly from those used in research-grade eye trackers. Research-grade systems commonly employ video-based recording and rely on one or more cameras and the pupil-corneal reflection (P-CR) method to track gaze with high precision</w:t>
      </w:r>
      <w:r>
        <w:t xml:space="preserve"> </w:t>
      </w:r>
      <w:r>
        <w:t xml:space="preserve">(Carter &amp; Luke, 2020)</w:t>
      </w:r>
      <w:r>
        <w:t xml:space="preserve">. This method utilizes infrared light to illuminate the eyes, capturing reflections (known as glints) from the cornea and pupil. High-speed cameras simultaneously capture images at rates of hundreds or thousands of frames per second to measure eye position. By combining data from the corneal reflections and pupil location, these systems calculate gaze direction and position. To derive real-world information about where participants looked, a transformation is required, which is usually done mathematically</w:t>
      </w:r>
      <w:r>
        <w:t xml:space="preserve"> </w:t>
      </w:r>
      <w:r>
        <w:t xml:space="preserve">(Hooge et al., 2024)</w:t>
      </w:r>
      <w:r>
        <w:t xml:space="preserve">.</w:t>
      </w:r>
    </w:p>
    <w:p>
      <w:pPr>
        <w:pStyle w:val="BodyText"/>
      </w:pPr>
      <w:r>
        <w:t xml:space="preserve">This leads to an important question: how does consumer-grade webcam eye tracking compare to research-grade systems? While validation studies are ongoing, webcam-based eye trackers generally exhibit reduced spatiotemporal accuracy. Studies have reported that these systems achieve spatial accuracy and precision exceeding 1° of visual angle, with latencies ranging from 200 ms to 1000 ms</w:t>
      </w:r>
      <w:r>
        <w:t xml:space="preserve"> </w:t>
      </w:r>
      <w:r>
        <w:t xml:space="preserve">(Kaduk et al., 2024; Semmelmann &amp; Weigelt, 2018; Slim et al., 2024; Slim &amp; Hartsuiker, 2023)</w:t>
      </w:r>
      <w:r>
        <w:t xml:space="preserve">. Furthermore, the sampling rate of webcam-based systems is much lower, typically capped at 60 Hz, with most studies reporting average or median rates around 30 Hz</w:t>
      </w:r>
      <w:r>
        <w:t xml:space="preserve"> </w:t>
      </w:r>
      <w:r>
        <w:t xml:space="preserve">(Bramlett &amp; Wiener, 2024; Prystauka et al., 2024)</w:t>
      </w:r>
      <w:r>
        <w:t xml:space="preserve">. Unlike research-grade systems, webcam eye trackers do not use infrared light; instead, they rely on ambient light from the participant’s environment. This dependency introduces additional variability in tracking performance.</w:t>
      </w:r>
    </w:p>
    <w:p>
      <w:pPr>
        <w:pStyle w:val="BodyText"/>
      </w:pPr>
      <w:r>
        <w:t xml:space="preserve">To compare, a study of 15 research-grade eye-trackers by</w:t>
      </w:r>
      <w:r>
        <w:t xml:space="preserve"> </w:t>
      </w:r>
      <w:r>
        <w:t xml:space="preserve">Hooge et al. (2024)</w:t>
      </w:r>
      <w:r>
        <w:t xml:space="preserve"> </w:t>
      </w:r>
      <w:r>
        <w:t xml:space="preserve">found that precision ranged from 0.1° to 0.35°, while accuracy ranged from 0.3° to 0.75°. Additionally, research-grade eye-trackers have low latency and can achieve high sampling rates—for example, the SR EyeLink 1000 Plus can sample at 2,000 Hz. These advanced capabilities make research-grade systems ideal for studies requiring high temporal and spatial resolution.</w:t>
      </w:r>
    </w:p>
    <w:bookmarkEnd w:id="40"/>
    <w:bookmarkStart w:id="41" w:name="Xe15ee5316e908ed2a0858c8a777ebfdf62ed866"/>
    <w:p>
      <w:pPr>
        <w:pStyle w:val="Heading2"/>
      </w:pPr>
      <w:r>
        <w:t xml:space="preserve">Bringing the visual world paradigm (VWP) online</w:t>
      </w:r>
    </w:p>
    <w:p>
      <w:pPr>
        <w:pStyle w:val="FirstParagraph"/>
      </w:pPr>
      <w:r>
        <w:t xml:space="preserve">Despite the differences between research-grade and consumer grade eye-tracking, a number of studies have begun to look at if lab-based results replicate online using webcam eye-tracking. Most relevant to this tutorial are online replications using the VWP</w:t>
      </w:r>
      <w:r>
        <w:t xml:space="preserve"> </w:t>
      </w:r>
      <w:r>
        <w:t xml:space="preserve">(Tanenhaus et al., 1995; cf. Cooper, 1974)</w:t>
      </w:r>
      <w:r>
        <w:t xml:space="preserve">. For the past 25 years, the VWP has been a dominant force in language research, helping researchers tackle a wide range of topics, including sentence processing</w:t>
      </w:r>
      <w:r>
        <w:t xml:space="preserve"> </w:t>
      </w:r>
      <w:r>
        <w:t xml:space="preserve">(Altmann &amp; Kamide, 1999; Huettig et al., 2011; Kamide et al., 2003)</w:t>
      </w:r>
      <w:r>
        <w:t xml:space="preserve">, word recognition</w:t>
      </w:r>
      <w:r>
        <w:t xml:space="preserve"> </w:t>
      </w:r>
      <w:r>
        <w:t xml:space="preserve">(Allopenna et al., 1998; Dahan et al., 2001; Huettig &amp; McQueen, 2007; McMurray et al., 2002)</w:t>
      </w:r>
      <w:r>
        <w:t xml:space="preserve">, bilingualism</w:t>
      </w:r>
      <w:r>
        <w:t xml:space="preserve"> </w:t>
      </w:r>
      <w:r>
        <w:t xml:space="preserve">(Hopp, 2013; Ito et al., 2018; Rossi et al., 2019)</w:t>
      </w:r>
      <w:r>
        <w:t xml:space="preserve">, and the effects of brain damage on language</w:t>
      </w:r>
      <w:r>
        <w:t xml:space="preserve"> </w:t>
      </w:r>
      <w:r>
        <w:t xml:space="preserve">(Mirman &amp; Graziano, 2012; Yee et al., 2008)</w:t>
      </w:r>
      <w:r>
        <w:t xml:space="preserve">.</w:t>
      </w:r>
    </w:p>
    <w:p>
      <w:pPr>
        <w:pStyle w:val="BodyText"/>
      </w:pPr>
      <w:r>
        <w:t xml:space="preserve">What makes the widespread use of the VWP even more remarkable is the simplicity of the task. In a typical VWP experiment, participants view a display containing several objects (in the form of pictures) and are asked to select one of them by pointing or clicking. As they listen to a spoken word or phrase that identifies the target object, their eye movements are recorded in real time. The standard finding using the VWP is that listeners show eye movements to the picture that represents the spoken word, while demonstrating predictive processing, such that eye movements to pictures occur before an entire word is available. Remarkably, looks to each object align very closely—and with precise timing—with the mental activation of the word or concept it represents. This provides a unique and detailed view of how cognitive processes unfold in real time</w:t>
      </w:r>
    </w:p>
    <w:p>
      <w:pPr>
        <w:pStyle w:val="BodyText"/>
      </w:pPr>
      <w:r>
        <w:t xml:space="preserve">Most research on visual world eye-tracking has been conducted in laboratory settings using research-grade eye-trackers. However, 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paper are findings from single-word VWP studies conducted online. To date, only one study has investigated visual world webcam eye-tracking with single words.</w:t>
      </w:r>
      <w:r>
        <w:t xml:space="preserve"> </w:t>
      </w:r>
      <w:r>
        <w:t xml:space="preserve">Slim et al. (2024)</w:t>
      </w:r>
      <w:r>
        <w:t xml:space="preserve"> </w:t>
      </w:r>
      <w:r>
        <w:t xml:space="preserve">examined a phonemic cohort task.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p>
    <w:p>
      <w:pPr>
        <w:pStyle w:val="BodyText"/>
      </w:pPr>
      <w:r>
        <w:t xml:space="preserve">They 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w:t>
      </w:r>
      <w:r>
        <w:t xml:space="preserve"> </w:t>
      </w:r>
      <w:r>
        <w:t xml:space="preserve">Slim et al. (2024)</w:t>
      </w:r>
      <w:r>
        <w:t xml:space="preserve"> </w:t>
      </w:r>
      <w:r>
        <w:t xml:space="preserve">only observed these competition effects in a later time window compared to traditional, lab-based eye-tracking.</w:t>
      </w:r>
    </w:p>
    <w:p>
      <w:pPr>
        <w:pStyle w:val="BodyText"/>
      </w:pPr>
      <w:r>
        <w:t xml:space="preserve">It is important to note, however, that while these studies represent successful replication attempts, there is an important caveat. Most notably, some studies</w:t>
      </w:r>
      <w:r>
        <w:t xml:space="preserve"> </w:t>
      </w:r>
      <w:r>
        <w:t xml:space="preserve">(e.g., Degen et al., 2021; Slim et al., 2024; Slim &amp; Hartsuiker, 2023)</w:t>
      </w:r>
      <w:r>
        <w:t xml:space="preserve"> </w:t>
      </w:r>
      <w:r>
        <w:t xml:space="preserve">reported considerable delays in the temporal onset of effects. Several factors likely contribute to these delays, including reduced spatial precision, computational demands, the size of areas of interest (AOIs), and the number of calibrations performed</w:t>
      </w:r>
      <w:r>
        <w:t xml:space="preserve"> </w:t>
      </w:r>
      <w:r>
        <w:t xml:space="preserve">(Degen et al., 2021)</w:t>
      </w:r>
      <w:r>
        <w:t xml:space="preserve">.</w:t>
      </w:r>
    </w:p>
    <w:p>
      <w:pPr>
        <w:pStyle w:val="BodyText"/>
      </w:pPr>
      <w:r>
        <w:t xml:space="preserve">More recent work has addressed these limitations by utilizing an updated version of WebGazer.js and using different experimental platforms. For instance,</w:t>
      </w:r>
      <w:r>
        <w:t xml:space="preserve"> </w:t>
      </w:r>
      <w:r>
        <w:t xml:space="preserve">Vos et al. (2022)</w:t>
      </w:r>
      <w:r>
        <w:t xml:space="preserve"> </w:t>
      </w:r>
      <w:r>
        <w:t xml:space="preserve">demonstrated a significant reduction in delays—approximately 50 ms—when comparing lab-based and online versions of the VWP using an updated version of WebGazer.js within the jsPsych framework</w:t>
      </w:r>
      <w:r>
        <w:t xml:space="preserve"> </w:t>
      </w:r>
      <w:r>
        <w:t xml:space="preserve">(Leeuw, 2015)</w:t>
      </w:r>
      <w:r>
        <w:t xml:space="preserve">. Furthermore, studies by</w:t>
      </w:r>
      <w:r>
        <w:t xml:space="preserve"> </w:t>
      </w:r>
      <w:r>
        <w:t xml:space="preserve">Prystauka et al. (2024)</w:t>
      </w:r>
      <w:r>
        <w:t xml:space="preserve"> </w:t>
      </w:r>
      <w:r>
        <w:t xml:space="preserve">and</w:t>
      </w:r>
      <w:r>
        <w:t xml:space="preserve"> </w:t>
      </w:r>
      <w:r>
        <w:t xml:space="preserve">Bramlett and Wiener (2024)</w:t>
      </w:r>
      <w:r>
        <w:t xml:space="preserve">, which leveraged the Gorilla platform alongside the improved WebGazer algorithm, reported effects comparable to those observed in traditional lab-based VWP studies.</w:t>
      </w:r>
    </w:p>
    <w:p>
      <w:pPr>
        <w:pStyle w:val="BodyText"/>
      </w:pPr>
      <w:r>
        <w:t xml:space="preserve">These findings underscore the potential of the online version of the VWP, powered by webcam eye-tracking, to achieve results similar to those of traditional lab-based methods. Importantly, they demonstrate that this approach can effectively be used to study competition effects in single-word speech perception.</w:t>
      </w:r>
    </w:p>
    <w:bookmarkEnd w:id="41"/>
    <w:bookmarkStart w:id="42" w:name="tutorial"/>
    <w:p>
      <w:pPr>
        <w:pStyle w:val="Heading2"/>
      </w:pPr>
      <w:r>
        <w:t xml:space="preserve">Tutorial</w:t>
      </w:r>
    </w:p>
    <w:p>
      <w:pPr>
        <w:pStyle w:val="FirstParagraph"/>
      </w:pPr>
      <w:r>
        <w:t xml:space="preserve">Taken together, it seems that webcam eye-tracking is a viable alternative to lab-based eye-tracking. Given this, we aimed to support researchers in their efforts to conduct high-quality webcam eye-tracking studies with the VWP. While a valuable tutorial on webcam eye-tracking in the VWP already exists</w:t>
      </w:r>
      <w:r>
        <w:t xml:space="preserve"> </w:t>
      </w:r>
      <w:r>
        <w:t xml:space="preserve">(Bramlett &amp; Wiener, 2024)</w:t>
      </w:r>
      <w:r>
        <w:t xml:space="preserve">, we believe there is value in having multiple resources available to researchers. To this end, we sought to expand on the tutorial by</w:t>
      </w:r>
      <w:r>
        <w:t xml:space="preserve"> </w:t>
      </w:r>
      <w:r>
        <w:t xml:space="preserve">Bramlett and Wiener (2024)</w:t>
      </w:r>
      <w:r>
        <w:t xml:space="preserve"> </w:t>
      </w:r>
      <w:r>
        <w:t xml:space="preserve">by incorporating many of their useful recommendations, but also offering an R package to help streamline data pre-processing.</w:t>
      </w:r>
    </w:p>
    <w:p>
      <w:pPr>
        <w:pStyle w:val="BodyText"/>
      </w:pPr>
      <w:r>
        <w:t xml:space="preserve">The purpose of this tutorial is to provide an overview of the basic set-up and design features of an online VWP task using the Gorilla platform</w:t>
      </w:r>
      <w:r>
        <w:t xml:space="preserve"> </w:t>
      </w:r>
      <w:r>
        <w:t xml:space="preserve">(Anwyl-Irvine et al., 2020)</w:t>
      </w:r>
      <w:r>
        <w:t xml:space="preserve"> </w:t>
      </w:r>
      <w:r>
        <w:t xml:space="preserve">and to highlight the pre-processing steps needed to analyze webcam eye-tracking data. Here we use the popular open source programming language R and introduce the</w:t>
      </w:r>
      <w:r>
        <w:t xml:space="preserve"> </w:t>
      </w:r>
      <w:r>
        <w:rPr>
          <w:rStyle w:val="VerbatimChar"/>
        </w:rPr>
        <w:t xml:space="preserve">webgazeR</w:t>
      </w:r>
      <w:r>
        <w:t xml:space="preserve"> </w:t>
      </w:r>
      <w:r>
        <w:t xml:space="preserve">package</w:t>
      </w:r>
      <w:r>
        <w:t xml:space="preserve"> </w:t>
      </w:r>
      <w:r>
        <w:t xml:space="preserve">(Geller &amp; Prystauka, 2024)</w:t>
      </w:r>
      <w:r>
        <w:t xml:space="preserve"> </w:t>
      </w:r>
      <w:r>
        <w:t xml:space="preserve">to facilitate pre-processing of webcam data. To highlight the steps needed to process webcam eye-tracking data we present data from a Spanish spoken word VWP with L2 Spanish speakers. To our knowledge, L2 processing and competitor effects have not been looked at in the online version of the VWP.</w:t>
      </w:r>
    </w:p>
    <w:p>
      <w:pPr>
        <w:pStyle w:val="BodyText"/>
      </w:pPr>
      <w:r>
        <w:t xml:space="preserve">The structure of the tutorial will be as follows. We first outline the general methods used to conduct a visual world webcam eye-tracking experiment. Next, we detail the data preprocessing steps required to prepare the data for analysis. Finally, we demonstrate one statistical approach for analyzing our preprocessed data, highlighting its application and implications.</w:t>
      </w:r>
    </w:p>
    <w:p>
      <w:pPr>
        <w:pStyle w:val="BodyText"/>
      </w:pPr>
      <w:r>
        <w:t xml:space="preserve">To promote transparency and reproducibility, this tutorial was written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allows for dynamic and static documents. This allows figures, tables, and text to be programmatically included directly in the manuscript, ensuring that all results are seamlessly integrated into the document.To increase computational reproducibility we use the rix</w:t>
      </w:r>
      <w:r>
        <w:t xml:space="preserve"> </w:t>
      </w:r>
      <w:r>
        <w:t xml:space="preserve">(Rodrigues &amp; Baumann, 2025)</w:t>
      </w:r>
      <w:r>
        <w:t xml:space="preserve"> </w:t>
      </w:r>
      <w:r>
        <w:t xml:space="preserve">package which harnesses the power of the nix</w:t>
      </w:r>
      <w:r>
        <w:t xml:space="preserve"> </w:t>
      </w:r>
      <w:r>
        <w:t xml:space="preserve">(Dolstra &amp; contributors, 2023)</w:t>
      </w:r>
      <w:r>
        <w:t xml:space="preserve"> </w:t>
      </w:r>
      <w:r>
        <w:t xml:space="preserve">ecosystem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 nix package manager and using the included default.nix file to set up the right environment. The README file in the GitHub repository contains detailed information on how to set this up to reproduce the contents of the current manuscript. We have also included a video tutorial.</w:t>
      </w:r>
    </w:p>
    <w:bookmarkEnd w:id="42"/>
    <w:bookmarkEnd w:id="43"/>
    <w:bookmarkStart w:id="115" w:name="l2-vwp-webcam-eye-tracking"/>
    <w:p>
      <w:pPr>
        <w:pStyle w:val="Heading1"/>
      </w:pPr>
      <w:r>
        <w:t xml:space="preserve">L2 VWP Webcam Eye-tracking</w:t>
      </w:r>
    </w:p>
    <w:p>
      <w:pPr>
        <w:pStyle w:val="FirstParagraph"/>
      </w:pPr>
      <w:r>
        <w:t xml:space="preserve">To highlight the preprocessing steps required to analyze webcam eye-tracking data, we examined the competitive dynamics of second-language (L2) learners of Spanish, whose first language is English, during spoken word recognition. Specifically, we investigated both within-language and cross-language (L2/L1) competition using webcam-based eye-tracking.</w:t>
      </w:r>
    </w:p>
    <w:p>
      <w:pPr>
        <w:pStyle w:val="BodyText"/>
      </w:pPr>
      <w:r>
        <w:t xml:space="preserve">It is well established that competition plays a critical role in language processing</w:t>
      </w:r>
      <w:r>
        <w:t xml:space="preserve"> </w:t>
      </w:r>
      <w:r>
        <w:t xml:space="preserve">(Magnuson et al., 2007)</w:t>
      </w:r>
      <w:r>
        <w:t xml:space="preserve">. In speech perception, as the auditory signal unfolds over time, competitors (or cohorts)—phonological neighbors that differ from the target by an initial phoneme—become activated. To successfully recognize the spoken word, these competitors must be inhibited or suppressed. For example, as the word</w:t>
      </w:r>
      <w:r>
        <w:t xml:space="preserve"> </w:t>
      </w:r>
      <w:r>
        <w:rPr>
          <w:i/>
          <w:iCs/>
        </w:rPr>
        <w:t xml:space="preserve">wizard</w:t>
      </w:r>
      <w:r>
        <w:t xml:space="preserve"> </w:t>
      </w:r>
      <w:r>
        <w:t xml:space="preserve">is spoken, cohorts like</w:t>
      </w:r>
      <w:r>
        <w:t xml:space="preserve"> </w:t>
      </w:r>
      <w:r>
        <w:rPr>
          <w:i/>
          <w:iCs/>
        </w:rPr>
        <w:t xml:space="preserve">whistle</w:t>
      </w:r>
      <w:r>
        <w:t xml:space="preserve"> </w:t>
      </w:r>
      <w:r>
        <w:t xml:space="preserve">might also be briefly activated and in order for wizard to be recognized,</w:t>
      </w:r>
      <w:r>
        <w:t xml:space="preserve"> </w:t>
      </w:r>
      <w:r>
        <w:rPr>
          <w:i/>
          <w:iCs/>
        </w:rPr>
        <w:t xml:space="preserve">whistle</w:t>
      </w:r>
      <w:r>
        <w:t xml:space="preserve"> </w:t>
      </w:r>
      <w:r>
        <w:t xml:space="preserve">must be suppressed. A key question in the L2 literature is whether competition can occur cross-linguistically, with interactions between a speaker’s first language (L1) and second language (L2). Recent work by</w:t>
      </w:r>
      <w:r>
        <w:t xml:space="preserve"> </w:t>
      </w:r>
      <w:r>
        <w:t xml:space="preserve">Sarrett et al. (2022)</w:t>
      </w:r>
      <w:r>
        <w:t xml:space="preserve"> </w:t>
      </w:r>
      <w:r>
        <w:t xml:space="preserve">explored this question using carefully designed stimuli to examine within- and between linguistic (L2/L1) competition in adult L2 Spanish learners using a Spanish VWP. Their study included two key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For this tutorial, we collected data to conceptually replicate their pattern of findings.</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we relied on Prolific’s filters to recruit L2 Spanish speakers.</w:t>
      </w:r>
    </w:p>
    <w:p>
      <w:pPr>
        <w:pStyle w:val="BodyText"/>
      </w:pPr>
      <w:r>
        <w:t xml:space="preserve">Our primary goal here was to demonstrate the pre-processing steps required to analyze webcam-based eye-tracking data. A secondary goal was to provide evidence of L2 competition within and between or cross-linguistically using this methodology. To our knowledge, no papers have looked at spoken word recognition and competition using online methods. It is our hope that researchers can use this to test more detailed questions about L2 processing using webcam-based eye-tracking.</w:t>
      </w:r>
    </w:p>
    <w:bookmarkStart w:id="60" w:name="method"/>
    <w:p>
      <w:pPr>
        <w:pStyle w:val="Heading2"/>
      </w:pPr>
      <w:r>
        <w:t xml:space="preserve">Method</w:t>
      </w:r>
    </w:p>
    <w:p>
      <w:pPr>
        <w:pStyle w:val="FirstParagraph"/>
      </w:pPr>
      <w:r>
        <w:t xml:space="preserve">All tasks herein can be previewed here</w:t>
      </w:r>
      <w:r>
        <w:t xml:space="preserve"> </w:t>
      </w:r>
      <w:hyperlink r:id="rId44">
        <w:r>
          <w:rPr>
            <w:rStyle w:val="Hyperlink"/>
          </w:rPr>
          <w:t xml:space="preserve">(https://app.gorilla.sc/openmaterials/953693</w:t>
        </w:r>
      </w:hyperlink>
      <w:r>
        <w:t xml:space="preserve">). The manuscript, data, and R code can be found on Github (</w:t>
      </w:r>
      <w:hyperlink r:id="rId45">
        <w:r>
          <w:rPr>
            <w:rStyle w:val="Hyperlink"/>
          </w:rPr>
          <w:t xml:space="preserve">https://github.com/jgeller112/webcam_gazeR_VWP</w:t>
        </w:r>
      </w:hyperlink>
      <w:r>
        <w:t xml:space="preserve">).</w:t>
      </w:r>
    </w:p>
    <w:bookmarkStart w:id="52" w:name="participants"/>
    <w:p>
      <w:pPr>
        <w:pStyle w:val="Heading3"/>
      </w:pPr>
      <w:r>
        <w:t xml:space="preserve">Participants</w:t>
      </w:r>
    </w:p>
    <w:p>
      <w:pPr>
        <w:pStyle w:val="FirstParagraph"/>
      </w:pPr>
      <w:r>
        <w:t xml:space="preserve">We recruited participants from Prolific, a participant recruitment platform, who where: (1) between the ages of 18 and 36 years old, (2) native English speakers, (3) were also fluent in Spanish, and (4) residents of the US. All participants were taken to the Gorilla hosting and experiment platform (www.gorilla.sc;</w:t>
      </w:r>
      <w:r>
        <w:t xml:space="preserve"> </w:t>
      </w:r>
      <w:r>
        <w:t xml:space="preserve">(Anwyl-Irvine et al., 2020)</w:t>
      </w:r>
      <w:r>
        <w:t xml:space="preserve">. The participant flow is shown in</w:t>
      </w:r>
      <w:r>
        <w:t xml:space="preserve"> </w:t>
      </w:r>
      <w:hyperlink w:anchor="fig-sankey">
        <w:r>
          <w:rPr>
            <w:rStyle w:val="Hyperlink"/>
          </w:rPr>
          <w:t xml:space="preserve">Figure 1</w:t>
        </w:r>
      </w:hyperlink>
      <w:r>
        <w:t xml:space="preserve">. A total of 187 participants consented to participate in the study. Of these, 121 passed the headphone screener checkpoint and 111 proceeded to the VWP. Out of the 111 participants that entered the VWP, 91 total made it to the final surveys at the end. Among those, 32 participants successfully completed the VWP task with at least 100 trials, while 79 participants did not provide adequate data to be included (failed calibration attempts).</w:t>
      </w:r>
      <w:r>
        <w:t xml:space="preserve"> </w:t>
      </w:r>
      <w:hyperlink w:anchor="tbl-demo2">
        <w:r>
          <w:rPr>
            <w:rStyle w:val="Hyperlink"/>
          </w:rPr>
          <w:t xml:space="preserve">Table 1</w:t>
        </w:r>
      </w:hyperlink>
      <w:r>
        <w:t xml:space="preserve"> </w:t>
      </w:r>
      <w:r>
        <w:t xml:space="preserve">provides basic demographic information about the participants who completed the full experiment. After applying additional exclusion criteria (accuracy &lt; 80%) and excessive missing eye-data (&gt; 30%) , the final sample consisted of 28 participants with usable eye-tracking data. </w:t>
      </w:r>
    </w:p>
    <w:bookmarkStart w:id="50" w:name="fig-sankey"/>
    <w:p>
      <w:pPr>
        <w:pStyle w:val="FigureTitle"/>
      </w:pPr>
      <w:r>
        <w:t xml:space="preserve">Figure 1</w:t>
      </w:r>
    </w:p>
    <w:p>
      <w:pPr>
        <w:pStyle w:val="Caption"/>
      </w:pPr>
      <w:r>
        <w:t xml:space="preserve">Participant flow, from recruitment to final sample</w:t>
      </w:r>
    </w:p>
    <w:p>
      <w:pPr>
        <w:pStyle w:val="FigureWithoutNote"/>
      </w:pPr>
      <w:r>
        <w:drawing>
          <wp:inline>
            <wp:extent cx="5943600" cy="4754880"/>
            <wp:effectExtent b="0" l="0" r="0" t="0"/>
            <wp:docPr descr="" title="" id="47" name="Picture"/>
            <a:graphic>
              <a:graphicData uri="http://schemas.openxmlformats.org/drawingml/2006/picture">
                <pic:pic>
                  <pic:nvPicPr>
                    <pic:cNvPr descr="Figures/sankey_plot.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4754880"/>
                    </a:xfrm>
                    <a:prstGeom prst="rect">
                      <a:avLst/>
                    </a:prstGeom>
                    <a:noFill/>
                    <a:ln w="9525">
                      <a:noFill/>
                      <a:headEnd/>
                      <a:tailEnd/>
                    </a:ln>
                  </pic:spPr>
                </pic:pic>
              </a:graphicData>
            </a:graphic>
          </wp:inline>
        </w:drawing>
      </w:r>
    </w:p>
    <w:bookmarkEnd w:id="50"/>
    <w:bookmarkStart w:id="51"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1"/>
    <w:bookmarkEnd w:id="52"/>
    <w:bookmarkStart w:id="54"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w:t>
      </w:r>
    </w:p>
    <w:p>
      <w:pPr>
        <w:pStyle w:val="BodyText"/>
      </w:pPr>
      <w:r>
        <w:t xml:space="preserve">There were three experimental conditions: (1) the Spanish-Spanish (within) condition, where one of the Spanish words was the target and the other was the competitor; (2) the Spanish-English (cross-lingustic)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There were 15 sets of 4 items (half the number of sets used in</w:t>
      </w:r>
      <w:r>
        <w:t xml:space="preserve"> </w:t>
      </w:r>
      <w:r>
        <w:t xml:space="preserve">(Sarrett et al., 2022)</w:t>
      </w:r>
      <w:r>
        <w:t xml:space="preserve">. Each item within a set was repeated 4 times as the target word. This yielded 240 trials (15 sets × 4 items per set × 4 repetitions). Each item set consisted of one Spanish-Spanish cohort pair and one Spanish-English cohort pair. Both items in a Spanish-Spanish pair had a“reciprocal” competitor relationship (that is, we could test activation for</w:t>
      </w:r>
      <w:r>
        <w:t xml:space="preserve"> </w:t>
      </w:r>
      <w:r>
        <w:rPr>
          <w:i/>
          <w:iCs/>
        </w:rPr>
        <w:t xml:space="preserve">cielo</w:t>
      </w:r>
      <w:r>
        <w:t xml:space="preserve"> </w:t>
      </w:r>
      <w:r>
        <w:t xml:space="preserve">given</w:t>
      </w:r>
      <w:r>
        <w:t xml:space="preserve"> </w:t>
      </w:r>
      <w:r>
        <w:rPr>
          <w:i/>
          <w:iCs/>
        </w:rPr>
        <w:t xml:space="preserve">ciencia</w:t>
      </w:r>
      <w:r>
        <w:t xml:space="preserve">, and for</w:t>
      </w:r>
      <w:r>
        <w:t xml:space="preserve"> </w:t>
      </w:r>
      <w:r>
        <w:rPr>
          <w:i/>
          <w:iCs/>
        </w:rPr>
        <w:t xml:space="preserve">ciencia</w:t>
      </w:r>
      <w:r>
        <w:t xml:space="preserve"> </w:t>
      </w:r>
      <w:r>
        <w:t xml:space="preserve">given</w:t>
      </w:r>
      <w:r>
        <w:t xml:space="preserve"> </w:t>
      </w:r>
      <w:r>
        <w:rPr>
          <w:i/>
          <w:iCs/>
        </w:rPr>
        <w:t xml:space="preserve">cielo</w:t>
      </w:r>
      <w:r>
        <w:t xml:space="preserve">). Consequently, there were 120 trials in the Spanish-Spanish condition. In contrast, only one item from the Spanish-English pair had the speciﬁed competitor relationship (we could test activation for frontera</w:t>
      </w:r>
      <w:r>
        <w:t xml:space="preserve"> </w:t>
      </w:r>
      <w:r>
        <w:rPr>
          <w:i/>
          <w:iCs/>
        </w:rPr>
        <w:t xml:space="preserve">border</w:t>
      </w:r>
      <w:r>
        <w:t xml:space="preserve">, given</w:t>
      </w:r>
      <w:r>
        <w:t xml:space="preserve"> </w:t>
      </w:r>
      <w:r>
        <w:rPr>
          <w:i/>
          <w:iCs/>
        </w:rPr>
        <w:t xml:space="preserve">botas</w:t>
      </w:r>
      <w:r>
        <w:t xml:space="preserve">, but when hearing</w:t>
      </w:r>
      <w:r>
        <w:t xml:space="preserve"> </w:t>
      </w:r>
      <w:r>
        <w:rPr>
          <w:i/>
          <w:iCs/>
        </w:rPr>
        <w:t xml:space="preserve">frontera</w:t>
      </w:r>
      <w:r>
        <w:t xml:space="preserve">, there was no competitor). Thus, there were only 60 trials for each the Spanish-English competition as well as the No Competitor condition. Items occurred in each of the four corners of the screen on an equal numbers of trials.</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3">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t xml:space="preserve">Headphones were required for all participants. To ensure this, we used a six-trial task taken from</w:t>
      </w:r>
      <w:r>
        <w:t xml:space="preserve"> </w:t>
      </w:r>
      <w:r>
        <w:t xml:space="preserve">Woods et al. (2017)</w:t>
      </w:r>
      <w:r>
        <w:t xml:space="preserve">.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Participants completed a demographic questionnaire as part of the study. The questions covered basic demographic information, including age, gender, spoken dialect, ethnicity, and race.</w:t>
      </w:r>
    </w:p>
    <w:p>
      <w:pPr>
        <w:pStyle w:val="BodyText"/>
      </w:pPr>
      <w:r>
        <w:t xml:space="preserve">Participants also answered a series of questions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inquired about their environment, asking if there was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p>
      <w:pPr>
        <w:pStyle w:val="BodyText"/>
      </w:pPr>
      <w:r>
        <w:t xml:space="preserve">To gauge L2 experience, we asked participants when they started speaking Spanish, how many years of Spanish speaking experience they had, and to provide, on a scale between 0-100, how often they use Spanish in their daily lives.</w:t>
      </w:r>
    </w:p>
    <w:bookmarkEnd w:id="54"/>
    <w:bookmarkStart w:id="59" w:name="procedure"/>
    <w:p>
      <w:pPr>
        <w:pStyle w:val="Heading3"/>
      </w:pPr>
      <w:r>
        <w:t xml:space="preserve">Procedure</w:t>
      </w:r>
    </w:p>
    <w:p>
      <w:pPr>
        <w:pStyle w:val="FirstParagraph"/>
      </w:pPr>
      <w:r>
        <w:t xml:space="preserve">All tasks were completed in a single session, lasting approximately 45 minutes. The tasks were presented in a fixed order: consent, headphone screener, spoken word VWP, and questionnaire items.</w:t>
      </w:r>
    </w:p>
    <w:p>
      <w:pPr>
        <w:pStyle w:val="BodyText"/>
      </w:pPr>
      <w:r>
        <w:t xml:space="preserve">The experiment was programmed in the Gorilla Experiment Platform</w:t>
      </w:r>
      <w:r>
        <w:t xml:space="preserve"> </w:t>
      </w:r>
      <w:r>
        <w:t xml:space="preserve">(Anwyl-Irvine et al., 2020)</w:t>
      </w:r>
      <w:r>
        <w:t xml:space="preserve">, with personal computers as the only permitted device type. Upon entering the online study, participants received general information to decide if they wished to participate, after which they provided informed consent. Participants were then instructed to adjust the volume to a comfortable level while noise played.</w:t>
      </w:r>
    </w:p>
    <w:p>
      <w:pPr>
        <w:pStyle w:val="BodyText"/>
      </w:pPr>
      <w:r>
        <w:t xml:space="preserve">Next, participants completed a headphone screening test. They had three attempts to pass this test. If unsuccessful by the third attempt, participants were directed to an early exit screen, followed by the questionnaire.</w:t>
      </w:r>
    </w:p>
    <w:p>
      <w:pPr>
        <w:pStyle w:val="BodyText"/>
      </w:pPr>
      <w:r>
        <w:t xml:space="preserve">For those who passed the screening, the next task was the VWP. This began with instructional videos providing specific guidance on the ideal experiment setup for eye-tracking and calibration procedures. You can view the videos here:</w:t>
      </w:r>
      <w:r>
        <w:t xml:space="preserve"> </w:t>
      </w:r>
      <w:hyperlink r:id="rId53">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8"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6" name="Picture"/>
            <a:graphic>
              <a:graphicData uri="http://schemas.openxmlformats.org/drawingml/2006/picture">
                <pic:pic>
                  <pic:nvPicPr>
                    <pic:cNvPr descr="Figures/Figure1.png" id="57" name="Picture"/>
                    <pic:cNvPicPr>
                      <a:picLocks noChangeArrowheads="1" noChangeAspect="1"/>
                    </pic:cNvPicPr>
                  </pic:nvPicPr>
                  <pic:blipFill>
                    <a:blip r:embed="rId55"/>
                    <a:stretch>
                      <a:fillRect/>
                    </a:stretch>
                  </pic:blipFill>
                  <pic:spPr bwMode="auto">
                    <a:xfrm>
                      <a:off x="0" y="0"/>
                      <a:ext cx="5943600" cy="3343275"/>
                    </a:xfrm>
                    <a:prstGeom prst="rect">
                      <a:avLst/>
                    </a:prstGeom>
                    <a:noFill/>
                    <a:ln w="9525">
                      <a:noFill/>
                      <a:headEnd/>
                      <a:tailEnd/>
                    </a:ln>
                  </pic:spPr>
                </pic:pic>
              </a:graphicData>
            </a:graphic>
          </wp:inline>
        </w:drawing>
      </w:r>
    </w:p>
    <w:bookmarkEnd w:id="58"/>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59"/>
    <w:bookmarkEnd w:id="60"/>
    <w:bookmarkStart w:id="76"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pacckage (v. 0.1.0) which is an extension of the</w:t>
      </w:r>
      <w:r>
        <w:t xml:space="preserve"> </w:t>
      </w:r>
      <w:r>
        <w:rPr>
          <w:rStyle w:val="VerbatimChar"/>
        </w:rPr>
        <w:t xml:space="preserve">gazeR</w:t>
      </w:r>
      <w:r>
        <w:t xml:space="preserve"> </w:t>
      </w:r>
      <w:r>
        <w:t xml:space="preserve">package</w:t>
      </w:r>
      <w:r>
        <w:t xml:space="preserve"> </w:t>
      </w:r>
      <w:r>
        <w:t xml:space="preserve">(Geller et al., 2020)</w:t>
      </w:r>
      <w:r>
        <w:t xml:space="preserve"> </w:t>
      </w:r>
      <w:r>
        <w:t xml:space="preserve">which was created to analyze VWP data from lab-based studies.</w:t>
      </w:r>
    </w:p>
    <w:p>
      <w:pPr>
        <w:pStyle w:val="BodyText"/>
      </w:pPr>
      <w:r>
        <w:t xml:space="preserve">For preprocessing visual world webcam eye data, we follow six general steps:</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0"/>
          <w:numId w:val="1002"/>
        </w:numPr>
      </w:pPr>
      <w:r>
        <w:t xml:space="preserve">Aggregating (optional)</w:t>
      </w:r>
    </w:p>
    <w:p>
      <w:pPr>
        <w:pStyle w:val="FirstParagraph"/>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1" w:name="load-packages"/>
    <w:p>
      <w:pPr>
        <w:pStyle w:val="Heading3"/>
      </w:pPr>
      <w:r>
        <w:t xml:space="preserve">Load packages</w:t>
      </w:r>
    </w:p>
    <w:p>
      <w:pPr>
        <w:pStyle w:val="Heading5"/>
        <w:rPr>
          <w:vanish/>
          <w:specVanish/>
        </w:rPr>
      </w:pPr>
      <w:r>
        <w:t>Package Installation and Setup.</w:t>
      </w:r>
      <w:r>
        <w:t xml:space="preserve"> </w:t>
      </w:r>
    </w:p>
    <w:p>
      <w:pPr>
        <w:pStyle w:val="FirstParagraph"/>
      </w:pPr>
      <w:r>
        <w:t xml:space="preserve">Before turning to the preprocessing code below, we will need to make sure all the necessary packages are installed. The code will not run if the packages are not installed properly. If you have already installed the packages mentioned below, then you can skip ahead and ignore this section. To install the necessary packages, simply run the following code - it may take some time (between 1 and 5 minutes to install all of the libraries so you do not need to worry if it takes some time).</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1"/>
    <w:bookmarkStart w:id="62"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.xlsx$"</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Exclude files that contain "calibration" in their filename</w:t>
      </w:r>
      <w:r>
        <w:br/>
      </w:r>
      <w:r>
        <w:rPr>
          <w:rStyle w:val="NormalTok"/>
        </w:rPr>
        <w:t xml:space="preserve">vwp_paths_filtered_L2 </w:t>
      </w:r>
      <w:r>
        <w:rPr>
          <w:rStyle w:val="OtherTok"/>
        </w:rPr>
        <w:t xml:space="preserve">&lt;-</w:t>
      </w:r>
      <w:r>
        <w:rPr>
          <w:rStyle w:val="NormalTok"/>
        </w:rPr>
        <w:t xml:space="preserve"> vwp_files_L2[</w:t>
      </w:r>
      <w:r>
        <w:rPr>
          <w:rStyle w:val="SpecialCharTok"/>
        </w:rPr>
        <w:t xml:space="preserve">!</w:t>
      </w:r>
      <w:r>
        <w:rPr>
          <w:rStyle w:val="FunctionTok"/>
        </w:rPr>
        <w:t xml:space="preserve">grepl</w:t>
      </w:r>
      <w:r>
        <w:rPr>
          <w:rStyle w:val="NormalTok"/>
        </w:rPr>
        <w:t xml:space="preserve">(</w:t>
      </w:r>
      <w:r>
        <w:rPr>
          <w:rStyle w:val="StringTok"/>
        </w:rPr>
        <w:t xml:space="preserve">"calibration"</w:t>
      </w:r>
      <w:r>
        <w:rPr>
          <w:rStyle w:val="NormalTok"/>
        </w:rPr>
        <w:t xml:space="preserve">, vwp_files_L2)]</w:t>
      </w:r>
    </w:p>
    <w:p>
      <w:pPr>
        <w:pStyle w:val="FirstParagraph"/>
      </w:pPr>
      <w:r>
        <w:t xml:space="preserve">When data is generated from Gorilla, each trial in your experiment is saved as an individual file. Because of this, we need some way to take all the individual files and merge them together. The</w:t>
      </w:r>
      <w:r>
        <w:t xml:space="preserve"> </w:t>
      </w:r>
      <w:r>
        <w:rPr>
          <w:rStyle w:val="VerbatimChar"/>
        </w:rPr>
        <w:t xml:space="preserve">merge_webcam_files()</w:t>
      </w:r>
      <w:r>
        <w:t xml:space="preserve">function from</w:t>
      </w:r>
      <w:r>
        <w:t xml:space="preserve"> </w:t>
      </w:r>
      <w:r>
        <w:rPr>
          <w:rStyle w:val="VerbatimChar"/>
        </w:rPr>
        <w:t xml:space="preserve">webgazeR</w:t>
      </w:r>
      <w:r>
        <w:t xml:space="preserve"> </w:t>
      </w:r>
      <w:r>
        <w:t xml:space="preserve">merges trial-level data from each participant into a single tibble or data frame. Before running the</w:t>
      </w:r>
      <w:r>
        <w:t xml:space="preserve"> </w:t>
      </w:r>
      <w:r>
        <w:rPr>
          <w:rStyle w:val="VerbatimChar"/>
        </w:rPr>
        <w:t xml:space="preserve">merge_webcam_files()</w:t>
      </w:r>
      <w:r>
        <w:t xml:space="preserve"> </w:t>
      </w:r>
      <w:r>
        <w:t xml:space="preserve">function, ensure that your working directory is set to where the files are stored. The</w:t>
      </w:r>
      <w:r>
        <w:t xml:space="preserve"> </w:t>
      </w:r>
      <w:r>
        <w:rPr>
          <w:rStyle w:val="VerbatimChar"/>
        </w:rPr>
        <w:t xml:space="preserve">merge_webcam_files(</w:t>
      </w:r>
      <w:r>
        <w:t xml:space="preserve">) function reads in all the .xlsx files from the raw subfolder, binds them together into one dataframe, and cleans up the column names. The function then filters the data to include only rows where the type is</w:t>
      </w:r>
      <w:r>
        <w:t xml:space="preserve"> </w:t>
      </w:r>
      <w:r>
        <w:t xml:space="preserve">“prediction”</w:t>
      </w:r>
      <w:r>
        <w:t xml:space="preserve"> </w:t>
      </w:r>
      <w:r>
        <w:t xml:space="preserve">and the</w:t>
      </w:r>
      <w:r>
        <w:t xml:space="preserve"> </w:t>
      </w:r>
      <w:r>
        <w:rPr>
          <w:rStyle w:val="VerbatimChar"/>
        </w:rPr>
        <w:t xml:space="preserve">screen_index</w:t>
      </w:r>
      <w:r>
        <w:t xml:space="preserve"> </w:t>
      </w:r>
      <w:r>
        <w:t xml:space="preserve">matches the specified value (in our case, screen 4 is where we collected eye-tracking data). If you recorded across multiple screens the</w:t>
      </w:r>
      <w:r>
        <w:t xml:space="preserve"> </w:t>
      </w:r>
      <w:r>
        <w:rPr>
          <w:rStyle w:val="VerbatimChar"/>
        </w:rPr>
        <w:t xml:space="preserve">screen_index</w:t>
      </w:r>
      <w:r>
        <w:t xml:space="preserve"> </w:t>
      </w:r>
      <w:r>
        <w:t xml:space="preserve">argument can take multiple values (e.g.,</w:t>
      </w:r>
      <w:r>
        <w:t xml:space="preserve"> </w:t>
      </w:r>
      <w:r>
        <w:rPr>
          <w:rStyle w:val="VerbatimChar"/>
        </w:rPr>
        <w:t xml:space="preserve">screen_index</w:t>
      </w:r>
      <w:r>
        <w:t xml:space="preserve">= c(1, 4, 5) will take eye-tacking information from screens, 1, 4, and 5)).</w:t>
      </w:r>
      <w:r>
        <w:t xml:space="preserve"> </w:t>
      </w:r>
      <w:r>
        <w:rPr>
          <w:rStyle w:val="VerbatimChar"/>
        </w:rPr>
        <w:t xml:space="preserve">merge_webcam_files()</w:t>
      </w:r>
      <w:r>
        <w:t xml:space="preserve"> </w:t>
      </w:r>
      <w:r>
        <w:t xml:space="preserve">also renames the</w:t>
      </w:r>
      <w:r>
        <w:t xml:space="preserve"> </w:t>
      </w:r>
      <w:r>
        <w:rPr>
          <w:rStyle w:val="VerbatimChar"/>
        </w:rPr>
        <w:t xml:space="preserve">spreadsheet_row</w:t>
      </w:r>
      <w:r>
        <w:t xml:space="preserve"> </w:t>
      </w:r>
      <w:r>
        <w:t xml:space="preserve">column to trial and sets both</w:t>
      </w:r>
      <w:r>
        <w:t xml:space="preserve"> </w:t>
      </w:r>
      <w:r>
        <w:rPr>
          <w:rStyle w:val="VerbatimChar"/>
        </w:rPr>
        <w:t xml:space="preserve">trial</w:t>
      </w:r>
      <w:r>
        <w:t xml:space="preserve"> </w:t>
      </w:r>
      <w:r>
        <w:t xml:space="preserve">and</w:t>
      </w:r>
      <w:r>
        <w:t xml:space="preserve"> </w:t>
      </w:r>
      <w:r>
        <w:rPr>
          <w:rStyle w:val="VerbatimChar"/>
        </w:rPr>
        <w:t xml:space="preserve">subject</w:t>
      </w:r>
      <w:r>
        <w:t xml:space="preserve"> </w:t>
      </w:r>
      <w:r>
        <w:t xml:space="preserve">as factors for further analysis in our pipeline. 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(vwp_paths_filtered_L2, </w:t>
      </w:r>
      <w:r>
        <w:rPr>
          <w:rStyle w:val="AttributeTok"/>
        </w:rPr>
        <w:t xml:space="preserve">screen_index=</w:t>
      </w:r>
      <w:r>
        <w:rPr>
          <w:rStyle w:val="DecValTok"/>
        </w:rPr>
        <w:t xml:space="preserve">4</w:t>
      </w:r>
      <w:r>
        <w:rPr>
          <w:rStyle w:val="NormalTok"/>
        </w:rPr>
        <w:t xml:space="preserve">) </w:t>
      </w:r>
      <w:r>
        <w:rPr>
          <w:rStyle w:val="CommentTok"/>
        </w:rPr>
        <w:t xml:space="preserve"># eye tracking occured on screen index 4</w:t>
      </w:r>
    </w:p>
    <w:bookmarkEnd w:id="62"/>
    <w:bookmarkStart w:id="74" w:name="subject-and-trial-level-data-removal"/>
    <w:p>
      <w:pPr>
        <w:pStyle w:val="Heading3"/>
      </w:pPr>
      <w:r>
        <w:t xml:space="preserve">Subject and trial level data removal</w:t>
      </w:r>
    </w:p>
    <w:p>
      <w:pPr>
        <w:pStyle w:val="FirstParagraph"/>
      </w:pPr>
      <w:r>
        <w:t xml:space="preserve">To ensure high-quality data, it is essential to filter out unreliable data based on both behavioral and eye-tracking criteria before merging datasets. In our dataset, participants will be excluded if they meet any of the following conditions: failure to successfully calibrate throughout the experiment (less than 100 trials), low accuracy ( &lt; 80%) , low sampling rates ( &lt; 5), and a high proportion of gaze data outside the screen coordinates ( &gt; 30%). Successful calibration is crucial for capturing accurate eye-tracking measurements, so participants who could not maintain proper calibration may have inaccurate gaze data. Similarly, low accuracy may indicate poor engagement or task difficulty, which can reduce the reliability of the behavioral data and suggest that eye-tracking data may be less precise. In addition to this. we remove incorrect trials from remaining participants so we only look at correct trials.</w:t>
      </w:r>
    </w:p>
    <w:p>
      <w:pPr>
        <w:pStyle w:val="BodyText"/>
      </w:pPr>
      <w:r>
        <w:t xml:space="preserve">First, we will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 </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zone_type</w:t>
      </w:r>
      <w:r>
        <w:t xml:space="preserve"> </w:t>
      </w:r>
      <w:r>
        <w:t xml:space="preserve">is</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dplyr</w:t>
      </w:r>
      <w:r>
        <w:rPr>
          <w:rStyle w:val="SpecialCharTok"/>
        </w:rPr>
        <w:t xml:space="preserve">::</w:t>
      </w:r>
      <w:r>
        <w:rPr>
          <w:rStyle w:val="FunctionTok"/>
        </w:rPr>
        <w:t xml:space="preserve">filter</w:t>
      </w:r>
      <w:r>
        <w:rPr>
          <w:rStyle w:val="NormalTok"/>
        </w:rPr>
        <w:t xml:space="preserve">(zone_type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To do so you must click on advanced settings and select 1 (see</w:t>
      </w:r>
      <w:r>
        <w:t xml:space="preserve"> </w:t>
      </w:r>
      <w:hyperlink w:anchor="fig-audiopres">
        <w:r>
          <w:rPr>
            <w:rStyle w:val="Hyperlink"/>
          </w:rPr>
          <w:t xml:space="preserve">Figure 3</w:t>
        </w:r>
      </w:hyperlink>
      <w:r>
        <w:t xml:space="preserve">).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3">
        <w:r>
          <w:rPr>
            <w:rStyle w:val="Hyperlink"/>
          </w:rPr>
          <w:t xml:space="preserve">https://support.gorilla.sc/support/troubleshooting-and-technical/technical-checklist#autoplayingsoundandvideo</w:t>
        </w:r>
      </w:hyperlink>
      <w:r>
        <w:t xml:space="preserve">).</w:t>
      </w:r>
    </w:p>
    <w:bookmarkStart w:id="67" w:name="fig-audiopres"/>
    <w:p>
      <w:pPr>
        <w:pStyle w:val="FigureTitle"/>
      </w:pPr>
      <w:r>
        <w:t xml:space="preserve">Figure 3</w:t>
      </w:r>
    </w:p>
    <w:p>
      <w:pPr>
        <w:pStyle w:val="Caption"/>
      </w:pPr>
      <w:r>
        <w:t xml:space="preserve">Advanced audio settings in Gorilla</w:t>
      </w:r>
    </w:p>
    <w:p>
      <w:pPr>
        <w:pStyle w:val="FigureWithoutNote"/>
      </w:pPr>
      <w:r>
        <w:drawing>
          <wp:inline>
            <wp:extent cx="5943600" cy="5810839"/>
            <wp:effectExtent b="0" l="0" r="0" t="0"/>
            <wp:docPr descr="" title="" id="65" name="Picture"/>
            <a:graphic>
              <a:graphicData uri="http://schemas.openxmlformats.org/drawingml/2006/picture">
                <pic:pic>
                  <pic:nvPicPr>
                    <pic:cNvPr descr="Figures/Figure2.jpg" id="66" name="Picture"/>
                    <pic:cNvPicPr>
                      <a:picLocks noChangeArrowheads="1" noChangeAspect="1"/>
                    </pic:cNvPicPr>
                  </pic:nvPicPr>
                  <pic:blipFill>
                    <a:blip r:embed="rId64"/>
                    <a:stretch>
                      <a:fillRect/>
                    </a:stretch>
                  </pic:blipFill>
                  <pic:spPr bwMode="auto">
                    <a:xfrm>
                      <a:off x="0" y="0"/>
                      <a:ext cx="5943600" cy="5810839"/>
                    </a:xfrm>
                    <a:prstGeom prst="rect">
                      <a:avLst/>
                    </a:prstGeom>
                    <a:noFill/>
                    <a:ln w="9525">
                      <a:noFill/>
                      <a:headEnd/>
                      <a:tailEnd/>
                    </a:ln>
                  </pic:spPr>
                </pic:pic>
              </a:graphicData>
            </a:graphic>
          </wp:inline>
        </w:drawing>
      </w:r>
    </w:p>
    <w:bookmarkEnd w:id="67"/>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The function also generates a histogram of sampling rates by 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 [e.g.,</w:t>
      </w:r>
      <w:r>
        <w:t xml:space="preserve">Bramlett and Wiener (2024)</w:t>
      </w:r>
      <w:r>
        <w:t xml:space="preserve">;</w:t>
      </w:r>
      <w:r>
        <w:t xml:space="preserve"> </w:t>
      </w:r>
      <w:r>
        <w:t xml:space="preserve">Prystauka et al. (2024)</w:t>
      </w:r>
      <w:r>
        <w:t xml:space="preserve">]</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21.56171771 </w:t>
      </w:r>
      <w:r>
        <w:br/>
      </w:r>
      <w:r>
        <w:rPr>
          <w:rStyle w:val="VerbatimChar"/>
        </w:rPr>
        <w:t xml:space="preserve">Overall Standard Deviation of Sampling Rate (Hz): 7.399937723 </w:t>
      </w:r>
      <w:r>
        <w:br/>
      </w:r>
      <w:r>
        <w:br/>
      </w:r>
      <w:r>
        <w:rPr>
          <w:rStyle w:val="VerbatimChar"/>
        </w:rPr>
        <w:t xml:space="preserve">Sampling Rate by Trial:</w:t>
      </w:r>
      <w:r>
        <w:br/>
      </w:r>
      <w:r>
        <w:rPr>
          <w:rStyle w:val="VerbatimChar"/>
        </w:rPr>
        <w:t xml:space="preserve"># A tibble: 10,665 × 5</w:t>
      </w:r>
      <w:r>
        <w:br/>
      </w:r>
      <w:r>
        <w:rPr>
          <w:rStyle w:val="VerbatimChar"/>
        </w:rPr>
        <w:t xml:space="preserve">   subject  trial max_time n_times    SR</w:t>
      </w:r>
      <w:r>
        <w:br/>
      </w:r>
      <w:r>
        <w:rPr>
          <w:rStyle w:val="VerbatimChar"/>
        </w:rPr>
        <w:t xml:space="preserve">   &lt;fct&gt;    &lt;fct&gt;    &lt;dbl&gt;   &lt;int&gt; &lt;dbl&gt;</w:t>
      </w:r>
      <w:r>
        <w:br/>
      </w:r>
      <w:r>
        <w:rPr>
          <w:rStyle w:val="VerbatimChar"/>
        </w:rPr>
        <w:t xml:space="preserve"> 1 12102265 8        4895      108  22.1</w:t>
      </w:r>
      <w:r>
        <w:br/>
      </w:r>
      <w:r>
        <w:rPr>
          <w:rStyle w:val="VerbatimChar"/>
        </w:rPr>
        <w:t xml:space="preserve"> 2 12102265 11       4920.     112  22.8</w:t>
      </w:r>
      <w:r>
        <w:br/>
      </w:r>
      <w:r>
        <w:rPr>
          <w:rStyle w:val="VerbatimChar"/>
        </w:rPr>
        <w:t xml:space="preserve"> 3 12102265 15       4911.      79  16.1</w:t>
      </w:r>
      <w:r>
        <w:br/>
      </w:r>
      <w:r>
        <w:rPr>
          <w:rStyle w:val="VerbatimChar"/>
        </w:rPr>
        <w:t xml:space="preserve"> 4 12102265 17       4916.     113  23.0</w:t>
      </w:r>
      <w:r>
        <w:br/>
      </w:r>
      <w:r>
        <w:rPr>
          <w:rStyle w:val="VerbatimChar"/>
        </w:rPr>
        <w:t xml:space="preserve"> 5 12102265 20       4903.     112  22.8</w:t>
      </w:r>
      <w:r>
        <w:br/>
      </w:r>
      <w:r>
        <w:rPr>
          <w:rStyle w:val="VerbatimChar"/>
        </w:rPr>
        <w:t xml:space="preserve"> 6 12102265 21       1826.      40  21.9</w:t>
      </w:r>
      <w:r>
        <w:br/>
      </w:r>
      <w:r>
        <w:rPr>
          <w:rStyle w:val="VerbatimChar"/>
        </w:rPr>
        <w:t xml:space="preserve"> 7 12102265 28       4917.     114  23.2</w:t>
      </w:r>
      <w:r>
        <w:br/>
      </w:r>
      <w:r>
        <w:rPr>
          <w:rStyle w:val="VerbatimChar"/>
        </w:rPr>
        <w:t xml:space="preserve"> 8 12102265 31       4913.      79  16.1</w:t>
      </w:r>
      <w:r>
        <w:br/>
      </w:r>
      <w:r>
        <w:rPr>
          <w:rStyle w:val="VerbatimChar"/>
        </w:rPr>
        <w:t xml:space="preserve"> 9 12102265 34       4948.      88  17.8</w:t>
      </w:r>
      <w:r>
        <w:br/>
      </w:r>
      <w:r>
        <w:rPr>
          <w:rStyle w:val="VerbatimChar"/>
        </w:rPr>
        <w:t xml:space="preserve">10 12102265 35       4901.      93  19.0</w:t>
      </w:r>
      <w:r>
        <w:br/>
      </w:r>
      <w:r>
        <w:rPr>
          <w:rStyle w:val="VerbatimChar"/>
        </w:rPr>
        <w:t xml:space="preserve"># ℹ 10,655 more rows</w:t>
      </w:r>
      <w:r>
        <w:br/>
      </w:r>
      <w:r>
        <w:br/>
      </w:r>
      <w:r>
        <w:rPr>
          <w:rStyle w:val="VerbatimChar"/>
        </w:rPr>
        <w:t xml:space="preserve"> median Sampling Rate by Subject:</w:t>
      </w:r>
      <w:r>
        <w:br/>
      </w:r>
      <w:r>
        <w:rPr>
          <w:rStyle w:val="VerbatimChar"/>
        </w:rPr>
        <w:t xml:space="preserve"># A tibble: 60 × 2</w:t>
      </w:r>
      <w:r>
        <w:br/>
      </w:r>
      <w:r>
        <w:rPr>
          <w:rStyle w:val="VerbatimChar"/>
        </w:rPr>
        <w:t xml:space="preserve">   subject  summary_SR</w:t>
      </w:r>
      <w:r>
        <w:br/>
      </w:r>
      <w:r>
        <w:rPr>
          <w:rStyle w:val="VerbatimChar"/>
        </w:rPr>
        <w:t xml:space="preserve">   &lt;fct&gt;         &lt;dbl&gt;</w:t>
      </w:r>
      <w:r>
        <w:br/>
      </w:r>
      <w:r>
        <w:rPr>
          <w:rStyle w:val="VerbatimChar"/>
        </w:rPr>
        <w:t xml:space="preserve"> 1 12102265      21.9 </w:t>
      </w:r>
      <w:r>
        <w:br/>
      </w:r>
      <w:r>
        <w:rPr>
          <w:rStyle w:val="VerbatimChar"/>
        </w:rPr>
        <w:t xml:space="preserve"> 2 12102286      30.6 </w:t>
      </w:r>
      <w:r>
        <w:br/>
      </w:r>
      <w:r>
        <w:rPr>
          <w:rStyle w:val="VerbatimChar"/>
        </w:rPr>
        <w:t xml:space="preserve"> 3 12102530      19.9 </w:t>
      </w:r>
      <w:r>
        <w:br/>
      </w:r>
      <w:r>
        <w:rPr>
          <w:rStyle w:val="VerbatimChar"/>
        </w:rPr>
        <w:t xml:space="preserve"> 4 12110559      29.3 </w:t>
      </w:r>
      <w:r>
        <w:br/>
      </w:r>
      <w:r>
        <w:rPr>
          <w:rStyle w:val="VerbatimChar"/>
        </w:rPr>
        <w:t xml:space="preserve"> 5 12110579      13.3 </w:t>
      </w:r>
      <w:r>
        <w:br/>
      </w:r>
      <w:r>
        <w:rPr>
          <w:rStyle w:val="VerbatimChar"/>
        </w:rPr>
        <w:t xml:space="preserve"> 6 12110585      30.1 </w:t>
      </w:r>
      <w:r>
        <w:br/>
      </w:r>
      <w:r>
        <w:rPr>
          <w:rStyle w:val="VerbatimChar"/>
        </w:rPr>
        <w:t xml:space="preserve"> 7 12110586      14.8 </w:t>
      </w:r>
      <w:r>
        <w:br/>
      </w:r>
      <w:r>
        <w:rPr>
          <w:rStyle w:val="VerbatimChar"/>
        </w:rPr>
        <w:t xml:space="preserve"> 8 12110600       2.47</w:t>
      </w:r>
      <w:r>
        <w:br/>
      </w:r>
      <w:r>
        <w:rPr>
          <w:rStyle w:val="VerbatimChar"/>
        </w:rPr>
        <w:t xml:space="preserve"> 9 12110638      29.0 </w:t>
      </w:r>
      <w:r>
        <w:br/>
      </w:r>
      <w:r>
        <w:rPr>
          <w:rStyle w:val="VerbatimChar"/>
        </w:rPr>
        <w:t xml:space="preserve">10 12110685      19.5 </w:t>
      </w:r>
      <w:r>
        <w:br/>
      </w:r>
      <w:r>
        <w:rPr>
          <w:rStyle w:val="VerbatimChar"/>
        </w:rPr>
        <w:t xml:space="preserve"># ℹ 50 more rows</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CommentTok"/>
        </w:rPr>
        <w:t xml:space="preserve"># Extract by-subject and by-trial sampling rates from the result</w:t>
      </w:r>
      <w:r>
        <w:br/>
      </w:r>
      <w:r>
        <w:rPr>
          <w:rStyle w:val="NormalTok"/>
        </w:rPr>
        <w:t xml:space="preserve">subject_sampling_rate </w:t>
      </w:r>
      <w:r>
        <w:rPr>
          <w:rStyle w:val="OtherTok"/>
        </w:rPr>
        <w:t xml:space="preserve">&lt;-</w:t>
      </w:r>
      <w:r>
        <w:rPr>
          <w:rStyle w:val="NormalTok"/>
        </w:rPr>
        <w:t xml:space="preserve"> samp_rate_L2</w:t>
      </w:r>
      <w:r>
        <w:rPr>
          <w:rStyle w:val="SpecialCharTok"/>
        </w:rPr>
        <w:t xml:space="preserve">$</w:t>
      </w:r>
      <w:r>
        <w:rPr>
          <w:rStyle w:val="NormalTok"/>
        </w:rPr>
        <w:t xml:space="preserve">summary_SR_by_subject  </w:t>
      </w:r>
      <w:r>
        <w:rPr>
          <w:rStyle w:val="CommentTok"/>
        </w:rPr>
        <w:t xml:space="preserve"># Sampling rate by subject</w:t>
      </w:r>
      <w:r>
        <w:br/>
      </w:r>
      <w:r>
        <w:rPr>
          <w:rStyle w:val="NormalTok"/>
        </w:rPr>
        <w:t xml:space="preserve">trial_sampling_rate </w:t>
      </w:r>
      <w:r>
        <w:rPr>
          <w:rStyle w:val="OtherTok"/>
        </w:rPr>
        <w:t xml:space="preserve">&lt;-</w:t>
      </w:r>
      <w:r>
        <w:rPr>
          <w:rStyle w:val="NormalTok"/>
        </w:rPr>
        <w:t xml:space="preserve"> samp_rate_L2</w:t>
      </w:r>
      <w:r>
        <w:rPr>
          <w:rStyle w:val="SpecialCharTok"/>
        </w:rPr>
        <w:t xml:space="preserve">$</w:t>
      </w:r>
      <w:r>
        <w:rPr>
          <w:rStyle w:val="NormalTok"/>
        </w:rPr>
        <w:t xml:space="preserve">SR_by_trial  </w:t>
      </w:r>
      <w:r>
        <w:rPr>
          <w:rStyle w:val="CommentTok"/>
        </w:rPr>
        <w:t xml:space="preserve"># Sampling rate by trial</w:t>
      </w:r>
      <w:r>
        <w:br/>
      </w:r>
      <w:r>
        <w:br/>
      </w:r>
      <w:r>
        <w:rPr>
          <w:rStyle w:val="CommentTok"/>
        </w:rPr>
        <w:t xml:space="preserve"># Ensure subject and trial are factors for proper merging</w:t>
      </w:r>
      <w:r>
        <w:br/>
      </w:r>
      <w:r>
        <w:rPr>
          <w:rStyle w:val="NormalTok"/>
        </w:rPr>
        <w:t xml:space="preserve">trial_sampling_rate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subject)</w:t>
      </w:r>
      <w:r>
        <w:br/>
      </w:r>
      <w:r>
        <w:rPr>
          <w:rStyle w:val="NormalTok"/>
        </w:rPr>
        <w:t xml:space="preserve">trial_sampling_rate</w:t>
      </w:r>
      <w:r>
        <w:rPr>
          <w:rStyle w:val="SpecialCharTok"/>
        </w:rPr>
        <w:t xml:space="preserve">$</w:t>
      </w:r>
      <w:r>
        <w:rPr>
          <w:rStyle w:val="NormalTok"/>
        </w:rPr>
        <w:t xml:space="preserve">trial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trial)</w:t>
      </w:r>
      <w:r>
        <w:br/>
      </w:r>
      <w:r>
        <w:br/>
      </w:r>
      <w:r>
        <w:rPr>
          <w:rStyle w:val="NormalTok"/>
        </w:rPr>
        <w:t xml:space="preserve">subject_sampling_rate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(subject_sampling_rate</w:t>
      </w:r>
      <w:r>
        <w:rPr>
          <w:rStyle w:val="SpecialCharTok"/>
        </w:rPr>
        <w:t xml:space="preserve">$</w:t>
      </w:r>
      <w:r>
        <w:rPr>
          <w:rStyle w:val="NormalTok"/>
        </w:rPr>
        <w:t xml:space="preserve">subject)</w:t>
      </w:r>
      <w:r>
        <w:br/>
      </w:r>
      <w:r>
        <w:br/>
      </w:r>
      <w:r>
        <w:rPr>
          <w:rStyle w:val="CommentTok"/>
        </w:rPr>
        <w:t xml:space="preserve"># Rename column dynamically based on function output (summary_stat can be "mean" or "median")</w:t>
      </w:r>
      <w:r>
        <w:br/>
      </w:r>
      <w:r>
        <w:rPr>
          <w:rStyle w:val="FunctionTok"/>
        </w:rPr>
        <w:t xml:space="preserve">colnames</w:t>
      </w:r>
      <w:r>
        <w:rPr>
          <w:rStyle w:val="NormalTok"/>
        </w:rPr>
        <w:t xml:space="preserve">(subject_sampling_rate)[</w:t>
      </w:r>
      <w:r>
        <w:rPr>
          <w:rStyle w:val="FunctionTok"/>
        </w:rPr>
        <w:t xml:space="preserve">colnames</w:t>
      </w:r>
      <w:r>
        <w:rPr>
          <w:rStyle w:val="NormalTok"/>
        </w:rPr>
        <w:t xml:space="preserve">(subject_sampling_rate) </w:t>
      </w:r>
      <w:r>
        <w:rPr>
          <w:rStyle w:val="SpecialCharTok"/>
        </w:rPr>
        <w:t xml:space="preserve">==</w:t>
      </w:r>
      <w:r>
        <w:rPr>
          <w:rStyle w:val="NormalTok"/>
        </w:rPr>
        <w:t xml:space="preserve"> </w:t>
      </w:r>
      <w:r>
        <w:rPr>
          <w:rStyle w:val="StringTok"/>
        </w:rPr>
        <w:t xml:space="preserve">"summary_SR"</w:t>
      </w:r>
      <w:r>
        <w:rPr>
          <w:rStyle w:val="NormalTok"/>
        </w:rPr>
        <w:t xml:space="preserve">] </w:t>
      </w:r>
      <w:r>
        <w:rPr>
          <w:rStyle w:val="OtherTok"/>
        </w:rPr>
        <w:t xml:space="preserve">&lt;-</w:t>
      </w:r>
      <w:r>
        <w:rPr>
          <w:rStyle w:val="NormalTok"/>
        </w:rPr>
        <w:t xml:space="preserve"> </w:t>
      </w:r>
      <w:r>
        <w:rPr>
          <w:rStyle w:val="StringTok"/>
        </w:rPr>
        <w:t xml:space="preserve">"sampling_rate_subject"</w:t>
      </w:r>
      <w:r>
        <w:br/>
      </w:r>
      <w:r>
        <w:rPr>
          <w:rStyle w:val="FunctionTok"/>
        </w:rPr>
        <w:t xml:space="preserve">colnames</w:t>
      </w:r>
      <w:r>
        <w:rPr>
          <w:rStyle w:val="NormalTok"/>
        </w:rPr>
        <w:t xml:space="preserve">(trial_sampling_rate)[</w:t>
      </w:r>
      <w:r>
        <w:rPr>
          <w:rStyle w:val="FunctionTok"/>
        </w:rPr>
        <w:t xml:space="preserve">colnames</w:t>
      </w:r>
      <w:r>
        <w:rPr>
          <w:rStyle w:val="NormalTok"/>
        </w:rPr>
        <w:t xml:space="preserve">(trial_sampling_rate) </w:t>
      </w:r>
      <w:r>
        <w:rPr>
          <w:rStyle w:val="SpecialCharTok"/>
        </w:rPr>
        <w:t xml:space="preserve">==</w:t>
      </w:r>
      <w:r>
        <w:rPr>
          <w:rStyle w:val="NormalTok"/>
        </w:rPr>
        <w:t xml:space="preserve"> </w:t>
      </w:r>
      <w:r>
        <w:rPr>
          <w:rStyle w:val="StringTok"/>
        </w:rPr>
        <w:t xml:space="preserve">"SR"</w:t>
      </w:r>
      <w:r>
        <w:rPr>
          <w:rStyle w:val="NormalTok"/>
        </w:rPr>
        <w:t xml:space="preserve">] </w:t>
      </w:r>
      <w:r>
        <w:rPr>
          <w:rStyle w:val="OtherTok"/>
        </w:rPr>
        <w:t xml:space="preserve">&lt;-</w:t>
      </w:r>
      <w:r>
        <w:rPr>
          <w:rStyle w:val="NormalTok"/>
        </w:rPr>
        <w:t xml:space="preserve"> </w:t>
      </w:r>
      <w:r>
        <w:rPr>
          <w:rStyle w:val="StringTok"/>
        </w:rPr>
        <w:t xml:space="preserve">"sampling_rate_trial"</w:t>
      </w:r>
      <w:r>
        <w:br/>
      </w:r>
      <w:r>
        <w:br/>
      </w:r>
      <w:r>
        <w:rPr>
          <w:rStyle w:val="CommentTok"/>
        </w:rPr>
        <w:t xml:space="preserve"># Merge by-subject sampling rate with target data</w:t>
      </w:r>
      <w:r>
        <w:br/>
      </w:r>
      <w:r>
        <w:rPr>
          <w:rStyle w:val="NormalTok"/>
        </w:rPr>
        <w:t xml:space="preserve">target_data_with_subject_SR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left_join</w:t>
      </w:r>
      <w:r>
        <w:rPr>
          <w:rStyle w:val="NormalTok"/>
        </w:rPr>
        <w:t xml:space="preserve">(subject_sampling_rate, </w:t>
      </w:r>
      <w:r>
        <w:rPr>
          <w:rStyle w:val="AttributeTok"/>
        </w:rPr>
        <w:t xml:space="preserve">by =</w:t>
      </w:r>
      <w:r>
        <w:rPr>
          <w:rStyle w:val="NormalTok"/>
        </w:rPr>
        <w:t xml:space="preserve"> </w:t>
      </w:r>
      <w:r>
        <w:rPr>
          <w:rStyle w:val="StringTok"/>
        </w:rPr>
        <w:t xml:space="preserve">"subject"</w:t>
      </w:r>
      <w:r>
        <w:rPr>
          <w:rStyle w:val="NormalTok"/>
        </w:rPr>
        <w:t xml:space="preserve">)</w:t>
      </w:r>
      <w:r>
        <w:br/>
      </w:r>
      <w:r>
        <w:br/>
      </w:r>
      <w:r>
        <w:rPr>
          <w:rStyle w:val="CommentTok"/>
        </w:rPr>
        <w:t xml:space="preserve"># Merge by-trial sampling rate with target data</w:t>
      </w:r>
      <w:r>
        <w:br/>
      </w:r>
      <w:r>
        <w:rPr>
          <w:rStyle w:val="NormalTok"/>
        </w:rPr>
        <w:t xml:space="preserve">target_data_with_full_SR_L2 </w:t>
      </w:r>
      <w:r>
        <w:rPr>
          <w:rStyle w:val="OtherTok"/>
        </w:rPr>
        <w:t xml:space="preserve">&lt;-</w:t>
      </w:r>
      <w:r>
        <w:rPr>
          <w:rStyle w:val="NormalTok"/>
        </w:rPr>
        <w:t xml:space="preserve"> target_data_with_subject_SR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sampling_rate_subject) </w:t>
      </w:r>
      <w:r>
        <w:rPr>
          <w:rStyle w:val="SpecialCharTok"/>
        </w:rPr>
        <w:t xml:space="preserve">%&gt;%</w:t>
      </w:r>
      <w:r>
        <w:br/>
      </w:r>
      <w:r>
        <w:rPr>
          <w:rStyle w:val="NormalTok"/>
        </w:rPr>
        <w:t xml:space="preserve">  </w:t>
      </w:r>
      <w:r>
        <w:rPr>
          <w:rStyle w:val="FunctionTok"/>
        </w:rPr>
        <w:t xml:space="preserve">left_join</w:t>
      </w:r>
      <w:r>
        <w:rPr>
          <w:rStyle w:val="NormalTok"/>
        </w:rPr>
        <w:t xml:space="preserve">(trial_sampling_rate,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target_data_with_full_SR_L2,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t xml:space="preserve">It is important that we do not include points that fall outside the standardized coordinates (0,1). The</w:t>
      </w:r>
      <w:r>
        <w:t xml:space="preserve"> </w:t>
      </w:r>
      <w:r>
        <w:rPr>
          <w:rStyle w:val="VerbatimChar"/>
        </w:rPr>
        <w:t xml:space="preserve">gaze_oob()</w:t>
      </w:r>
      <w:r>
        <w:t xml:space="preserve"> </w:t>
      </w:r>
      <w:r>
        <w:t xml:space="preserve">function calculates how many of the data points fall outside the standardized range. Here we need our eye-tracking data (</w:t>
      </w:r>
      <w:r>
        <w:rPr>
          <w:rStyle w:val="VerbatimChar"/>
        </w:rPr>
        <w:t xml:space="preserve">edat_L2</w:t>
      </w:r>
      <w:r>
        <w:t xml:space="preserve">). Running the</w:t>
      </w:r>
      <w:r>
        <w:t xml:space="preserve"> </w:t>
      </w:r>
      <w:r>
        <w:rPr>
          <w:rStyle w:val="VerbatimChar"/>
        </w:rPr>
        <w:t xml:space="preserve">gaze_oob()</w:t>
      </w:r>
      <w:r>
        <w:t xml:space="preserve"> </w:t>
      </w:r>
      <w:r>
        <w:t xml:space="preserve">function returns a table listing how many data points fall outside this range (total, X and Y), and also provides percentages (see</w:t>
      </w:r>
      <w:r>
        <w:t xml:space="preserve"> </w:t>
      </w:r>
      <w:hyperlink w:anchor="tbl-oob-L2">
        <w:r>
          <w:rPr>
            <w:rStyle w:val="Hyperlink"/>
          </w:rPr>
          <w:t xml:space="preserve">Table 3</w:t>
        </w:r>
      </w:hyperlink>
      <w:r>
        <w:t xml:space="preserve">). This information would be useful to include in the final</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(edat_L2)</w:t>
      </w:r>
    </w:p>
    <w:bookmarkStart w:id="73" w:name="tbl-oob-L2"/>
    <w:p>
      <w:pPr>
        <w:pStyle w:val="FigureTitle"/>
      </w:pPr>
      <w:r>
        <w:t xml:space="preserve">Table 3</w:t>
      </w:r>
    </w:p>
    <w:p>
      <w:pPr>
        <w:pStyle w:val="Caption"/>
      </w:pPr>
      <w:r>
        <w:t xml:space="preserve">Out of bounds gaze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22"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p>
      <w:pPr>
        <w:pStyle w:val="AfterWithoutNote"/>
      </w:pPr>
      <w:r>
        <w:t xml:space="preserve">We can also add add by-participant and by-trial out of bounds data to our behavioral, trial-level, data (</w:t>
      </w:r>
      <w:r>
        <w:rPr>
          <w:rStyle w:val="VerbatimChar"/>
        </w:rPr>
        <w:t xml:space="preserve">filter_edat_L2</w:t>
      </w:r>
      <w:r>
        <w:t xml:space="preserve">) and finally exclude participants and trials with more than 30% missing data. The value of 30 is just a suggestion and should not be used as a rule of thumb for all studies nor are we endorsing this value.</w:t>
      </w:r>
    </w:p>
    <w:p>
      <w:pPr>
        <w:pStyle w:val="SourceCode"/>
      </w:pPr>
      <w:r>
        <w:rPr>
          <w:rStyle w:val="NormalTok"/>
        </w:rPr>
        <w:t xml:space="preserve">remove_missing </w:t>
      </w:r>
      <w:r>
        <w:rPr>
          <w:rStyle w:val="OtherTok"/>
        </w:rPr>
        <w:t xml:space="preserve">&lt;-</w:t>
      </w:r>
      <w:r>
        <w:rPr>
          <w:rStyle w:val="NormalTok"/>
        </w:rPr>
        <w:t xml:space="preserve"> oob_data_L2 </w:t>
      </w:r>
      <w:r>
        <w:rPr>
          <w:rStyle w:val="SpecialCharTok"/>
        </w:rPr>
        <w:t xml:space="preserve">%&gt;%</w:t>
      </w:r>
      <w:r>
        <w:rPr>
          <w:rStyle w:val="NormalTok"/>
        </w:rPr>
        <w:t xml:space="preserve">                     </w:t>
      </w:r>
      <w:r>
        <w:rPr>
          <w:rStyle w:val="CommentTok"/>
        </w:rPr>
        <w:t xml:space="preserve"># Start with the `oob_data` dataset and assign the result to `remove_missing`</w:t>
      </w:r>
      <w:r>
        <w:br/>
      </w:r>
      <w:r>
        <w:rPr>
          <w:rStyle w:val="NormalTok"/>
        </w:rPr>
        <w:t xml:space="preserve">  </w:t>
      </w:r>
      <w:r>
        <w:rPr>
          <w:rStyle w:val="FunctionTok"/>
        </w:rPr>
        <w:t xml:space="preserve">select</w:t>
      </w:r>
      <w:r>
        <w:rPr>
          <w:rStyle w:val="NormalTok"/>
        </w:rPr>
        <w:t xml:space="preserve">(subject, total_missing_percentage) </w:t>
      </w:r>
      <w:r>
        <w:rPr>
          <w:rStyle w:val="SpecialCharTok"/>
        </w:rPr>
        <w:t xml:space="preserve">%&gt;%</w:t>
      </w:r>
      <w:r>
        <w:rPr>
          <w:rStyle w:val="NormalTok"/>
        </w:rPr>
        <w:t xml:space="preserve">       </w:t>
      </w:r>
      <w:r>
        <w:rPr>
          <w:rStyle w:val="CommentTok"/>
        </w:rPr>
        <w:t xml:space="preserve"># Select only the `subject` and `total_missing_percentage` columns from `oob_data`</w:t>
      </w:r>
      <w:r>
        <w:br/>
      </w:r>
      <w:r>
        <w:rPr>
          <w:rStyle w:val="NormalTok"/>
        </w:rPr>
        <w:t xml:space="preserve">  </w:t>
      </w:r>
      <w:r>
        <w:rPr>
          <w:rStyle w:val="FunctionTok"/>
        </w:rPr>
        <w:t xml:space="preserve">left_join</w:t>
      </w:r>
      <w:r>
        <w:rPr>
          <w:rStyle w:val="NormalTok"/>
        </w:rPr>
        <w:t xml:space="preserve">(filter_edat_L2,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rPr>
          <w:rStyle w:val="NormalTok"/>
        </w:rPr>
        <w:t xml:space="preserve">        </w:t>
      </w:r>
      <w:r>
        <w:rPr>
          <w:rStyle w:val="CommentTok"/>
        </w:rPr>
        <w:t xml:space="preserve"># Perform a left join with `filter_edat` on the `subject` column, keeping all rows from `oob_data`</w:t>
      </w:r>
      <w:r>
        <w:br/>
      </w:r>
      <w:r>
        <w:rPr>
          <w:rStyle w:val="NormalTok"/>
        </w:rPr>
        <w:t xml:space="preserve">  </w:t>
      </w:r>
      <w:r>
        <w:rPr>
          <w:rStyle w:val="FunctionTok"/>
        </w:rPr>
        <w:t xml:space="preserve">filter</w:t>
      </w:r>
      <w:r>
        <w:rPr>
          <w:rStyle w:val="NormalTok"/>
        </w:rPr>
        <w:t xml:space="preserve">(total_missing_percentage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rPr>
          <w:rStyle w:val="CommentTok"/>
        </w:rPr>
        <w:t xml:space="preserve"># Filter the data to keep only rows where `total_missing_percentage` is less than 30 %&gt;%</w:t>
      </w:r>
      <w:r>
        <w:br/>
      </w:r>
      <w:r>
        <w:rPr>
          <w:rStyle w:val="FunctionTok"/>
        </w:rPr>
        <w:t xml:space="preserve">na.omit</w:t>
      </w:r>
      <w:r>
        <w:rPr>
          <w:rStyle w:val="NormalTok"/>
        </w:rPr>
        <w:t xml:space="preserve">()</w:t>
      </w:r>
    </w:p>
    <w:bookmarkEnd w:id="74"/>
    <w:bookmarkStart w:id="75"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t xml:space="preserve">In the eye-tracking data we need to remove rows with poor convergence and confidence scores in our eye-tracking data. The</w:t>
      </w:r>
      <w:r>
        <w:t xml:space="preserve"> </w:t>
      </w:r>
      <w:r>
        <w:rPr>
          <w:rStyle w:val="VerbatimChar"/>
        </w:rPr>
        <w:t xml:space="preserve">convergence</w:t>
      </w:r>
      <w:r>
        <w:t xml:space="preserve"> </w:t>
      </w:r>
      <w:r>
        <w:t xml:space="preserve">column refers to WebGazer.js confidence in finding a face (and accurately predicting eye movements). Confidence values vary from 0 to 1, and numbers less than 0.5 suggest that the model has probably converged.</w:t>
      </w:r>
      <w:r>
        <w:t xml:space="preserve"> </w:t>
      </w:r>
      <w:r>
        <w:rPr>
          <w:rStyle w:val="VerbatimChar"/>
        </w:rPr>
        <w:t xml:space="preserve">face_conf</w:t>
      </w:r>
      <w:r>
        <w:t xml:space="preserve"> </w:t>
      </w:r>
      <w:r>
        <w:t xml:space="preserve">represents the support vector machine (SVM) classifier score for the face model fit. This score indicates how strongly the image under the model resembles a face. Values vary from 0 to 1, and here numbers greater than 0.5 are indicative of a good model fit. In our</w:t>
      </w:r>
      <w:r>
        <w:t xml:space="preserve"> </w:t>
      </w:r>
      <w:r>
        <w:rPr>
          <w:rStyle w:val="VerbatimChar"/>
        </w:rPr>
        <w:t xml:space="preserve">edat_L2</w:t>
      </w:r>
      <w:r>
        <w:t xml:space="preserve"> </w:t>
      </w:r>
      <w:r>
        <w:t xml:space="preserve">object we filter out convergence less than 0.5 and face confidence greater than 0.5 and save it to</w:t>
      </w:r>
      <w:r>
        <w:t xml:space="preserve"> </w:t>
      </w:r>
      <w:r>
        <w:rPr>
          <w:rStyle w:val="VerbatimChar"/>
        </w:rPr>
        <w:t xml:space="preserve">edat_1_L2</w:t>
      </w:r>
    </w:p>
    <w:p>
      <w:pPr>
        <w:pStyle w:val="SourceCode"/>
      </w:pPr>
      <w:r>
        <w:rPr>
          <w:rStyle w:val="NormalTok"/>
        </w:rPr>
        <w:t xml:space="preserve">edat_1_L2 </w:t>
      </w:r>
      <w:r>
        <w:rPr>
          <w:rStyle w:val="OtherTok"/>
        </w:rPr>
        <w:t xml:space="preserve">&lt;-</w:t>
      </w:r>
      <w:r>
        <w:rPr>
          <w:rStyle w:val="NormalTok"/>
        </w:rPr>
        <w:t xml:space="preserve"> edat_L2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w:t>
      </w:r>
      <w:r>
        <w:t xml:space="preserve"> </w:t>
      </w:r>
      <w:r>
        <w:rPr>
          <w:rStyle w:val="VerbatimChar"/>
        </w:rPr>
        <w:t xml:space="preserve">right_join</w:t>
      </w:r>
      <w:r>
        <w:t xml:space="preserve"> </w:t>
      </w:r>
      <w:r>
        <w:t xml:space="preserve">to add the behavioral data to the eye-tracking data. This ensures that all rows from the eye-tracking data are preserved, even if there isn’t a matching entry in the behavioral data (missing values will be filled with NA). The resulting object is called dat_L2. We use the</w:t>
      </w:r>
      <w:r>
        <w:t xml:space="preserve"> </w:t>
      </w:r>
      <w:r>
        <w:rPr>
          <w:rStyle w:val="VerbatimChar"/>
        </w:rPr>
        <w:t xml:space="preserve">distinct()</w:t>
      </w:r>
      <w:r>
        <w:t xml:space="preserve">function afterward to remove any duplicate rows that may arise during the join</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right_join</w:t>
      </w:r>
      <w:r>
        <w:rPr>
          <w:rStyle w:val="NormalTok"/>
        </w:rPr>
        <w:t xml:space="preserve">(edat_1_L2,remove_missing,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"trial"</w:t>
      </w:r>
      <w:r>
        <w:rPr>
          <w:rStyle w:val="NormalTok"/>
        </w:rPr>
        <w:t xml:space="preserve">))</w:t>
      </w:r>
      <w:r>
        <w:br/>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CommentTok"/>
        </w:rPr>
        <w:t xml:space="preserve"># make sure to remove duplicate rows</w:t>
      </w:r>
    </w:p>
    <w:bookmarkEnd w:id="75"/>
    <w:bookmarkEnd w:id="76"/>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5</w:t>
        </w:r>
      </w:hyperlink>
      <w:r>
        <w:t xml:space="preserve"> </w:t>
      </w:r>
      <w:r>
        <w:t xml:space="preserve">shows how each quadrant looks in standardized space.</w:t>
      </w:r>
    </w:p>
    <w:bookmarkStart w:id="77"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77"/>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w:t>
      </w:r>
    </w:p>
    <w:bookmarkStart w:id="81" w:name="fig-quads"/>
    <w:p>
      <w:pPr>
        <w:pStyle w:val="FigureTitle"/>
      </w:pPr>
      <w:r>
        <w:t xml:space="preserve">Figure 5</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79" name="Picture"/>
            <a:graphic>
              <a:graphicData uri="http://schemas.openxmlformats.org/drawingml/2006/picture">
                <pic:pic>
                  <pic:nvPicPr>
                    <pic:cNvPr descr="L2_VWP_webcam_ET_files/figure-docx/fig-quads-1.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bookmarkEnd w:id="81"/>
    <w:bookmarkStart w:id="85" w:name="fig-fixquads"/>
    <w:p>
      <w:pPr>
        <w:pStyle w:val="FigureTitle"/>
      </w:pPr>
      <w:r>
        <w:t xml:space="preserve">Figure 6</w:t>
      </w:r>
    </w:p>
    <w:p>
      <w:pPr>
        <w:pStyle w:val="Caption"/>
      </w:pPr>
      <w:r>
        <w:t xml:space="preserve">Looks to each quadrant of the screen</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files/figure-docx/fig-fix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 As a note, we have decided to use an outer edge approach here (eliminating eye fixations that extend beyond the screen coordinates).</w:t>
      </w:r>
      <w:r>
        <w:t xml:space="preserve"> </w:t>
      </w:r>
      <w:r>
        <w:t xml:space="preserve">Bramlett and Wiener (2024)</w:t>
      </w:r>
      <w:r>
        <w:t xml:space="preserve"> </w:t>
      </w:r>
      <w:r>
        <w:t xml:space="preserve">have suggested an inner-edge approach and we may add this functionality once more testing is done. For now, we believe that the otter edge approach leads to the least amount of bias in the eye-tracking pipeline.</w:t>
      </w:r>
    </w:p>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 </w:t>
      </w:r>
      <w:r>
        <w:br/>
      </w:r>
      <w:r>
        <w:rPr>
          <w:rStyle w:val="NormalTok"/>
        </w:rPr>
        <w:t xml:space="preserve">    </w:t>
      </w:r>
      <w:r>
        <w:rPr>
          <w:rStyle w:val="AttributeTok"/>
        </w:rPr>
        <w:t xml:space="preserve">unrealted2_loc=</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Unrelated2),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unrealted2_loc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x_pred_normalised, y_pred_normalised,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(x_pred_normalised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x_pred_normalised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y_pred_normalised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y_pred_normalised </w:t>
      </w:r>
      <w:r>
        <w:rPr>
          <w:rStyle w:val="SpecialCharTok"/>
        </w:rPr>
        <w:t xml:space="preserve">&lt;</w:t>
      </w:r>
      <w:r>
        <w:rPr>
          <w:rStyle w:val="NormalTok"/>
        </w:rPr>
        <w:t xml:space="preserve"> </w:t>
      </w:r>
      <w:r>
        <w:rPr>
          <w:rStyle w:val="DecValTok"/>
        </w:rPr>
        <w:t xml:space="preserve">1</w:t>
      </w:r>
      <w:r>
        <w:rPr>
          <w:rStyle w:val="NormalTok"/>
        </w:rPr>
        <w:t xml:space="preserve">)</w:t>
      </w:r>
    </w:p>
    <w:bookmarkEnd w:id="86"/>
    <w:bookmarkEnd w:id="87"/>
    <w:bookmarkStart w:id="90"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smaller time bins is a common practice in gaze data analysis, as it helps create a more manageable dataset and reduces noise. When using research grade eye-trackers, downsampling is often not needed. However, with consumer-based webcam eye-tracking it is recommended you downsample your data so participants have consistent bin sizes (e.g.,</w:t>
      </w:r>
      <w:r>
        <w:t xml:space="preserve"> </w:t>
      </w:r>
      <w:r>
        <w:t xml:space="preserve">(Slim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fluctuations.There is no agreed upon downsampling value, but with webcam data larger bins are preferred</w:t>
      </w:r>
      <w:r>
        <w:t xml:space="preserve"> </w:t>
      </w:r>
      <w:r>
        <w:t xml:space="preserve">(Slim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End w:id="90"/>
    <w:bookmarkStart w:id="91"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1"/>
    <w:bookmarkStart w:id="96"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5"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3" name="Picture"/>
            <a:graphic>
              <a:graphicData uri="http://schemas.openxmlformats.org/drawingml/2006/picture">
                <pic:pic>
                  <pic:nvPicPr>
                    <pic:cNvPr descr="L2_VWP_webcam_ET_files/figure-docx/fig-L2comp-1.png" id="94" name="Picture"/>
                    <pic:cNvPicPr>
                      <a:picLocks noChangeArrowheads="1" noChangeAspect="1"/>
                    </pic:cNvPicPr>
                  </pic:nvPicPr>
                  <pic:blipFill>
                    <a:blip r:embed="rId92"/>
                    <a:stretch>
                      <a:fillRect/>
                    </a:stretch>
                  </pic:blipFill>
                  <pic:spPr bwMode="auto">
                    <a:xfrm>
                      <a:off x="0" y="0"/>
                      <a:ext cx="5943600" cy="3219450"/>
                    </a:xfrm>
                    <a:prstGeom prst="rect">
                      <a:avLst/>
                    </a:prstGeom>
                    <a:noFill/>
                    <a:ln w="9525">
                      <a:noFill/>
                      <a:headEnd/>
                      <a:tailEnd/>
                    </a:ln>
                  </pic:spPr>
                </pic:pic>
              </a:graphicData>
            </a:graphic>
          </wp:inline>
        </w:drawing>
      </w:r>
    </w:p>
    <w:bookmarkEnd w:id="95"/>
    <w:bookmarkEnd w:id="96"/>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w:t>
      </w:r>
    </w:p>
    <w:p>
      <w:pPr>
        <w:pStyle w:val="BodyText"/>
      </w:pPr>
      <w:r>
        <w:t xml:space="preserve">We are not going to highlight the steps here as they are the same as above. we are just replacing the coordinates.</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7"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7"/>
    <w:bookmarkStart w:id="101"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99" name="Picture"/>
            <a:graphic>
              <a:graphicData uri="http://schemas.openxmlformats.org/drawingml/2006/picture">
                <pic:pic>
                  <pic:nvPicPr>
                    <pic:cNvPr descr="L2_VWP_webcam_ET_files/figure-docx/fig-gor-L2-1.png" id="10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bookmarkEnd w:id="101"/>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aois_L2)</w:t>
      </w:r>
    </w:p>
    <w:bookmarkStart w:id="106" w:name="Xe56f900ee9073cb08f248c58bc7413f5f8a275d"/>
    <w:p>
      <w:pPr>
        <w:pStyle w:val="Heading3"/>
      </w:pPr>
      <w:r>
        <w:t xml:space="preserve">Visualizing time course data with Gorilla coordinates</w:t>
      </w:r>
    </w:p>
    <w:bookmarkStart w:id="105"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3" name="Picture"/>
            <a:graphic>
              <a:graphicData uri="http://schemas.openxmlformats.org/drawingml/2006/picture">
                <pic:pic>
                  <pic:nvPicPr>
                    <pic:cNvPr descr="L2_VWP_webcam_ET_files/figure-docx/fig-L2comp-gor-1.png" id="104" name="Picture"/>
                    <pic:cNvPicPr>
                      <a:picLocks noChangeArrowheads="1" noChangeAspect="1"/>
                    </pic:cNvPicPr>
                  </pic:nvPicPr>
                  <pic:blipFill>
                    <a:blip r:embed="rId102"/>
                    <a:stretch>
                      <a:fillRect/>
                    </a:stretch>
                  </pic:blipFill>
                  <pic:spPr bwMode="auto">
                    <a:xfrm>
                      <a:off x="0" y="0"/>
                      <a:ext cx="5943600" cy="4953000"/>
                    </a:xfrm>
                    <a:prstGeom prst="rect">
                      <a:avLst/>
                    </a:prstGeom>
                    <a:noFill/>
                    <a:ln w="9525">
                      <a:noFill/>
                      <a:headEnd/>
                      <a:tailEnd/>
                    </a:ln>
                  </pic:spPr>
                </pic:pic>
              </a:graphicData>
            </a:graphic>
          </wp:inline>
        </w:drawing>
      </w:r>
    </w:p>
    <w:bookmarkEnd w:id="105"/>
    <w:p>
      <w:pPr>
        <w:pStyle w:val="AfterWithoutNote"/>
      </w:pPr>
      <w:r>
        <w:t xml:space="preserve">The Gorilla provided coordinates show a similar pattern to the quadrant approach. However, the time course looks a bit nosier given the smaller AOIs.</w:t>
      </w:r>
    </w:p>
    <w:bookmarkEnd w:id="106"/>
    <w:bookmarkEnd w:id="107"/>
    <w:bookmarkStart w:id="114" w:name="modeling-data"/>
    <w:p>
      <w:pPr>
        <w:pStyle w:val="Heading2"/>
      </w:pPr>
      <w:r>
        <w:t xml:space="preserve">Modeling data</w:t>
      </w:r>
    </w:p>
    <w:p>
      <w:pPr>
        <w:pStyle w:val="FirstParagraph"/>
      </w:pPr>
      <w:r>
        <w:t xml:space="preserve">When analyzing VWP data there are many analytic approaches to choose from (e.g., growth curve analysis (GCA), cluster permutation tests (CPT), generalized additive mixed models (GAMMS), logistic multilevel models, divergent point analysis, etc.), and a lot has already been written describing these methods and applying them to visual world fixation data from the lab</w:t>
      </w:r>
      <w:r>
        <w:t xml:space="preserve"> </w:t>
      </w:r>
      <w:r>
        <w:t xml:space="preserve">(see Ito &amp; Knoeferle, 2023; McMurray &amp; Kutlu, n.d.; Stone et al., 2021)</w:t>
      </w:r>
      <w:r>
        <w:t xml:space="preserve"> </w:t>
      </w:r>
      <w:r>
        <w:t xml:space="preserve">and online</w:t>
      </w:r>
      <w:r>
        <w:t xml:space="preserve"> </w:t>
      </w:r>
      <w:r>
        <w:t xml:space="preserve">(Bramlett &amp; Wiener, 2024)</w:t>
      </w:r>
      <w:r>
        <w:t xml:space="preserve">. This tutorial’s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3"/>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3"/>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3"/>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 *p* \&lt;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rPr>
          <w:rStyle w:val="FunctionTok"/>
        </w:rPr>
        <w:t xml:space="preserve">library</w:t>
      </w:r>
      <w:r>
        <w:rPr>
          <w:rStyle w:val="NormalTok"/>
        </w:rPr>
        <w:t xml:space="preserve">(foreach) </w:t>
      </w:r>
      <w:r>
        <w:rPr>
          <w:rStyle w:val="CommentTok"/>
        </w:rPr>
        <w:t xml:space="preserve"># for par processing </w:t>
      </w:r>
      <w:r>
        <w:br/>
      </w:r>
      <w:r>
        <w:rPr>
          <w:rStyle w:val="FunctionTok"/>
        </w:rPr>
        <w:t xml:space="preserve">library</w:t>
      </w:r>
      <w:r>
        <w:rPr>
          <w:rStyle w:val="NormalTok"/>
        </w:rPr>
        <w:t xml:space="preserve">(doParallel)</w:t>
      </w:r>
      <w:r>
        <w:br/>
      </w:r>
      <w:r>
        <w:br/>
      </w:r>
      <w:r>
        <w:rPr>
          <w:rStyle w:val="CommentTok"/>
        </w:rPr>
        <w:t xml:space="preserve"># Step 1: Set up parallel backend</w:t>
      </w:r>
      <w:r>
        <w:br/>
      </w:r>
      <w:r>
        <w:rPr>
          <w:rStyle w:val="NormalTok"/>
        </w:rPr>
        <w:t xml:space="preserve">num_cores </w:t>
      </w:r>
      <w:r>
        <w:rPr>
          <w:rStyle w:val="OtherTok"/>
        </w:rPr>
        <w:t xml:space="preserve">&lt;-</w:t>
      </w:r>
      <w:r>
        <w:rPr>
          <w:rStyle w:val="NormalTok"/>
        </w:rPr>
        <w:t xml:space="preserve"> </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Use all available cores minus one for system stability</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(num_cores)</w:t>
      </w:r>
      <w:r>
        <w:br/>
      </w:r>
      <w:r>
        <w:rPr>
          <w:rStyle w:val="FunctionTok"/>
        </w:rPr>
        <w:t xml:space="preserve">registerDoParallel</w:t>
      </w:r>
      <w:r>
        <w:rPr>
          <w:rStyle w:val="NormalTok"/>
        </w:rPr>
        <w:t xml:space="preserve">(cl)</w:t>
      </w:r>
      <w:r>
        <w:br/>
      </w:r>
      <w:r>
        <w:br/>
      </w:r>
      <w:r>
        <w:rPr>
          <w:rStyle w:val="CommentTok"/>
        </w:rPr>
        <w:t xml:space="preserve"># Step 2: Define the total number of permutations</w:t>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CommentTok"/>
        </w:rPr>
        <w:t xml:space="preserve"># Step 3: Split the permutations across available cores</w:t>
      </w:r>
      <w:r>
        <w:br/>
      </w:r>
      <w:r>
        <w:rPr>
          <w:rStyle w:val="NormalTok"/>
        </w:rPr>
        <w:t xml:space="preserve">perms_per_core </w:t>
      </w:r>
      <w:r>
        <w:rPr>
          <w:rStyle w:val="OtherTok"/>
        </w:rPr>
        <w:t xml:space="preserve">&lt;-</w:t>
      </w:r>
      <w:r>
        <w:rPr>
          <w:rStyle w:val="NormalTok"/>
        </w:rPr>
        <w:t xml:space="preserve"> total_perms </w:t>
      </w:r>
      <w:r>
        <w:rPr>
          <w:rStyle w:val="SpecialCharTok"/>
        </w:rPr>
        <w:t xml:space="preserve">/</w:t>
      </w:r>
      <w:r>
        <w:rPr>
          <w:rStyle w:val="NormalTok"/>
        </w:rPr>
        <w:t xml:space="preserve"> num_cores</w:t>
      </w:r>
      <w:r>
        <w:br/>
      </w:r>
      <w:r>
        <w:br/>
      </w:r>
      <w:r>
        <w:rPr>
          <w:rStyle w:val="CommentTok"/>
        </w:rPr>
        <w:t xml:space="preserve"># Step 4: Use foreach to run the function in parallel</w:t>
      </w:r>
      <w:r>
        <w:br/>
      </w:r>
      <w:r>
        <w:rPr>
          <w:rStyle w:val="NormalTok"/>
        </w:rPr>
        <w:t xml:space="preserve">cpa.lme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NormalTok"/>
        </w:rPr>
        <w:t xml:space="preserve">num_cores, </w:t>
      </w:r>
      <w:r>
        <w:rPr>
          <w:rStyle w:val="AttributeTok"/>
        </w:rPr>
        <w:t xml:space="preserve">.combine =</w:t>
      </w:r>
      <w:r>
        <w:rPr>
          <w:rStyle w:val="NormalTok"/>
        </w:rPr>
        <w:t xml:space="preserve"> </w:t>
      </w:r>
      <w:r>
        <w:rPr>
          <w:rStyle w:val="StringTok"/>
        </w:rPr>
        <w:t xml:space="preserve">'rbind'</w:t>
      </w:r>
      <w:r>
        <w:rPr>
          <w:rStyle w:val="NormalTok"/>
        </w:rPr>
        <w:t xml:space="preserve">, </w:t>
      </w:r>
      <w:r>
        <w:rPr>
          <w:rStyle w:val="AttributeTok"/>
        </w:rPr>
        <w:t xml:space="preserve">.packages =</w:t>
      </w:r>
      <w:r>
        <w:rPr>
          <w:rStyle w:val="NormalTok"/>
        </w:rPr>
        <w:t xml:space="preserve"> </w:t>
      </w:r>
      <w:r>
        <w:rPr>
          <w:rStyle w:val="StringTok"/>
        </w:rPr>
        <w:t xml:space="preserve">'permutes'</w:t>
      </w:r>
      <w:r>
        <w:rPr>
          <w:rStyle w:val="NormalTok"/>
        </w:rPr>
        <w:t xml:space="preserve">) </w:t>
      </w:r>
      <w:r>
        <w:rPr>
          <w:rStyle w:val="SpecialCharTok"/>
        </w:rPr>
        <w:t xml:space="preserve">%dopar%</w:t>
      </w:r>
      <w:r>
        <w:rPr>
          <w:rStyle w:val="NormalTok"/>
        </w:rPr>
        <w:t xml:space="preserve"> {</w:t>
      </w:r>
      <w:r>
        <w:br/>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perms_per_core)</w:t>
      </w:r>
      <w:r>
        <w:br/>
      </w:r>
      <w:r>
        <w:rPr>
          <w:rStyle w:val="NormalTok"/>
        </w:rPr>
        <w:t xml:space="preserve">}</w:t>
      </w:r>
      <w:r>
        <w:br/>
      </w:r>
      <w:r>
        <w:rPr>
          <w:rStyle w:val="CommentTok"/>
        </w:rPr>
        <w:t xml:space="preserve"># Step 5: Stop the parallel backend</w:t>
      </w:r>
      <w:r>
        <w:br/>
      </w:r>
      <w:r>
        <w:rPr>
          <w:rStyle w:val="FunctionTok"/>
        </w:rPr>
        <w:t xml:space="preserve">stopCluster</w:t>
      </w:r>
      <w:r>
        <w:rPr>
          <w:rStyle w:val="NormalTok"/>
        </w:rPr>
        <w:t xml:space="preserve">(cl)</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bookmarkEnd w:id="113"/>
    <w:bookmarkEnd w:id="114"/>
    <w:bookmarkEnd w:id="115"/>
    <w:bookmarkStart w:id="125"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p>
      <w:pPr>
        <w:pStyle w:val="BodyText"/>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(one of the first studies to do so), but also provide insight in how to run VWP studies online and the issues associated with it.</w:t>
      </w:r>
    </w:p>
    <w:p>
      <w:pPr>
        <w:pStyle w:val="BodyText"/>
      </w:pPr>
      <w:r>
        <w:t xml:space="preserve">Our conceptual replication findings are highly encouraging, demonstrating competition effects both within (the Spanish-Spanish condition) and across languages (the Spanish-English condition), closely paralleling the results reported by Sarrett et al. However, several important methodological and sample differences war</w:t>
      </w:r>
    </w:p>
    <w:p>
      <w:pPr>
        <w:pStyle w:val="BodyText"/>
      </w:pPr>
      <w:r>
        <w:t xml:space="preserve">A key methodological difference between our study and Sarrett et al. lies in the approach used to analyze the time course of competition. While they employed a non-linear curve-fitting method</w:t>
      </w:r>
      <w:r>
        <w:t xml:space="preserve"> </w:t>
      </w:r>
      <w:r>
        <w:t xml:space="preserve">(see McMurray et al., 2010)</w:t>
      </w:r>
      <w:r>
        <w:t xml:space="preserve">, we used CPA. This methodological distinction limits our ability to address similar temporal questions. Nonetheless, the overall temporal patterns are strikingly similar. For instance, our CPA revealed a significant cluster starting at 500 ms, whereas</w:t>
      </w:r>
      <w:r>
        <w:t xml:space="preserve"> </w:t>
      </w:r>
      <w:r>
        <w:t xml:space="preserve">Sarrett et al. (2022)</w:t>
      </w:r>
      <w:r>
        <w:t xml:space="preserve"> </w:t>
      </w:r>
      <w:r>
        <w:t xml:space="preserve">identified competition effects emerging at approximately 400 ms. This indicates a delay of about 100 ms in competition onset between lab-based and online eye-tracking data. This delay, while notable, reflects a significant improvement over previous webcam-based studies</w:t>
      </w:r>
      <w:r>
        <w:t xml:space="preserve"> </w:t>
      </w:r>
      <w:r>
        <w:t xml:space="preserve">(e.g., Semmelmann &amp; Weigelt, 2018; Slim et al., 2024)</w:t>
      </w:r>
      <w:r>
        <w:t xml:space="preserve">. It is important to emphasize, however, that CPA clusters cannot reliably be used to make temporal inferences about the onset/offset of effects</w:t>
      </w:r>
      <w:r>
        <w:t xml:space="preserve"> </w:t>
      </w:r>
      <w:r>
        <w:t xml:space="preserve">(Fields &amp; Kuperberg, 2019; Ito &amp; Knoeferle, 2023)</w:t>
      </w:r>
      <w:r>
        <w:t xml:space="preserve">.</w:t>
      </w:r>
    </w:p>
    <w:p>
      <w:pPr>
        <w:pStyle w:val="BodyText"/>
      </w:pPr>
      <w:r>
        <w:t xml:space="preserve">Our study also employed a truncated stimulus set, with only 250 trials compared to the 450 trials in the original study.</w:t>
      </w:r>
      <w:r>
        <w:rPr>
          <w:rStyle w:val="FootnoteReference"/>
        </w:rPr>
        <w:footnoteReference w:id="116"/>
      </w:r>
      <w:r>
        <w:t xml:space="preserve"> </w:t>
      </w:r>
      <w:r>
        <w:t xml:space="preserve">Despite this reduction, the number of trials in our study remains larger than most existing webcam-based studies. Even with the smaller set, we observed a similar pattern of competition effects in both the Spanish-Spanish and Spanish-English conditions, demonstrating the robustness of our findings.</w:t>
      </w:r>
    </w:p>
    <w:p>
      <w:pPr>
        <w:pStyle w:val="BodyText"/>
      </w:pPr>
      <w:r>
        <w:t xml:space="preserve">Another notable difference is the recruitment strategy and participant screening. Sarrett et al. recruited participants from a Spanish college course and used the LexTALE-Spanish assessment</w:t>
      </w:r>
      <w:r>
        <w:t xml:space="preserve"> </w:t>
      </w:r>
      <w:r>
        <w:t xml:space="preserve">(Izura et al., 2014)</w:t>
      </w:r>
      <w:r>
        <w:t xml:space="preserve"> </w:t>
      </w:r>
      <w:r>
        <w:t xml:space="preserve">to evaluate Spanish proficiency. In contrast, our data were collected via Prolific with limited filters, which only allowed us to screen for native language and experience with another language. This constraint limited our ability to refine participant selection further and likely contributed to differences in participant profiles. While Sarrett et al. focused on adult L2 learners with known language proficiency levels, our sample included a broader range of L2 speakers with limited checks on their language abilities (see</w:t>
      </w:r>
      <w:r>
        <w:t xml:space="preserve"> </w:t>
      </w:r>
      <w:hyperlink w:anchor="tbl-demo2">
        <w:r>
          <w:rPr>
            <w:rStyle w:val="Hyperlink"/>
          </w:rPr>
          <w:t xml:space="preserve">Table 1</w:t>
        </w:r>
      </w:hyperlink>
      <w:r>
        <w:t xml:space="preserve"> </w:t>
      </w:r>
      <w:r>
        <w:t xml:space="preserve">for range of Spanish speakers in our study). This may help explain why we did not observe a cohort competition effect that persisted across the time course as observed by Sarrett et al.</w:t>
      </w:r>
    </w:p>
    <w:p>
      <w:pPr>
        <w:pStyle w:val="BodyText"/>
      </w:pPr>
      <w:r>
        <w:t xml:space="preserve">Overall, while the methodological and sample differences between the two studies are notable, the similarities in the competition effects observed within and across languages reinforce the robustness of these findings across different research settings. While we do not wish to downplay our findings, a more systematic study is needed to ensure generalizability.</w:t>
      </w:r>
    </w:p>
    <w:bookmarkStart w:id="122" w:name="limitations"/>
    <w:p>
      <w:pPr>
        <w:pStyle w:val="Heading2"/>
      </w:pPr>
      <w:r>
        <w:t xml:space="preserve">Limitations</w:t>
      </w:r>
    </w:p>
    <w:p>
      <w:pPr>
        <w:pStyle w:val="FirstParagraph"/>
      </w:pPr>
      <w:r>
        <w:t xml:space="preserve">While the above suggests that webcam eye-tracking is a promising avenue for language research, there are some issues that we ran into that need to be addressed. One issue is data loss due to poor calibration. In our study, we had to throw out ~40% of our data due to poor calibration. Other studies have shown numbers much higher (e.g., 73%)</w:t>
      </w:r>
      <w:r>
        <w:t xml:space="preserve"> </w:t>
      </w:r>
      <w:r>
        <w:t xml:space="preserve">(Slim &amp; Hartsuiker, 2023)</w:t>
      </w:r>
      <w:r>
        <w:t xml:space="preserve"> </w:t>
      </w:r>
      <w:r>
        <w:t xml:space="preserve">and lower (e.g., 20%)</w:t>
      </w:r>
      <w:r>
        <w:t xml:space="preserve"> </w:t>
      </w:r>
      <w:r>
        <w:t xml:space="preserve">(Prystauka et al., 2024)</w:t>
      </w:r>
      <w:r>
        <w:t xml:space="preserve">. Given this, it is still an open question as to what contributes to better vs. poor data quality in webcam eye-tracking. To this end, we included an assessment after the VWP that included questions on the participants’ experimental set-ups and overall experiences with the eye-tracking experiment. All questions are included</w:t>
      </w:r>
      <w:r>
        <w:t xml:space="preserve"> </w:t>
      </w:r>
      <w:hyperlink w:anchor="tbl-question">
        <w:r>
          <w:rPr>
            <w:rStyle w:val="Hyperlink"/>
          </w:rPr>
          <w:t xml:space="preserve">Table 8</w:t>
        </w:r>
      </w:hyperlink>
      <w:r>
        <w:t xml:space="preserve">.</w:t>
      </w:r>
    </w:p>
    <w:bookmarkStart w:id="119" w:name="poor-vs.-good-calibrators"/>
    <w:p>
      <w:pPr>
        <w:pStyle w:val="Heading3"/>
      </w:pPr>
      <w:r>
        <w:t xml:space="preserve">Poor vs. good calibrators</w:t>
      </w:r>
    </w:p>
    <w:p>
      <w:pPr>
        <w:pStyle w:val="FirstParagraph"/>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do not include responses to all questions. You can look at all the responses at our repo. However, two key differences emerge that may provide insight into factors influencing successful calibration.</w:t>
      </w:r>
    </w:p>
    <w:p>
      <w:pPr>
        <w:pStyle w:val="BodyText"/>
      </w:pPr>
      <w:r>
        <w:t xml:space="preserve">One notable difference is the type of webcam used. Participants who failed calibration predominantly reported using built-in webcams, whereas those who successfully calibrated reported using a variety of external webcams. This suggests that built-in webcams may not provide adequate resolution for effective calibration in the experiment. In fact,</w:t>
      </w:r>
      <w:r>
        <w:t xml:space="preserve"> </w:t>
      </w:r>
      <w:r>
        <w:t xml:space="preserve">Slim and Hartsuiker (2023)</w:t>
      </w:r>
      <w:r>
        <w:t xml:space="preserve"> </w:t>
      </w:r>
      <w:r>
        <w:t xml:space="preserve">examined the relationship between calibration scores and frame rate, finding that higher frame rates were associated with improved calibration performance. Participants using higher-quality webcams may have an easier time calibrating thereby leading to more reliable gaze data.</w:t>
      </w:r>
    </w:p>
    <w:p>
      <w:pPr>
        <w:pStyle w:val="BodyText"/>
      </w:pPr>
      <w:r>
        <w:t xml:space="preserve">Another difference lies in the participants’ environmental setup. Individuals who failed calibration were more likely to be in environments with natural light. Since natural light is known to interfere with eye-tracking, it may have contributed to their inability to calibrate successfully.</w:t>
      </w:r>
    </w:p>
    <w:p>
      <w:pPr>
        <w:pStyle w:val="BodyText"/>
      </w:pPr>
      <w:r>
        <w:t xml:space="preserve">We did not notice any other differences between those that successfully calibrated vs. those who did not. For researchers wanting to use webcam eye-tracking, they should try to make sure participants are in rooms without natural light, and use good web cameras. While we tried to emphasize this in our instructional videos, more explicit instruction may be needed. An avenue for research would be to compare lab based webcam eye-tracking to online based webcam eye tracking to see if control of the environment can produce better results.</w:t>
      </w:r>
    </w:p>
    <w:p>
      <w:pPr>
        <w:pStyle w:val="BodyText"/>
      </w:pPr>
      <w:r>
        <w:t xml:space="preserve">It is important to note here that Gorilla uses WebGazer.js</w:t>
      </w:r>
      <w:r>
        <w:t xml:space="preserve"> </w:t>
      </w:r>
      <w:r>
        <w:t xml:space="preserve">(Papoutsaki et al., 2016)</w:t>
      </w:r>
      <w:r>
        <w:t xml:space="preserve"> </w:t>
      </w:r>
      <w:r>
        <w:t xml:space="preserve">to perform it’s eye tracking. It is unclear if poor calibration results from the noise introduced by participants’ environments/equipment or if it is a function of the method itself, or both. We have listed some equipment and environmental factors that may contribute to the poor performance; however it could be the algorithm itself that is poor. There are other experimental platforms out there that use different eye-tracking ML algorithms to perform webcam eye-tracking.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 </w:t>
      </w:r>
    </w:p>
    <w:bookmarkStart w:id="117" w:name="tbl-question"/>
    <w:p>
      <w:pPr>
        <w:pStyle w:val="FigureTitle"/>
      </w:pPr>
      <w:r>
        <w:t xml:space="preserve">Table 8</w:t>
      </w:r>
    </w:p>
    <w:p>
      <w:pPr>
        <w:pStyle w:val="Caption"/>
      </w:pPr>
      <w:r>
        <w:t xml:space="preserve">Eye-tracking questionnaire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r>
      <w:tr>
        <w:trPr>
          <w:trHeight w:val="4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r>
      <w:tr>
        <w:trPr>
          <w:trHeight w:val="4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yes, please list below:</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no, what brand of camera are you using?</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Please estimate how far you think you were sitting from the camera during the experiment (an arm's length from your monitor is about 20 inches (51 cm).</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look at your phone during the experiment?</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get up during the experiment?</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When you had to calibrate, were the instructions clear?</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What additional information would you add to help make things easier to understand?</w:t>
            </w:r>
          </w:p>
        </w:tc>
      </w:tr>
      <w:tr>
        <w:trPr>
          <w:trHeight w:val="46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Are you wearing a mask?</w:t>
            </w: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vs. participants who had trouble calibratrin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Response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Bad</w:t>
            </w:r>
          </w:p>
        </w:tc>
      </w:tr>
      <w:tr>
        <w:trPr>
          <w:trHeight w:val="3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35.71</w:t>
            </w:r>
          </w:p>
        </w:tc>
      </w:tr>
      <w:tr>
        <w:trPr>
          <w:trHeight w:val="3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98.21</w:t>
            </w:r>
          </w:p>
        </w:tc>
      </w:tr>
      <w:tr>
        <w:trPr>
          <w:trHeight w:val="3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w:t>
            </w:r>
          </w:p>
        </w:tc>
      </w:tr>
      <w:tr>
        <w:trPr>
          <w:trHeight w:val="3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26.79</w:t>
            </w:r>
          </w:p>
        </w:tc>
      </w:tr>
      <w:tr>
        <w:trPr>
          <w:trHeight w:val="3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8.93</w:t>
            </w:r>
          </w:p>
        </w:tc>
      </w:tr>
      <w:tr>
        <w:trPr>
          <w:trHeight w:val="3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91.07</w:t>
            </w:r>
          </w:p>
        </w:tc>
      </w:tr>
      <w:tr>
        <w:trPr>
          <w:trHeight w:val="3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w:t>
            </w:r>
          </w:p>
        </w:tc>
      </w:tr>
      <w:tr>
        <w:trPr>
          <w:trHeight w:val="362"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96.43</w:t>
            </w:r>
          </w:p>
        </w:tc>
      </w:tr>
    </w:tbl>
    <w:bookmarkEnd w:id="118"/>
    <w:bookmarkEnd w:id="119"/>
    <w:bookmarkStart w:id="120" w:name="generalizability-to-other-platforms"/>
    <w:p>
      <w:pPr>
        <w:pStyle w:val="Heading3"/>
      </w:pPr>
      <w:r>
        <w:rPr>
          <w:b/>
          <w:bCs/>
        </w:rPr>
        <w:t xml:space="preserve">Generalizability to other platforms</w:t>
      </w:r>
    </w:p>
    <w:p>
      <w:pPr>
        <w:pStyle w:val="FirstParagraph"/>
      </w:pPr>
      <w:r>
        <w:t xml:space="preserve">We demonstrated how to analyze webcam eye-tracking data from a Gorilla experiment using WebGazer.js. While we were unable to validate this pipeline on other experimental platforms using WebGazer.js, such as PCIbex</w:t>
      </w:r>
      <w:r>
        <w:t xml:space="preserve"> </w:t>
      </w:r>
      <w:r>
        <w:t xml:space="preserve">(Zehr &amp; Schwarz, 2018)</w:t>
      </w:r>
      <w:r>
        <w:t xml:space="preserve"> </w:t>
      </w:r>
      <w:r>
        <w:t xml:space="preserve">or jsPsych</w:t>
      </w:r>
      <w:r>
        <w:t xml:space="preserve"> </w:t>
      </w:r>
      <w:r>
        <w:t xml:space="preserve">(Leeuw, 2015)</w:t>
      </w:r>
      <w:r>
        <w:t xml:space="preserve">, we believe that this basic pipeline will generalize to those platforms, as WebGazer.js underlies them all and provides consistent output. We encourage researchers to test this pipeline in their own studies and report any issues on our GitHub repository. We are committed to continuing improvements to</w:t>
      </w:r>
      <w:r>
        <w:t xml:space="preserve"> </w:t>
      </w:r>
      <w:r>
        <w:rPr>
          <w:rStyle w:val="VerbatimChar"/>
        </w:rPr>
        <w:t xml:space="preserve">webgazeR</w:t>
      </w:r>
      <w:r>
        <w:t xml:space="preserve">, ensuring that users can effectively analyze webcam eye-tracking data with our package.</w:t>
      </w:r>
    </w:p>
    <w:bookmarkEnd w:id="120"/>
    <w:bookmarkStart w:id="121"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also see Simonsohn, 2015)</w:t>
      </w:r>
      <w:r>
        <w:t xml:space="preserve">. We did attempt to increase our sample size 2x, but were unable to recruit enough participants through Prolific. However, our sample size is similar to the lab based studies. Regardless, reseachers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1"/>
    <w:bookmarkEnd w:id="122"/>
    <w:bookmarkStart w:id="123" w:name="recommendations"/>
    <w:p>
      <w:pPr>
        <w:pStyle w:val="Heading2"/>
      </w:pPr>
      <w:r>
        <w:t xml:space="preserve">Recommendations</w:t>
      </w:r>
    </w:p>
    <w:p>
      <w:pPr>
        <w:pStyle w:val="FirstParagraph"/>
      </w:pPr>
      <w:r>
        <w:t xml:space="preserve">Based on our findings and limitations, we propose the following recommendations for researchers conducting visual world webcam eye-tracking experiments.</w:t>
      </w:r>
    </w:p>
    <w:p>
      <w:pPr>
        <w:numPr>
          <w:ilvl w:val="0"/>
          <w:numId w:val="1004"/>
        </w:numPr>
      </w:pPr>
      <w:r>
        <w:rPr>
          <w:b/>
          <w:bCs/>
        </w:rPr>
        <w:t xml:space="preserve">Prioritize external webcams</w:t>
      </w:r>
      <w:r>
        <w:br/>
      </w:r>
      <w:r>
        <w:t xml:space="preserve">Our questionnaire suggested that participants using external webcams had significantly better calibration success compared to those relying on built-in webcams. External webcams generally provide higher resolution and frame rates, which are critical for accurate eye-tracking. Researchers should encourage participants to use external webcams whenever possible.</w:t>
      </w:r>
    </w:p>
    <w:p>
      <w:pPr>
        <w:numPr>
          <w:ilvl w:val="0"/>
          <w:numId w:val="1004"/>
        </w:numPr>
      </w:pPr>
      <w:r>
        <w:rPr>
          <w:b/>
          <w:bCs/>
        </w:rPr>
        <w:t xml:space="preserve">Optimize environmental conditions</w:t>
      </w:r>
      <w:r>
        <w:br/>
      </w:r>
      <w:r>
        <w:t xml:space="preserve">Natural light was a common factor in environments where calibration failed. Researchers should advise participants to conduct experiments in rooms with controlled lighting—ideally, artificial lighting with minimal glare or shadows—to reduce interference with eye-tracking accuracy.</w:t>
      </w:r>
    </w:p>
    <w:p>
      <w:pPr>
        <w:numPr>
          <w:ilvl w:val="0"/>
          <w:numId w:val="1004"/>
        </w:numPr>
      </w:pPr>
      <w:r>
        <w:rPr>
          <w:b/>
          <w:bCs/>
        </w:rPr>
        <w:t xml:space="preserve">Conduct a priori power analysis</w:t>
      </w:r>
      <w:r>
        <w:br/>
      </w: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high attrition rate to reach your target goal, so please plan accordingly.</w:t>
      </w:r>
    </w:p>
    <w:p>
      <w:pPr>
        <w:numPr>
          <w:ilvl w:val="0"/>
          <w:numId w:val="1004"/>
        </w:numPr>
      </w:pPr>
      <w:r>
        <w:rPr>
          <w:b/>
          <w:bCs/>
        </w:rPr>
        <w:t xml:space="preserve">Collect detailed post-experiment feedback</w:t>
      </w:r>
      <w:r>
        <w:br/>
      </w:r>
      <w:r>
        <w:t xml:space="preserve">Including post-experiment questionnaires about participants’ setups (e.g., webcam type, browser, lighting conditions) can provide valuable insights into calibration success factors. These data can help refine participant instructions and inclusion criteria for future studies.</w:t>
      </w:r>
    </w:p>
    <w:p>
      <w:pPr>
        <w:pStyle w:val="FirstParagraph"/>
      </w:pPr>
      <w:r>
        <w:t xml:space="preserve">By adhering to these recommendations, researchers can enhance the reliability and generalizability of their webcam eye-tracking studies, ensuring the potential of this technology is fully realized.</w:t>
      </w:r>
    </w:p>
    <w:bookmarkEnd w:id="123"/>
    <w:bookmarkStart w:id="124" w:name="conclusions"/>
    <w:p>
      <w:pPr>
        <w:pStyle w:val="Heading2"/>
      </w:pPr>
      <w:r>
        <w:t xml:space="preserve">Conclusions</w:t>
      </w:r>
    </w:p>
    <w:p>
      <w:pPr>
        <w:pStyle w:val="FirstParagraph"/>
      </w:pPr>
      <w:r>
        <w:t xml:space="preserve">This work highlighted the steps required to process webcam eye-tracking data collected via Gorilla, showcasing the potential of webcam-based eye-tracking for robust psycholinguistic experimentation. With a standardized pipeline for processing eye-tracking data we hope we have given researchers a clear path forward when collecting and analyzing visual word webcam eye-tracking data.</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4"/>
    <w:bookmarkEnd w:id="125"/>
    <w:bookmarkStart w:id="267" w:name="references"/>
    <w:p>
      <w:pPr>
        <w:pStyle w:val="Heading1"/>
      </w:pPr>
      <w:r>
        <w:t xml:space="preserve">References</w:t>
      </w:r>
    </w:p>
    <w:bookmarkStart w:id="266" w:name="refs"/>
    <w:bookmarkStart w:id="127"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26">
        <w:r>
          <w:rPr>
            <w:rStyle w:val="Hyperlink"/>
          </w:rPr>
          <w:t xml:space="preserve">https://doi.org/10.5281/zenodo.5960048</w:t>
        </w:r>
      </w:hyperlink>
    </w:p>
    <w:bookmarkEnd w:id="127"/>
    <w:bookmarkStart w:id="128"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28"/>
    <w:bookmarkStart w:id="130"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29">
        <w:r>
          <w:rPr>
            <w:rStyle w:val="Hyperlink"/>
          </w:rPr>
          <w:t xml:space="preserve">https://doi.org/10.1016/S0010-0277(99)00059-1</w:t>
        </w:r>
      </w:hyperlink>
    </w:p>
    <w:bookmarkEnd w:id="130"/>
    <w:bookmarkStart w:id="132"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1">
        <w:r>
          <w:rPr>
            <w:rStyle w:val="Hyperlink"/>
          </w:rPr>
          <w:t xml:space="preserve">https://doi.org/10.1177/0146167218798821</w:t>
        </w:r>
      </w:hyperlink>
    </w:p>
    <w:bookmarkEnd w:id="132"/>
    <w:bookmarkStart w:id="134"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3">
        <w:r>
          <w:rPr>
            <w:rStyle w:val="Hyperlink"/>
          </w:rPr>
          <w:t xml:space="preserve">https://doi.org/10.3758/s13428-019-01237-x</w:t>
        </w:r>
      </w:hyperlink>
    </w:p>
    <w:bookmarkEnd w:id="134"/>
    <w:bookmarkStart w:id="136"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35">
        <w:r>
          <w:rPr>
            <w:rStyle w:val="Hyperlink"/>
          </w:rPr>
          <w:t xml:space="preserve">https://CRAN.R-project.org/package=ggokabeito</w:t>
        </w:r>
      </w:hyperlink>
    </w:p>
    <w:bookmarkEnd w:id="136"/>
    <w:bookmarkStart w:id="138"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37">
        <w:r>
          <w:rPr>
            <w:rStyle w:val="Hyperlink"/>
          </w:rPr>
          <w:t xml:space="preserve">https://doi.org/10.1016/j.tics.2022.09.015</w:t>
        </w:r>
      </w:hyperlink>
    </w:p>
    <w:bookmarkEnd w:id="138"/>
    <w:bookmarkStart w:id="140"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39">
        <w:r>
          <w:rPr>
            <w:rStyle w:val="Hyperlink"/>
          </w:rPr>
          <w:t xml:space="preserve">https://doi.org/10.1075/lab.23071.bra</w:t>
        </w:r>
      </w:hyperlink>
    </w:p>
    <w:bookmarkEnd w:id="140"/>
    <w:bookmarkStart w:id="142"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41">
        <w:r>
          <w:rPr>
            <w:rStyle w:val="Hyperlink"/>
          </w:rPr>
          <w:t xml:space="preserve">https://doi.org/10.1093/applin/amad022</w:t>
        </w:r>
      </w:hyperlink>
    </w:p>
    <w:bookmarkEnd w:id="142"/>
    <w:bookmarkStart w:id="144"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43">
        <w:r>
          <w:rPr>
            <w:rStyle w:val="Hyperlink"/>
          </w:rPr>
          <w:t xml:space="preserve">https://doi.org/10.1016/j.ijpsycho.2020.05.010</w:t>
        </w:r>
      </w:hyperlink>
    </w:p>
    <w:bookmarkEnd w:id="144"/>
    <w:bookmarkStart w:id="146"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45">
        <w:r>
          <w:rPr>
            <w:rStyle w:val="Hyperlink"/>
          </w:rPr>
          <w:t xml:space="preserve">https://doi.org/10.1016/0010-0285(74)90005-X</w:t>
        </w:r>
      </w:hyperlink>
    </w:p>
    <w:bookmarkEnd w:id="146"/>
    <w:bookmarkStart w:id="148"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47">
        <w:r>
          <w:rPr>
            <w:rStyle w:val="Hyperlink"/>
          </w:rPr>
          <w:t xml:space="preserve">https://CRAN.R-project.org/package=doParallel</w:t>
        </w:r>
      </w:hyperlink>
    </w:p>
    <w:bookmarkEnd w:id="148"/>
    <w:bookmarkStart w:id="150"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49">
        <w:r>
          <w:rPr>
            <w:rStyle w:val="Hyperlink"/>
          </w:rPr>
          <w:t xml:space="preserve">https://CRAN.R-project.org/package=remotes</w:t>
        </w:r>
      </w:hyperlink>
    </w:p>
    <w:bookmarkEnd w:id="150"/>
    <w:bookmarkStart w:id="152"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51">
        <w:r>
          <w:rPr>
            <w:rStyle w:val="Hyperlink"/>
          </w:rPr>
          <w:t xml:space="preserve">https://doi.org/10.1006/cogp.2001.0750</w:t>
        </w:r>
      </w:hyperlink>
    </w:p>
    <w:bookmarkEnd w:id="152"/>
    <w:bookmarkStart w:id="153"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53"/>
    <w:bookmarkStart w:id="155"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54">
        <w:r>
          <w:rPr>
            <w:rStyle w:val="Hyperlink"/>
          </w:rPr>
          <w:t xml:space="preserve">https://nixos.org/</w:t>
        </w:r>
      </w:hyperlink>
    </w:p>
    <w:bookmarkEnd w:id="155"/>
    <w:bookmarkStart w:id="157"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56">
        <w:r>
          <w:rPr>
            <w:rStyle w:val="Hyperlink"/>
          </w:rPr>
          <w:t xml:space="preserve">https://doi.org/10.3758/BF03193146</w:t>
        </w:r>
      </w:hyperlink>
    </w:p>
    <w:bookmarkEnd w:id="157"/>
    <w:bookmarkStart w:id="159"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58">
        <w:r>
          <w:rPr>
            <w:rStyle w:val="Hyperlink"/>
          </w:rPr>
          <w:t xml:space="preserve">https://doi.org/10.1111/psyp.13468</w:t>
        </w:r>
      </w:hyperlink>
    </w:p>
    <w:bookmarkEnd w:id="159"/>
    <w:bookmarkStart w:id="161"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60">
        <w:r>
          <w:rPr>
            <w:rStyle w:val="Hyperlink"/>
          </w:rPr>
          <w:t xml:space="preserve">https://CRAN.R-project.org/package=janitor</w:t>
        </w:r>
      </w:hyperlink>
    </w:p>
    <w:bookmarkEnd w:id="161"/>
    <w:bookmarkStart w:id="163"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62">
        <w:r>
          <w:rPr>
            <w:rStyle w:val="Hyperlink"/>
          </w:rPr>
          <w:t xml:space="preserve">https://doi.org/10.18637/jss.v099.i15</w:t>
        </w:r>
      </w:hyperlink>
    </w:p>
    <w:bookmarkEnd w:id="163"/>
    <w:bookmarkStart w:id="165"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64">
        <w:r>
          <w:rPr>
            <w:rStyle w:val="Hyperlink"/>
          </w:rPr>
          <w:t xml:space="preserve">https://github.com/jgeller112/webgazeR</w:t>
        </w:r>
      </w:hyperlink>
    </w:p>
    <w:bookmarkEnd w:id="165"/>
    <w:bookmarkStart w:id="167" w:name="ref-geller2020"/>
    <w:p>
      <w:pPr>
        <w:pStyle w:val="Bibliography"/>
      </w:pPr>
      <w:r>
        <w:t xml:space="preserve">Geller, J., Winn, M. B., Mahr, T., &amp; Mirman, D. (2020). GazeR: A package for processing gaze position and pupil size data.</w:t>
      </w:r>
      <w:r>
        <w:t xml:space="preserve"> </w:t>
      </w:r>
      <w:r>
        <w:rPr>
          <w:i/>
          <w:iCs/>
        </w:rPr>
        <w:t xml:space="preserve">Behavior Research Methods</w:t>
      </w:r>
      <w:r>
        <w:t xml:space="preserve">.</w:t>
      </w:r>
      <w:r>
        <w:t xml:space="preserve"> </w:t>
      </w:r>
      <w:hyperlink r:id="rId166">
        <w:r>
          <w:rPr>
            <w:rStyle w:val="Hyperlink"/>
          </w:rPr>
          <w:t xml:space="preserve">https://doi.org/10.3758/s13428-020-01374-8</w:t>
        </w:r>
      </w:hyperlink>
    </w:p>
    <w:bookmarkEnd w:id="167"/>
    <w:bookmarkStart w:id="169"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68">
        <w:r>
          <w:rPr>
            <w:rStyle w:val="Hyperlink"/>
          </w:rPr>
          <w:t xml:space="preserve">https://doi.org/10.1111/lang.12664</w:t>
        </w:r>
      </w:hyperlink>
    </w:p>
    <w:bookmarkEnd w:id="169"/>
    <w:bookmarkStart w:id="171"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170">
        <w:r>
          <w:rPr>
            <w:rStyle w:val="Hyperlink"/>
          </w:rPr>
          <w:t xml:space="preserve">https://doi.org/10.1017/S0140525X10000300</w:t>
        </w:r>
      </w:hyperlink>
    </w:p>
    <w:bookmarkEnd w:id="171"/>
    <w:bookmarkStart w:id="173"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2">
        <w:r>
          <w:rPr>
            <w:rStyle w:val="Hyperlink"/>
          </w:rPr>
          <w:t xml:space="preserve">https://doi.org/10.1111/2041-210X.12504</w:t>
        </w:r>
      </w:hyperlink>
    </w:p>
    <w:bookmarkEnd w:id="173"/>
    <w:bookmarkStart w:id="175"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74">
        <w:r>
          <w:rPr>
            <w:rStyle w:val="Hyperlink"/>
          </w:rPr>
          <w:t xml:space="preserve">https://doi.org/10.1038/466029a</w:t>
        </w:r>
      </w:hyperlink>
    </w:p>
    <w:bookmarkEnd w:id="175"/>
    <w:bookmarkStart w:id="177"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76">
        <w:r>
          <w:rPr>
            <w:rStyle w:val="Hyperlink"/>
          </w:rPr>
          <w:t xml:space="preserve">https://doi.org/10.3758/s13428-024-02564-4</w:t>
        </w:r>
      </w:hyperlink>
    </w:p>
    <w:bookmarkEnd w:id="177"/>
    <w:bookmarkStart w:id="179"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178">
        <w:r>
          <w:rPr>
            <w:rStyle w:val="Hyperlink"/>
          </w:rPr>
          <w:t xml:space="preserve">https://doi.org/10.1177/0267658312461803</w:t>
        </w:r>
      </w:hyperlink>
    </w:p>
    <w:bookmarkEnd w:id="179"/>
    <w:bookmarkStart w:id="181"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180">
        <w:r>
          <w:rPr>
            <w:rStyle w:val="Hyperlink"/>
          </w:rPr>
          <w:t xml:space="preserve">https://doi.org/10.1016/j.cognition.2020.104251</w:t>
        </w:r>
      </w:hyperlink>
    </w:p>
    <w:bookmarkEnd w:id="181"/>
    <w:bookmarkStart w:id="183"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182">
        <w:r>
          <w:rPr>
            <w:rStyle w:val="Hyperlink"/>
          </w:rPr>
          <w:t xml:space="preserve">https://doi.org/10.1016/j.jml.2007.02.001</w:t>
        </w:r>
      </w:hyperlink>
    </w:p>
    <w:bookmarkEnd w:id="183"/>
    <w:bookmarkStart w:id="185"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184">
        <w:r>
          <w:rPr>
            <w:rStyle w:val="Hyperlink"/>
          </w:rPr>
          <w:t xml:space="preserve">https://doi.org/10.1016/j.actpsy.2010.11.003</w:t>
        </w:r>
      </w:hyperlink>
    </w:p>
    <w:bookmarkEnd w:id="185"/>
    <w:bookmarkStart w:id="187"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186">
        <w:r>
          <w:rPr>
            <w:rStyle w:val="Hyperlink"/>
          </w:rPr>
          <w:t xml:space="preserve">https://doi.org/10.3758/s13428-022-01969-3</w:t>
        </w:r>
      </w:hyperlink>
    </w:p>
    <w:bookmarkEnd w:id="187"/>
    <w:bookmarkStart w:id="189"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188">
        <w:r>
          <w:rPr>
            <w:rStyle w:val="Hyperlink"/>
          </w:rPr>
          <w:t xml:space="preserve">https://doi.org/10.1016/j.jml.2017.09.002</w:t>
        </w:r>
      </w:hyperlink>
    </w:p>
    <w:bookmarkEnd w:id="189"/>
    <w:bookmarkStart w:id="191"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190">
        <w:r>
          <w:rPr>
            <w:rStyle w:val="Hyperlink"/>
          </w:rPr>
          <w:t xml:space="preserve">http://hdl.handle.net/1854/LU-5774107</w:t>
        </w:r>
      </w:hyperlink>
    </w:p>
    <w:bookmarkEnd w:id="191"/>
    <w:bookmarkStart w:id="193"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192">
        <w:r>
          <w:rPr>
            <w:rStyle w:val="Hyperlink"/>
          </w:rPr>
          <w:t xml:space="preserve">https://doi.org/10.3758/s13428-023-02237-8</w:t>
        </w:r>
      </w:hyperlink>
    </w:p>
    <w:bookmarkEnd w:id="193"/>
    <w:bookmarkStart w:id="195"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194">
        <w:r>
          <w:rPr>
            <w:rStyle w:val="Hyperlink"/>
          </w:rPr>
          <w:t xml:space="preserve">https://doi.org/10.1016/S0749-596X(03)00023-8</w:t>
        </w:r>
      </w:hyperlink>
    </w:p>
    <w:bookmarkEnd w:id="195"/>
    <w:bookmarkStart w:id="197"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6">
        <w:r>
          <w:rPr>
            <w:rStyle w:val="Hyperlink"/>
          </w:rPr>
          <w:t xml:space="preserve">https://doi.org/10.3758/s13428-021-01546-0</w:t>
        </w:r>
      </w:hyperlink>
    </w:p>
    <w:bookmarkEnd w:id="197"/>
    <w:bookmarkStart w:id="199"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198">
        <w:r>
          <w:rPr>
            <w:rStyle w:val="Hyperlink"/>
          </w:rPr>
          <w:t xml:space="preserve">https://doi.org/10.1525/collabra.33267</w:t>
        </w:r>
      </w:hyperlink>
    </w:p>
    <w:bookmarkEnd w:id="199"/>
    <w:bookmarkStart w:id="201"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00">
        <w:r>
          <w:rPr>
            <w:rStyle w:val="Hyperlink"/>
          </w:rPr>
          <w:t xml:space="preserve">https://doi.org/10.3758/s13428-014-0458-y</w:t>
        </w:r>
      </w:hyperlink>
    </w:p>
    <w:bookmarkEnd w:id="201"/>
    <w:bookmarkStart w:id="203"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02">
        <w:r>
          <w:rPr>
            <w:rStyle w:val="Hyperlink"/>
          </w:rPr>
          <w:t xml:space="preserve">https://doi.org/10.1080/03640210709336987</w:t>
        </w:r>
      </w:hyperlink>
    </w:p>
    <w:bookmarkEnd w:id="203"/>
    <w:bookmarkStart w:id="205"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04">
        <w:r>
          <w:rPr>
            <w:rStyle w:val="Hyperlink"/>
          </w:rPr>
          <w:t xml:space="preserve">https://doi.org/10.1016/j.jneumeth.2007.03.024</w:t>
        </w:r>
      </w:hyperlink>
    </w:p>
    <w:bookmarkEnd w:id="205"/>
    <w:bookmarkStart w:id="207" w:name="ref-mcmurray"/>
    <w:p>
      <w:pPr>
        <w:pStyle w:val="Bibliography"/>
      </w:pPr>
      <w:r>
        <w:t xml:space="preserve">McMurray, B., &amp; Kutlu, E. (n.d.).</w:t>
      </w:r>
      <w:r>
        <w:t xml:space="preserve"> </w:t>
      </w:r>
      <w:r>
        <w:rPr>
          <w:i/>
          <w:iCs/>
        </w:rPr>
        <w:t xml:space="preserve">From real-time measures to real world differences new [and old] statistical approaches to individual differences in real-time language processing</w:t>
      </w:r>
      <w:r>
        <w:t xml:space="preserve">.</w:t>
      </w:r>
      <w:r>
        <w:t xml:space="preserve"> </w:t>
      </w:r>
      <w:hyperlink r:id="rId206">
        <w:r>
          <w:rPr>
            <w:rStyle w:val="Hyperlink"/>
          </w:rPr>
          <w:t xml:space="preserve">https://doi.org/10.31234/osf.io/2c5b6</w:t>
        </w:r>
      </w:hyperlink>
    </w:p>
    <w:bookmarkEnd w:id="207"/>
    <w:bookmarkStart w:id="209"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08">
        <w:r>
          <w:rPr>
            <w:rStyle w:val="Hyperlink"/>
          </w:rPr>
          <w:t xml:space="preserve">https://doi.org/10.1016/j.cogpsych.2009.06.003</w:t>
        </w:r>
      </w:hyperlink>
    </w:p>
    <w:bookmarkEnd w:id="209"/>
    <w:bookmarkStart w:id="211"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10">
        <w:r>
          <w:rPr>
            <w:rStyle w:val="Hyperlink"/>
          </w:rPr>
          <w:t xml:space="preserve">https://doi.org/10.1016/S0010-0277(02)00157-9</w:t>
        </w:r>
      </w:hyperlink>
    </w:p>
    <w:bookmarkEnd w:id="211"/>
    <w:bookmarkStart w:id="213"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12">
        <w:r>
          <w:rPr>
            <w:rStyle w:val="Hyperlink"/>
          </w:rPr>
          <w:t xml:space="preserve">https://CRAN.R-project.org/package=foreach</w:t>
        </w:r>
      </w:hyperlink>
    </w:p>
    <w:bookmarkEnd w:id="213"/>
    <w:bookmarkStart w:id="215"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14">
        <w:r>
          <w:rPr>
            <w:rStyle w:val="Hyperlink"/>
          </w:rPr>
          <w:t xml:space="preserve">https://doi.org/10.1037/xge0001450</w:t>
        </w:r>
      </w:hyperlink>
    </w:p>
    <w:bookmarkEnd w:id="215"/>
    <w:bookmarkStart w:id="21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16">
        <w:r>
          <w:rPr>
            <w:rStyle w:val="Hyperlink"/>
          </w:rPr>
          <w:t xml:space="preserve">https://doi.org/10.1037/a0026451</w:t>
        </w:r>
      </w:hyperlink>
    </w:p>
    <w:bookmarkEnd w:id="217"/>
    <w:bookmarkStart w:id="21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18">
        <w:r>
          <w:rPr>
            <w:rStyle w:val="Hyperlink"/>
          </w:rPr>
          <w:t xml:space="preserve">https://CRAN.R-project.org/package=here</w:t>
        </w:r>
      </w:hyperlink>
    </w:p>
    <w:bookmarkEnd w:id="219"/>
    <w:bookmarkStart w:id="22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20"/>
    <w:bookmarkStart w:id="222"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21">
        <w:r>
          <w:rPr>
            <w:rStyle w:val="Hyperlink"/>
          </w:rPr>
          <w:t xml:space="preserve">https://doi.org/10.1525/collabra.25961</w:t>
        </w:r>
      </w:hyperlink>
    </w:p>
    <w:bookmarkEnd w:id="222"/>
    <w:bookmarkStart w:id="224"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23">
        <w:r>
          <w:rPr>
            <w:rStyle w:val="Hyperlink"/>
          </w:rPr>
          <w:t xml:space="preserve">https://doi.org/10.3758/s13428-018-01193-y</w:t>
        </w:r>
      </w:hyperlink>
    </w:p>
    <w:bookmarkEnd w:id="224"/>
    <w:bookmarkStart w:id="226"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25">
        <w:r>
          <w:rPr>
            <w:rStyle w:val="Hyperlink"/>
          </w:rPr>
          <w:t xml:space="preserve">http://cejsh.icm.edu.pl/cejsh/element/bwmeta1.element.desklight-98576d43-39e3-4981-8c1c-717962cf29da</w:t>
        </w:r>
      </w:hyperlink>
    </w:p>
    <w:bookmarkEnd w:id="226"/>
    <w:bookmarkStart w:id="228"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27">
        <w:r>
          <w:rPr>
            <w:rStyle w:val="Hyperlink"/>
          </w:rPr>
          <w:t xml:space="preserve">https://doi.org/10.3758/s13428-023-02176-4</w:t>
        </w:r>
      </w:hyperlink>
    </w:p>
    <w:bookmarkEnd w:id="228"/>
    <w:bookmarkStart w:id="230"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29">
        <w:r>
          <w:rPr>
            <w:rStyle w:val="Hyperlink"/>
          </w:rPr>
          <w:t xml:space="preserve">https://www.R-project.org/</w:t>
        </w:r>
      </w:hyperlink>
    </w:p>
    <w:bookmarkEnd w:id="230"/>
    <w:bookmarkStart w:id="232"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31">
        <w:r>
          <w:rPr>
            <w:rStyle w:val="Hyperlink"/>
          </w:rPr>
          <w:t xml:space="preserve">https://doi.org/10.1016/j.jml.2023.104472</w:t>
        </w:r>
      </w:hyperlink>
    </w:p>
    <w:bookmarkEnd w:id="232"/>
    <w:bookmarkStart w:id="234"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33">
        <w:r>
          <w:rPr>
            <w:rStyle w:val="Hyperlink"/>
          </w:rPr>
          <w:t xml:space="preserve">https://docs.ropensci.org/rix/</w:t>
        </w:r>
      </w:hyperlink>
    </w:p>
    <w:bookmarkEnd w:id="234"/>
    <w:bookmarkStart w:id="236"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35">
        <w:r>
          <w:rPr>
            <w:rStyle w:val="Hyperlink"/>
          </w:rPr>
          <w:t xml:space="preserve">https://doi.org/10.1002/9781119387725.ch4</w:t>
        </w:r>
      </w:hyperlink>
    </w:p>
    <w:bookmarkEnd w:id="236"/>
    <w:bookmarkStart w:id="238"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37">
        <w:r>
          <w:rPr>
            <w:rStyle w:val="Hyperlink"/>
          </w:rPr>
          <w:t xml:space="preserve">https://doi.org/10.1080/23273798.2021.1952283</w:t>
        </w:r>
      </w:hyperlink>
    </w:p>
    <w:bookmarkEnd w:id="238"/>
    <w:bookmarkStart w:id="24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39">
        <w:r>
          <w:rPr>
            <w:rStyle w:val="Hyperlink"/>
          </w:rPr>
          <w:t xml:space="preserve">https://doi.org/10.3758/s13428-017-0913-7</w:t>
        </w:r>
      </w:hyperlink>
    </w:p>
    <w:bookmarkEnd w:id="240"/>
    <w:bookmarkStart w:id="242" w:name="ref-simonsohn2015"/>
    <w:p>
      <w:pPr>
        <w:pStyle w:val="Bibliography"/>
      </w:pPr>
      <w:r>
        <w:t xml:space="preserve">Simonsohn, U. (2015). Small telescopes.</w:t>
      </w:r>
      <w:r>
        <w:t xml:space="preserve"> </w:t>
      </w:r>
      <w:r>
        <w:rPr>
          <w:i/>
          <w:iCs/>
        </w:rPr>
        <w:t xml:space="preserve">Psychological Science</w:t>
      </w:r>
      <w:r>
        <w:t xml:space="preserve">,</w:t>
      </w:r>
      <w:r>
        <w:t xml:space="preserve"> </w:t>
      </w:r>
      <w:r>
        <w:rPr>
          <w:i/>
          <w:iCs/>
        </w:rPr>
        <w:t xml:space="preserve">26</w:t>
      </w:r>
      <w:r>
        <w:t xml:space="preserve">(5), 559–569.</w:t>
      </w:r>
      <w:r>
        <w:t xml:space="preserve"> </w:t>
      </w:r>
      <w:hyperlink r:id="rId241">
        <w:r>
          <w:rPr>
            <w:rStyle w:val="Hyperlink"/>
          </w:rPr>
          <w:t xml:space="preserve">https://doi.org/10.1177/0956797614567341</w:t>
        </w:r>
      </w:hyperlink>
    </w:p>
    <w:bookmarkEnd w:id="242"/>
    <w:bookmarkStart w:id="244"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43">
        <w:r>
          <w:rPr>
            <w:rStyle w:val="Hyperlink"/>
          </w:rPr>
          <w:t xml:space="preserve">https://doi.org/10.3758/s13428-022-01989-z</w:t>
        </w:r>
      </w:hyperlink>
    </w:p>
    <w:bookmarkEnd w:id="244"/>
    <w:bookmarkStart w:id="246"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45">
        <w:r>
          <w:rPr>
            <w:rStyle w:val="Hyperlink"/>
          </w:rPr>
          <w:t xml:space="preserve">https://doi.org/10.1162/opmi_a_00171</w:t>
        </w:r>
      </w:hyperlink>
    </w:p>
    <w:bookmarkEnd w:id="246"/>
    <w:bookmarkStart w:id="24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47">
        <w:r>
          <w:rPr>
            <w:rStyle w:val="Hyperlink"/>
          </w:rPr>
          <w:t xml:space="preserve">https://doi.org/10.1017/S1366728920000607</w:t>
        </w:r>
      </w:hyperlink>
    </w:p>
    <w:bookmarkEnd w:id="248"/>
    <w:bookmarkStart w:id="25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49">
        <w:r>
          <w:rPr>
            <w:rStyle w:val="Hyperlink"/>
          </w:rPr>
          <w:t xml:space="preserve">http://www.ncbi.nlm.nih.gov/pubmed/7777863</w:t>
        </w:r>
      </w:hyperlink>
    </w:p>
    <w:bookmarkEnd w:id="250"/>
    <w:bookmarkStart w:id="25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51">
        <w:r>
          <w:rPr>
            <w:rStyle w:val="Hyperlink"/>
          </w:rPr>
          <w:t xml:space="preserve">https://doi.org/10.1075/lald.44.05tru</w:t>
        </w:r>
      </w:hyperlink>
    </w:p>
    <w:bookmarkEnd w:id="252"/>
    <w:bookmarkStart w:id="253"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53"/>
    <w:bookmarkStart w:id="255"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54">
        <w:r>
          <w:rPr>
            <w:rStyle w:val="Hyperlink"/>
          </w:rPr>
          <w:t xml:space="preserve">https://CRAN.R-project.org/package=permutes</w:t>
        </w:r>
      </w:hyperlink>
    </w:p>
    <w:bookmarkEnd w:id="255"/>
    <w:bookmarkStart w:id="257"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56">
        <w:r>
          <w:rPr>
            <w:rStyle w:val="Hyperlink"/>
          </w:rPr>
          <w:t xml:space="preserve">https://doi.org/10.5070/G6011131</w:t>
        </w:r>
      </w:hyperlink>
    </w:p>
    <w:bookmarkEnd w:id="257"/>
    <w:bookmarkStart w:id="259"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58">
        <w:r>
          <w:rPr>
            <w:rStyle w:val="Hyperlink"/>
          </w:rPr>
          <w:t xml:space="preserve">https://CRAN.R-project.org/package=tidyverse</w:t>
        </w:r>
      </w:hyperlink>
    </w:p>
    <w:bookmarkEnd w:id="259"/>
    <w:bookmarkStart w:id="261" w:name="ref-woods2017"/>
    <w:p>
      <w:pPr>
        <w:pStyle w:val="Bibliography"/>
      </w:pPr>
      <w:r>
        <w:t xml:space="preserve">Woods, K. J. P., Siegel, M. H., Traer, J., &amp; McDermott, J. H. (2017). Headphone screening to facilitate web-based auditory experiments.</w:t>
      </w:r>
      <w:r>
        <w:t xml:space="preserve"> </w:t>
      </w:r>
      <w:r>
        <w:rPr>
          <w:i/>
          <w:iCs/>
        </w:rPr>
        <w:t xml:space="preserve">Attention, Perception, and Psychophysics</w:t>
      </w:r>
      <w:r>
        <w:t xml:space="preserve">,</w:t>
      </w:r>
      <w:r>
        <w:t xml:space="preserve"> </w:t>
      </w:r>
      <w:r>
        <w:rPr>
          <w:i/>
          <w:iCs/>
        </w:rPr>
        <w:t xml:space="preserve">79</w:t>
      </w:r>
      <w:r>
        <w:t xml:space="preserve">(7), 2064–2072.</w:t>
      </w:r>
      <w:r>
        <w:t xml:space="preserve"> </w:t>
      </w:r>
      <w:hyperlink r:id="rId260">
        <w:r>
          <w:rPr>
            <w:rStyle w:val="Hyperlink"/>
          </w:rPr>
          <w:t xml:space="preserve">https://doi.org/10.3758/s13414-017-1361-2</w:t>
        </w:r>
      </w:hyperlink>
    </w:p>
    <w:bookmarkEnd w:id="261"/>
    <w:bookmarkStart w:id="26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262">
        <w:r>
          <w:rPr>
            <w:rStyle w:val="Hyperlink"/>
          </w:rPr>
          <w:t xml:space="preserve">https://doi.org/10.1162/jocn.2008.20056</w:t>
        </w:r>
      </w:hyperlink>
    </w:p>
    <w:bookmarkEnd w:id="263"/>
    <w:bookmarkStart w:id="26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264">
        <w:r>
          <w:rPr>
            <w:rStyle w:val="Hyperlink"/>
          </w:rPr>
          <w:t xml:space="preserve">https://doi.org/10.17605/OSF.IO/MD832</w:t>
        </w:r>
      </w:hyperlink>
    </w:p>
    <w:bookmarkEnd w:id="265"/>
    <w:bookmarkEnd w:id="266"/>
    <w:sectPr>
      <w:lnNumType w:countBy="1" w:restart="continuous"/>
    </w:sectPr>
    <w:bookmarkEnd w:id="26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6">
    <w:p>
      <w:pPr>
        <w:pStyle w:val="FootnoteText"/>
      </w:pPr>
      <w:r>
        <w:rPr>
          <w:rStyle w:val="FootnoteReference"/>
        </w:rPr>
        <w:footnoteRef/>
      </w:r>
      <w:r>
        <w:t xml:space="preserve"> </w:t>
      </w:r>
      <w:r>
        <w:t xml:space="preserve">The curve fitting approach employed by</w:t>
      </w:r>
      <w:r>
        <w:t xml:space="preserve"> </w:t>
      </w:r>
      <w:r>
        <w:t xml:space="preserve">Sarrett et al. (2022)</w:t>
      </w:r>
      <w:r>
        <w:t xml:space="preserve"> </w:t>
      </w:r>
      <w:r>
        <w:t xml:space="preserve">necessitates more trials. If we were to apply that approach the number of trials needed might not be sufficient.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64" Target="media/rId64.jpg" /><Relationship Type="http://schemas.openxmlformats.org/officeDocument/2006/relationships/image" Id="rId46" Target="media/rId46.svg" /><Relationship Type="http://schemas.openxmlformats.org/officeDocument/2006/relationships/image" Id="rId92" Target="media/rId92.png" /><Relationship Type="http://schemas.openxmlformats.org/officeDocument/2006/relationships/image" Id="rId102" Target="media/rId102.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98" Target="media/rId98.png" /><Relationship Type="http://schemas.openxmlformats.org/officeDocument/2006/relationships/image" Id="rId78" Target="media/rId78.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hyperlink" Id="rId225" Target="http://cejsh.icm.edu.pl/cejsh/element/bwmeta1.element.desklight-98576d43-39e3-4981-8c1c-717962cf29da" TargetMode="External" /><Relationship Type="http://schemas.openxmlformats.org/officeDocument/2006/relationships/hyperlink" Id="rId190" Target="http://hdl.handle.net/1854/LU-5774107" TargetMode="External" /><Relationship Type="http://schemas.openxmlformats.org/officeDocument/2006/relationships/hyperlink" Id="rId249" Target="http://www.ncbi.nlm.nih.gov/pubmed/7777863" TargetMode="External" /><Relationship Type="http://schemas.openxmlformats.org/officeDocument/2006/relationships/hyperlink" Id="rId147" Target="https://CRAN.R-project.org/package=doParallel" TargetMode="External" /><Relationship Type="http://schemas.openxmlformats.org/officeDocument/2006/relationships/hyperlink" Id="rId212" Target="https://CRAN.R-project.org/package=foreach" TargetMode="External" /><Relationship Type="http://schemas.openxmlformats.org/officeDocument/2006/relationships/hyperlink" Id="rId135" Target="https://CRAN.R-project.org/package=ggokabeito" TargetMode="External" /><Relationship Type="http://schemas.openxmlformats.org/officeDocument/2006/relationships/hyperlink" Id="rId218" Target="https://CRAN.R-project.org/package=here" TargetMode="External" /><Relationship Type="http://schemas.openxmlformats.org/officeDocument/2006/relationships/hyperlink" Id="rId160" Target="https://CRAN.R-project.org/package=janitor" TargetMode="External" /><Relationship Type="http://schemas.openxmlformats.org/officeDocument/2006/relationships/hyperlink" Id="rId254" Target="https://CRAN.R-project.org/package=permutes" TargetMode="External" /><Relationship Type="http://schemas.openxmlformats.org/officeDocument/2006/relationships/hyperlink" Id="rId149" Target="https://CRAN.R-project.org/package=remotes" TargetMode="External" /><Relationship Type="http://schemas.openxmlformats.org/officeDocument/2006/relationships/hyperlink" Id="rId258"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3" Target="https://docs.ropensci.org/rix/" TargetMode="External" /><Relationship Type="http://schemas.openxmlformats.org/officeDocument/2006/relationships/hyperlink" Id="rId235" Target="https://doi.org/10.1002/9781119387725.ch4" TargetMode="External" /><Relationship Type="http://schemas.openxmlformats.org/officeDocument/2006/relationships/hyperlink" Id="rId151" Target="https://doi.org/10.1006/cogp.2001.0750" TargetMode="External" /><Relationship Type="http://schemas.openxmlformats.org/officeDocument/2006/relationships/hyperlink" Id="rId145" Target="https://doi.org/10.1016/0010-0285(74)90005-X" TargetMode="External" /><Relationship Type="http://schemas.openxmlformats.org/officeDocument/2006/relationships/hyperlink" Id="rId210" Target="https://doi.org/10.1016/S0010-0277(02)00157-9" TargetMode="External" /><Relationship Type="http://schemas.openxmlformats.org/officeDocument/2006/relationships/hyperlink" Id="rId129" Target="https://doi.org/10.1016/S0010-0277(99)00059-1" TargetMode="External" /><Relationship Type="http://schemas.openxmlformats.org/officeDocument/2006/relationships/hyperlink" Id="rId194" Target="https://doi.org/10.1016/S0749-596X(03)00023-8" TargetMode="External" /><Relationship Type="http://schemas.openxmlformats.org/officeDocument/2006/relationships/hyperlink" Id="rId184" Target="https://doi.org/10.1016/j.actpsy.2010.11.003" TargetMode="External" /><Relationship Type="http://schemas.openxmlformats.org/officeDocument/2006/relationships/hyperlink" Id="rId180" Target="https://doi.org/10.1016/j.cognition.2020.104251" TargetMode="External" /><Relationship Type="http://schemas.openxmlformats.org/officeDocument/2006/relationships/hyperlink" Id="rId208" Target="https://doi.org/10.1016/j.cogpsych.2009.06.003" TargetMode="External" /><Relationship Type="http://schemas.openxmlformats.org/officeDocument/2006/relationships/hyperlink" Id="rId143" Target="https://doi.org/10.1016/j.ijpsycho.2020.05.010" TargetMode="External" /><Relationship Type="http://schemas.openxmlformats.org/officeDocument/2006/relationships/hyperlink" Id="rId182" Target="https://doi.org/10.1016/j.jml.2007.02.001" TargetMode="External" /><Relationship Type="http://schemas.openxmlformats.org/officeDocument/2006/relationships/hyperlink" Id="rId188" Target="https://doi.org/10.1016/j.jml.2017.09.002" TargetMode="External" /><Relationship Type="http://schemas.openxmlformats.org/officeDocument/2006/relationships/hyperlink" Id="rId231" Target="https://doi.org/10.1016/j.jml.2023.104472" TargetMode="External" /><Relationship Type="http://schemas.openxmlformats.org/officeDocument/2006/relationships/hyperlink" Id="rId204" Target="https://doi.org/10.1016/j.jneumeth.2007.03.024" TargetMode="External" /><Relationship Type="http://schemas.openxmlformats.org/officeDocument/2006/relationships/hyperlink" Id="rId137" Target="https://doi.org/10.1016/j.tics.2022.09.015" TargetMode="External" /><Relationship Type="http://schemas.openxmlformats.org/officeDocument/2006/relationships/hyperlink" Id="rId170" Target="https://doi.org/10.1017/S0140525X10000300" TargetMode="External" /><Relationship Type="http://schemas.openxmlformats.org/officeDocument/2006/relationships/hyperlink" Id="rId247" Target="https://doi.org/10.1017/S1366728920000607" TargetMode="External" /><Relationship Type="http://schemas.openxmlformats.org/officeDocument/2006/relationships/hyperlink" Id="rId216" Target="https://doi.org/10.1037/a0026451" TargetMode="External" /><Relationship Type="http://schemas.openxmlformats.org/officeDocument/2006/relationships/hyperlink" Id="rId214" Target="https://doi.org/10.1037/xge0001450" TargetMode="External" /><Relationship Type="http://schemas.openxmlformats.org/officeDocument/2006/relationships/hyperlink" Id="rId174" Target="https://doi.org/10.1038/466029a" TargetMode="External" /><Relationship Type="http://schemas.openxmlformats.org/officeDocument/2006/relationships/hyperlink" Id="rId139" Target="https://doi.org/10.1075/lab.23071.bra" TargetMode="External" /><Relationship Type="http://schemas.openxmlformats.org/officeDocument/2006/relationships/hyperlink" Id="rId251" Target="https://doi.org/10.1075/lald.44.05tru" TargetMode="External" /><Relationship Type="http://schemas.openxmlformats.org/officeDocument/2006/relationships/hyperlink" Id="rId202" Target="https://doi.org/10.1080/03640210709336987" TargetMode="External" /><Relationship Type="http://schemas.openxmlformats.org/officeDocument/2006/relationships/hyperlink" Id="rId237" Target="https://doi.org/10.1080/23273798.2021.1952283" TargetMode="External" /><Relationship Type="http://schemas.openxmlformats.org/officeDocument/2006/relationships/hyperlink" Id="rId141" Target="https://doi.org/10.1093/applin/amad022" TargetMode="External" /><Relationship Type="http://schemas.openxmlformats.org/officeDocument/2006/relationships/hyperlink" Id="rId172" Target="https://doi.org/10.1111/2041-210X.12504" TargetMode="External" /><Relationship Type="http://schemas.openxmlformats.org/officeDocument/2006/relationships/hyperlink" Id="rId168" Target="https://doi.org/10.1111/lang.12664" TargetMode="External" /><Relationship Type="http://schemas.openxmlformats.org/officeDocument/2006/relationships/hyperlink" Id="rId158" Target="https://doi.org/10.1111/psyp.13468" TargetMode="External" /><Relationship Type="http://schemas.openxmlformats.org/officeDocument/2006/relationships/hyperlink" Id="rId262" Target="https://doi.org/10.1162/jocn.2008.20056" TargetMode="External" /><Relationship Type="http://schemas.openxmlformats.org/officeDocument/2006/relationships/hyperlink" Id="rId245" Target="https://doi.org/10.1162/opmi_a_00171" TargetMode="External" /><Relationship Type="http://schemas.openxmlformats.org/officeDocument/2006/relationships/hyperlink" Id="rId131" Target="https://doi.org/10.1177/0146167218798821" TargetMode="External" /><Relationship Type="http://schemas.openxmlformats.org/officeDocument/2006/relationships/hyperlink" Id="rId178" Target="https://doi.org/10.1177/0267658312461803" TargetMode="External" /><Relationship Type="http://schemas.openxmlformats.org/officeDocument/2006/relationships/hyperlink" Id="rId241" Target="https://doi.org/10.1177/0956797614567341" TargetMode="External" /><Relationship Type="http://schemas.openxmlformats.org/officeDocument/2006/relationships/hyperlink" Id="rId221" Target="https://doi.org/10.1525/collabra.25961" TargetMode="External" /><Relationship Type="http://schemas.openxmlformats.org/officeDocument/2006/relationships/hyperlink" Id="rId198" Target="https://doi.org/10.1525/collabra.33267" TargetMode="External" /><Relationship Type="http://schemas.openxmlformats.org/officeDocument/2006/relationships/hyperlink" Id="rId264" Target="https://doi.org/10.17605/OSF.IO/MD832" TargetMode="External" /><Relationship Type="http://schemas.openxmlformats.org/officeDocument/2006/relationships/hyperlink" Id="rId162" Target="https://doi.org/10.18637/jss.v099.i15" TargetMode="External" /><Relationship Type="http://schemas.openxmlformats.org/officeDocument/2006/relationships/hyperlink" Id="rId206" Target="https://doi.org/10.31234/osf.io/2c5b6" TargetMode="External" /><Relationship Type="http://schemas.openxmlformats.org/officeDocument/2006/relationships/hyperlink" Id="rId156" Target="https://doi.org/10.3758/BF03193146" TargetMode="External" /><Relationship Type="http://schemas.openxmlformats.org/officeDocument/2006/relationships/hyperlink" Id="rId260" Target="https://doi.org/10.3758/s13414-017-1361-2" TargetMode="External" /><Relationship Type="http://schemas.openxmlformats.org/officeDocument/2006/relationships/hyperlink" Id="rId200" Target="https://doi.org/10.3758/s13428-014-0458-y" TargetMode="External" /><Relationship Type="http://schemas.openxmlformats.org/officeDocument/2006/relationships/hyperlink" Id="rId239" Target="https://doi.org/10.3758/s13428-017-0913-7" TargetMode="External" /><Relationship Type="http://schemas.openxmlformats.org/officeDocument/2006/relationships/hyperlink" Id="rId223" Target="https://doi.org/10.3758/s13428-018-01193-y" TargetMode="External" /><Relationship Type="http://schemas.openxmlformats.org/officeDocument/2006/relationships/hyperlink" Id="rId133" Target="https://doi.org/10.3758/s13428-019-01237-x" TargetMode="External" /><Relationship Type="http://schemas.openxmlformats.org/officeDocument/2006/relationships/hyperlink" Id="rId166" Target="https://doi.org/10.3758/s13428-020-01374-8" TargetMode="External" /><Relationship Type="http://schemas.openxmlformats.org/officeDocument/2006/relationships/hyperlink" Id="rId196" Target="https://doi.org/10.3758/s13428-021-01546-0" TargetMode="External" /><Relationship Type="http://schemas.openxmlformats.org/officeDocument/2006/relationships/hyperlink" Id="rId186" Target="https://doi.org/10.3758/s13428-022-01969-3" TargetMode="External" /><Relationship Type="http://schemas.openxmlformats.org/officeDocument/2006/relationships/hyperlink" Id="rId243" Target="https://doi.org/10.3758/s13428-022-01989-z" TargetMode="External" /><Relationship Type="http://schemas.openxmlformats.org/officeDocument/2006/relationships/hyperlink" Id="rId227" Target="https://doi.org/10.3758/s13428-023-02176-4" TargetMode="External" /><Relationship Type="http://schemas.openxmlformats.org/officeDocument/2006/relationships/hyperlink" Id="rId192" Target="https://doi.org/10.3758/s13428-023-02237-8" TargetMode="External" /><Relationship Type="http://schemas.openxmlformats.org/officeDocument/2006/relationships/hyperlink" Id="rId176" Target="https://doi.org/10.3758/s13428-024-02564-4" TargetMode="External" /><Relationship Type="http://schemas.openxmlformats.org/officeDocument/2006/relationships/hyperlink" Id="rId256" Target="https://doi.org/10.5070/G6011131" TargetMode="External" /><Relationship Type="http://schemas.openxmlformats.org/officeDocument/2006/relationships/hyperlink" Id="rId126" Target="https://doi.org/10.5281/zenodo.5960048" TargetMode="External" /><Relationship Type="http://schemas.openxmlformats.org/officeDocument/2006/relationships/hyperlink" Id="rId268"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4" Target="https://github.com/jgeller112/webgazeR" TargetMode="External" /><Relationship Type="http://schemas.openxmlformats.org/officeDocument/2006/relationships/hyperlink" Id="rId154"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25" Target="http://cejsh.icm.edu.pl/cejsh/element/bwmeta1.element.desklight-98576d43-39e3-4981-8c1c-717962cf29da" TargetMode="External" /><Relationship Type="http://schemas.openxmlformats.org/officeDocument/2006/relationships/hyperlink" Id="rId190" Target="http://hdl.handle.net/1854/LU-5774107" TargetMode="External" /><Relationship Type="http://schemas.openxmlformats.org/officeDocument/2006/relationships/hyperlink" Id="rId249" Target="http://www.ncbi.nlm.nih.gov/pubmed/7777863" TargetMode="External" /><Relationship Type="http://schemas.openxmlformats.org/officeDocument/2006/relationships/hyperlink" Id="rId147" Target="https://CRAN.R-project.org/package=doParallel" TargetMode="External" /><Relationship Type="http://schemas.openxmlformats.org/officeDocument/2006/relationships/hyperlink" Id="rId212" Target="https://CRAN.R-project.org/package=foreach" TargetMode="External" /><Relationship Type="http://schemas.openxmlformats.org/officeDocument/2006/relationships/hyperlink" Id="rId135" Target="https://CRAN.R-project.org/package=ggokabeito" TargetMode="External" /><Relationship Type="http://schemas.openxmlformats.org/officeDocument/2006/relationships/hyperlink" Id="rId218" Target="https://CRAN.R-project.org/package=here" TargetMode="External" /><Relationship Type="http://schemas.openxmlformats.org/officeDocument/2006/relationships/hyperlink" Id="rId160" Target="https://CRAN.R-project.org/package=janitor" TargetMode="External" /><Relationship Type="http://schemas.openxmlformats.org/officeDocument/2006/relationships/hyperlink" Id="rId254" Target="https://CRAN.R-project.org/package=permutes" TargetMode="External" /><Relationship Type="http://schemas.openxmlformats.org/officeDocument/2006/relationships/hyperlink" Id="rId149" Target="https://CRAN.R-project.org/package=remotes" TargetMode="External" /><Relationship Type="http://schemas.openxmlformats.org/officeDocument/2006/relationships/hyperlink" Id="rId258"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3" Target="https://docs.ropensci.org/rix/" TargetMode="External" /><Relationship Type="http://schemas.openxmlformats.org/officeDocument/2006/relationships/hyperlink" Id="rId235" Target="https://doi.org/10.1002/9781119387725.ch4" TargetMode="External" /><Relationship Type="http://schemas.openxmlformats.org/officeDocument/2006/relationships/hyperlink" Id="rId151" Target="https://doi.org/10.1006/cogp.2001.0750" TargetMode="External" /><Relationship Type="http://schemas.openxmlformats.org/officeDocument/2006/relationships/hyperlink" Id="rId145" Target="https://doi.org/10.1016/0010-0285(74)90005-X" TargetMode="External" /><Relationship Type="http://schemas.openxmlformats.org/officeDocument/2006/relationships/hyperlink" Id="rId210" Target="https://doi.org/10.1016/S0010-0277(02)00157-9" TargetMode="External" /><Relationship Type="http://schemas.openxmlformats.org/officeDocument/2006/relationships/hyperlink" Id="rId129" Target="https://doi.org/10.1016/S0010-0277(99)00059-1" TargetMode="External" /><Relationship Type="http://schemas.openxmlformats.org/officeDocument/2006/relationships/hyperlink" Id="rId194" Target="https://doi.org/10.1016/S0749-596X(03)00023-8" TargetMode="External" /><Relationship Type="http://schemas.openxmlformats.org/officeDocument/2006/relationships/hyperlink" Id="rId184" Target="https://doi.org/10.1016/j.actpsy.2010.11.003" TargetMode="External" /><Relationship Type="http://schemas.openxmlformats.org/officeDocument/2006/relationships/hyperlink" Id="rId180" Target="https://doi.org/10.1016/j.cognition.2020.104251" TargetMode="External" /><Relationship Type="http://schemas.openxmlformats.org/officeDocument/2006/relationships/hyperlink" Id="rId208" Target="https://doi.org/10.1016/j.cogpsych.2009.06.003" TargetMode="External" /><Relationship Type="http://schemas.openxmlformats.org/officeDocument/2006/relationships/hyperlink" Id="rId143" Target="https://doi.org/10.1016/j.ijpsycho.2020.05.010" TargetMode="External" /><Relationship Type="http://schemas.openxmlformats.org/officeDocument/2006/relationships/hyperlink" Id="rId182" Target="https://doi.org/10.1016/j.jml.2007.02.001" TargetMode="External" /><Relationship Type="http://schemas.openxmlformats.org/officeDocument/2006/relationships/hyperlink" Id="rId188" Target="https://doi.org/10.1016/j.jml.2017.09.002" TargetMode="External" /><Relationship Type="http://schemas.openxmlformats.org/officeDocument/2006/relationships/hyperlink" Id="rId231" Target="https://doi.org/10.1016/j.jml.2023.104472" TargetMode="External" /><Relationship Type="http://schemas.openxmlformats.org/officeDocument/2006/relationships/hyperlink" Id="rId204" Target="https://doi.org/10.1016/j.jneumeth.2007.03.024" TargetMode="External" /><Relationship Type="http://schemas.openxmlformats.org/officeDocument/2006/relationships/hyperlink" Id="rId137" Target="https://doi.org/10.1016/j.tics.2022.09.015" TargetMode="External" /><Relationship Type="http://schemas.openxmlformats.org/officeDocument/2006/relationships/hyperlink" Id="rId170" Target="https://doi.org/10.1017/S0140525X10000300" TargetMode="External" /><Relationship Type="http://schemas.openxmlformats.org/officeDocument/2006/relationships/hyperlink" Id="rId247" Target="https://doi.org/10.1017/S1366728920000607" TargetMode="External" /><Relationship Type="http://schemas.openxmlformats.org/officeDocument/2006/relationships/hyperlink" Id="rId216" Target="https://doi.org/10.1037/a0026451" TargetMode="External" /><Relationship Type="http://schemas.openxmlformats.org/officeDocument/2006/relationships/hyperlink" Id="rId214" Target="https://doi.org/10.1037/xge0001450" TargetMode="External" /><Relationship Type="http://schemas.openxmlformats.org/officeDocument/2006/relationships/hyperlink" Id="rId174" Target="https://doi.org/10.1038/466029a" TargetMode="External" /><Relationship Type="http://schemas.openxmlformats.org/officeDocument/2006/relationships/hyperlink" Id="rId139" Target="https://doi.org/10.1075/lab.23071.bra" TargetMode="External" /><Relationship Type="http://schemas.openxmlformats.org/officeDocument/2006/relationships/hyperlink" Id="rId251" Target="https://doi.org/10.1075/lald.44.05tru" TargetMode="External" /><Relationship Type="http://schemas.openxmlformats.org/officeDocument/2006/relationships/hyperlink" Id="rId202" Target="https://doi.org/10.1080/03640210709336987" TargetMode="External" /><Relationship Type="http://schemas.openxmlformats.org/officeDocument/2006/relationships/hyperlink" Id="rId237" Target="https://doi.org/10.1080/23273798.2021.1952283" TargetMode="External" /><Relationship Type="http://schemas.openxmlformats.org/officeDocument/2006/relationships/hyperlink" Id="rId141" Target="https://doi.org/10.1093/applin/amad022" TargetMode="External" /><Relationship Type="http://schemas.openxmlformats.org/officeDocument/2006/relationships/hyperlink" Id="rId172" Target="https://doi.org/10.1111/2041-210X.12504" TargetMode="External" /><Relationship Type="http://schemas.openxmlformats.org/officeDocument/2006/relationships/hyperlink" Id="rId168" Target="https://doi.org/10.1111/lang.12664" TargetMode="External" /><Relationship Type="http://schemas.openxmlformats.org/officeDocument/2006/relationships/hyperlink" Id="rId158" Target="https://doi.org/10.1111/psyp.13468" TargetMode="External" /><Relationship Type="http://schemas.openxmlformats.org/officeDocument/2006/relationships/hyperlink" Id="rId262" Target="https://doi.org/10.1162/jocn.2008.20056" TargetMode="External" /><Relationship Type="http://schemas.openxmlformats.org/officeDocument/2006/relationships/hyperlink" Id="rId245" Target="https://doi.org/10.1162/opmi_a_00171" TargetMode="External" /><Relationship Type="http://schemas.openxmlformats.org/officeDocument/2006/relationships/hyperlink" Id="rId131" Target="https://doi.org/10.1177/0146167218798821" TargetMode="External" /><Relationship Type="http://schemas.openxmlformats.org/officeDocument/2006/relationships/hyperlink" Id="rId178" Target="https://doi.org/10.1177/0267658312461803" TargetMode="External" /><Relationship Type="http://schemas.openxmlformats.org/officeDocument/2006/relationships/hyperlink" Id="rId241" Target="https://doi.org/10.1177/0956797614567341" TargetMode="External" /><Relationship Type="http://schemas.openxmlformats.org/officeDocument/2006/relationships/hyperlink" Id="rId221" Target="https://doi.org/10.1525/collabra.25961" TargetMode="External" /><Relationship Type="http://schemas.openxmlformats.org/officeDocument/2006/relationships/hyperlink" Id="rId198" Target="https://doi.org/10.1525/collabra.33267" TargetMode="External" /><Relationship Type="http://schemas.openxmlformats.org/officeDocument/2006/relationships/hyperlink" Id="rId264" Target="https://doi.org/10.17605/OSF.IO/MD832" TargetMode="External" /><Relationship Type="http://schemas.openxmlformats.org/officeDocument/2006/relationships/hyperlink" Id="rId162" Target="https://doi.org/10.18637/jss.v099.i15" TargetMode="External" /><Relationship Type="http://schemas.openxmlformats.org/officeDocument/2006/relationships/hyperlink" Id="rId206" Target="https://doi.org/10.31234/osf.io/2c5b6" TargetMode="External" /><Relationship Type="http://schemas.openxmlformats.org/officeDocument/2006/relationships/hyperlink" Id="rId156" Target="https://doi.org/10.3758/BF03193146" TargetMode="External" /><Relationship Type="http://schemas.openxmlformats.org/officeDocument/2006/relationships/hyperlink" Id="rId260" Target="https://doi.org/10.3758/s13414-017-1361-2" TargetMode="External" /><Relationship Type="http://schemas.openxmlformats.org/officeDocument/2006/relationships/hyperlink" Id="rId200" Target="https://doi.org/10.3758/s13428-014-0458-y" TargetMode="External" /><Relationship Type="http://schemas.openxmlformats.org/officeDocument/2006/relationships/hyperlink" Id="rId239" Target="https://doi.org/10.3758/s13428-017-0913-7" TargetMode="External" /><Relationship Type="http://schemas.openxmlformats.org/officeDocument/2006/relationships/hyperlink" Id="rId223" Target="https://doi.org/10.3758/s13428-018-01193-y" TargetMode="External" /><Relationship Type="http://schemas.openxmlformats.org/officeDocument/2006/relationships/hyperlink" Id="rId133" Target="https://doi.org/10.3758/s13428-019-01237-x" TargetMode="External" /><Relationship Type="http://schemas.openxmlformats.org/officeDocument/2006/relationships/hyperlink" Id="rId166" Target="https://doi.org/10.3758/s13428-020-01374-8" TargetMode="External" /><Relationship Type="http://schemas.openxmlformats.org/officeDocument/2006/relationships/hyperlink" Id="rId196" Target="https://doi.org/10.3758/s13428-021-01546-0" TargetMode="External" /><Relationship Type="http://schemas.openxmlformats.org/officeDocument/2006/relationships/hyperlink" Id="rId186" Target="https://doi.org/10.3758/s13428-022-01969-3" TargetMode="External" /><Relationship Type="http://schemas.openxmlformats.org/officeDocument/2006/relationships/hyperlink" Id="rId243" Target="https://doi.org/10.3758/s13428-022-01989-z" TargetMode="External" /><Relationship Type="http://schemas.openxmlformats.org/officeDocument/2006/relationships/hyperlink" Id="rId227" Target="https://doi.org/10.3758/s13428-023-02176-4" TargetMode="External" /><Relationship Type="http://schemas.openxmlformats.org/officeDocument/2006/relationships/hyperlink" Id="rId192" Target="https://doi.org/10.3758/s13428-023-02237-8" TargetMode="External" /><Relationship Type="http://schemas.openxmlformats.org/officeDocument/2006/relationships/hyperlink" Id="rId176" Target="https://doi.org/10.3758/s13428-024-02564-4" TargetMode="External" /><Relationship Type="http://schemas.openxmlformats.org/officeDocument/2006/relationships/hyperlink" Id="rId256" Target="https://doi.org/10.5070/G6011131" TargetMode="External" /><Relationship Type="http://schemas.openxmlformats.org/officeDocument/2006/relationships/hyperlink" Id="rId126" Target="https://doi.org/10.5281/zenodo.5960048" TargetMode="External" /><Relationship Type="http://schemas.openxmlformats.org/officeDocument/2006/relationships/hyperlink" Id="rId268"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4" Target="https://github.com/jgeller112/webgazeR" TargetMode="External" /><Relationship Type="http://schemas.openxmlformats.org/officeDocument/2006/relationships/hyperlink" Id="rId154"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 webgazeR,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