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62.png" ContentType="image/png"/>
  <Override PartName="/word/media/rId48.png" ContentType="image/png"/>
  <Override PartName="/word/media/rId93.png" ContentType="image/png"/>
  <Override PartName="/word/media/rId103.png" ContentType="image/png"/>
  <Override PartName="/word/media/rId109.png" ContentType="image/png"/>
  <Override PartName="/word/media/rId74.png" ContentType="image/png"/>
  <Override PartName="/word/media/rId99.png" ContentType="image/png"/>
  <Override PartName="/word/media/rId82.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115"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rPr>
          <w:b/>
          <w:bCs/>
        </w:rPr>
        <w:t xml:space="preserve">In the last decade, there has been a gradual shift towards conducting more behavioral experiments online</w:t>
      </w:r>
      <w:r>
        <w:rPr>
          <w:b/>
          <w:bCs/>
        </w:rPr>
        <w:t xml:space="preserve"> </w:t>
      </w:r>
      <w:r>
        <w:rPr>
          <w:b/>
          <w:bCs/>
        </w:rPr>
        <w:t xml:space="preserve">(Anderson et al., 2019; Rodd, 2024)</w:t>
      </w:r>
      <w:r>
        <w:rPr>
          <w:b/>
          <w:bCs/>
        </w:rPr>
        <w:t xml:space="preserve">. This</w:t>
      </w:r>
      <w:r>
        <w:rPr>
          <w:b/>
          <w:bCs/>
        </w:rPr>
        <w:t xml:space="preserve"> </w:t>
      </w:r>
      <w:r>
        <w:rPr>
          <w:b/>
          <w:bCs/>
        </w:rPr>
        <w:t xml:space="preserve">“onlineification”</w:t>
      </w:r>
      <w:r>
        <w:rPr>
          <w:b/>
          <w:bCs/>
        </w:rPr>
        <w:t xml:space="preserve"> </w:t>
      </w:r>
      <w:r>
        <w:rPr>
          <w:b/>
          <w:bCs/>
        </w:rP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 [@gosling2010]. Behavioral research has long struggled with a lack of diverse and representative samples, relying heavily on participants who are predominantly Western, Educated, Industrialized, Rich, and Democratic (WEIRD)</w:t>
      </w:r>
      <w:r>
        <w:rPr>
          <w:b/>
          <w:bCs/>
        </w:rPr>
        <w:t xml:space="preserve"> </w:t>
      </w:r>
      <w:r>
        <w:rPr>
          <w:b/>
          <w:bCs/>
        </w:rPr>
        <w:t xml:space="preserve">(Henrich et al., 2010)</w:t>
      </w:r>
      <w:r>
        <w:rPr>
          <w:b/>
          <w:bCs/>
        </w:rPr>
        <w:t xml:space="preserve">. Additionally, we propose adding able-bodied to this acronym (WEIRD-A)</w:t>
      </w:r>
      <w:r>
        <w:rPr>
          <w:b/>
          <w:bCs/>
        </w:rPr>
        <w:t xml:space="preserve"> </w:t>
      </w:r>
      <w:r>
        <w:rPr>
          <w:b/>
          <w:bCs/>
        </w:rPr>
        <w:t xml:space="preserve">(Peterson, 2021)</w:t>
      </w:r>
      <w:r>
        <w:rPr>
          <w:b/>
          <w:bCs/>
        </w:rPr>
        <w:t xml:space="preserve">, to highlight the exclusion of individuals with disabilities who may face barriers to accessing research facilities. In language research, this issue is especially pronounced, as studies often focus on</w:t>
      </w:r>
      <w:r>
        <w:rPr>
          <w:b/>
          <w:bCs/>
        </w:rPr>
        <w:t xml:space="preserve"> </w:t>
      </w:r>
      <w:r>
        <w:rPr>
          <w:b/>
          <w:bCs/>
        </w:rPr>
        <w:t xml:space="preserve">“modal”</w:t>
      </w:r>
      <w:r>
        <w:rPr>
          <w:b/>
          <w:bCs/>
        </w:rPr>
        <w:t xml:space="preserve"> </w:t>
      </w:r>
      <w:r>
        <w:rPr>
          <w:b/>
          <w:bCs/>
        </w:rPr>
        <w:t xml:space="preserve">listeners and speakers—typically young, monolingual, and neurotypical</w:t>
      </w:r>
      <w:r>
        <w:rPr>
          <w:b/>
          <w:bCs/>
        </w:rPr>
        <w:t xml:space="preserve"> </w:t>
      </w:r>
      <w:r>
        <w:rPr>
          <w:b/>
          <w:bCs/>
        </w:rPr>
        <w:t xml:space="preserve">(Blasi et al., 2022; Bylund et al., 2024; McMurray et al., 2010)</w:t>
      </w:r>
      <w:r>
        <w:rPr>
          <w:b/>
          <w:bCs/>
        </w:rPr>
        <w:t xml:space="preserve">.</w:t>
      </w:r>
    </w:p>
    <w:p>
      <w:pPr>
        <w:pStyle w:val="BodyText"/>
      </w:pPr>
      <w:r>
        <w:rPr>
          <w:b/>
          <w:bCs/>
        </w:rP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rPr>
          <w:b/>
          <w:bCs/>
        </w:rPr>
        <w:t xml:space="preserve"> </w:t>
      </w:r>
      <w:r>
        <w:rPr>
          <w:b/>
          <w:bCs/>
        </w:rPr>
        <w:t xml:space="preserve">(Sarrett et al., 2022)</w:t>
      </w:r>
      <w:r>
        <w:rPr>
          <w:b/>
          <w:bCs/>
        </w:rPr>
        <w:t xml:space="preserve"> </w:t>
      </w:r>
      <w:r>
        <w:rPr>
          <w:b/>
          <w:bCs/>
        </w:rPr>
        <w:t xml:space="preserve">using online methods (i.e., recruitment via Prolific.co and webcam-based eye-tracking). To facilitate broader adoption of this approach, we also introduce our R package,</w:t>
      </w:r>
      <w:r>
        <w:rPr>
          <w:b/>
          <w:bCs/>
        </w:rPr>
        <w:t xml:space="preserve"> </w:t>
      </w:r>
      <w:r>
        <w:rPr>
          <w:rStyle w:val="VerbatimChar"/>
          <w:b/>
          <w:bCs/>
        </w:rPr>
        <w:t xml:space="preserve">webgazeR</w:t>
      </w:r>
      <w:r>
        <w:rPr>
          <w:b/>
          <w:bCs/>
        </w:rPr>
        <w:t xml:space="preserve">, and present a step-by-step tutorial for analyzing webcam-based VWP data.</w:t>
      </w:r>
    </w:p>
    <w:p>
      <w:pPr>
        <w:pStyle w:val="BodyText"/>
      </w:pPr>
      <w:r>
        <w:rPr>
          <w:b/>
          <w:bCs/>
        </w:rP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w:t>
      </w:r>
      <w:r>
        <w:rPr>
          <w:b/>
          <w:bCs/>
        </w:rPr>
        <w:t xml:space="preserve"> </w:t>
      </w:r>
      <w:r>
        <w:rPr>
          <w:rStyle w:val="VerbatimChar"/>
          <w:b/>
          <w:bCs/>
        </w:rPr>
        <w:t xml:space="preserve">webgazeR</w:t>
      </w:r>
      <w:r>
        <w:rPr>
          <w:b/>
          <w:bCs/>
        </w:rPr>
        <w:t xml:space="preserve"> </w:t>
      </w:r>
      <w:r>
        <w:rPr>
          <w:b/>
          <w:bCs/>
        </w:rPr>
        <w:t xml:space="preserve">package, using our replication experiment to highlight the steps needed for preprocessing.</w:t>
      </w:r>
    </w:p>
    <w:bookmarkStart w:id="41" w:name="webcam-eye-tracking-with-webgazer.js"/>
    <w:p>
      <w:pPr>
        <w:pStyle w:val="Heading2"/>
      </w:pPr>
      <w:r>
        <w:rPr>
          <w:b/>
          <w:bCs/>
        </w:rPr>
        <w:t xml:space="preserve">Webcam eye-tracking with WebGazer.js</w:t>
      </w:r>
    </w:p>
    <w:p>
      <w:pPr>
        <w:pStyle w:val="FirstParagraph"/>
      </w:pPr>
      <w:r>
        <w:rPr>
          <w:b/>
          <w:bCs/>
        </w:rPr>
        <w:t xml:space="preserve">There are two popular methods for online eye-tracking. One method, manual eye-tracking</w:t>
      </w:r>
      <w:r>
        <w:rPr>
          <w:b/>
          <w:bCs/>
        </w:rPr>
        <w:t xml:space="preserve"> </w:t>
      </w:r>
      <w:r>
        <w:rPr>
          <w:b/>
          <w:bCs/>
        </w:rPr>
        <w:t xml:space="preserve">(Trueswell, 2008)</w:t>
      </w:r>
      <w:r>
        <w:rPr>
          <w:b/>
          <w:bCs/>
        </w:rP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rPr>
          <w:b/>
          <w:bCs/>
        </w:rPr>
        <w:t xml:space="preserve">Another method, which is the focus of this paper, is automated eye-tracking or webcam eye-tracking. Webcam eye-tracking generally has three requirements for the participant: (1) a personal computer, tablet, or smartphone</w:t>
      </w:r>
      <w:r>
        <w:rPr>
          <w:b/>
          <w:bCs/>
        </w:rPr>
        <w:t xml:space="preserve"> </w:t>
      </w:r>
      <w:r>
        <w:rPr>
          <w:b/>
          <w:bCs/>
        </w:rPr>
        <w:t xml:space="preserve">(see Chen-Sankey et al., 2023)</w:t>
      </w:r>
      <w:r>
        <w:rPr>
          <w:b/>
          <w:bCs/>
        </w:rPr>
        <w:t xml:space="preserve">, (2) an internet connection, and (3) a built-in or external camera. Gaze data is collected directly through a web browser without requiring any additional software installation, making it highly accessible.</w:t>
      </w:r>
    </w:p>
    <w:p>
      <w:pPr>
        <w:pStyle w:val="BodyText"/>
      </w:pPr>
      <w:r>
        <w:rPr>
          <w:b/>
          <w:bCs/>
        </w:rPr>
        <w:t xml:space="preserve">A popular tool for enabling webcam-based eye-tracking is WebGazer.js</w:t>
      </w:r>
      <w:r>
        <w:rPr>
          <w:b/>
          <w:bCs/>
        </w:rPr>
        <w:t xml:space="preserve"> </w:t>
      </w:r>
      <w:r>
        <w:rPr>
          <w:b/>
          <w:bCs/>
        </w:rP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rPr>
          <w:b/>
          <w:bCs/>
        </w:rP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rPr>
          <w:b/>
          <w:bCs/>
        </w:rPr>
        <w:t xml:space="preserve">Eye-tracking in the lab vs. online</w:t>
      </w:r>
    </w:p>
    <w:p>
      <w:pPr>
        <w:pStyle w:val="FirstParagraph"/>
      </w:pPr>
      <w:r>
        <w:rPr>
          <w:b/>
          <w:bCs/>
        </w:rPr>
        <w:t xml:space="preserve">Several studies in psychology and psycholinguistics have evaluated the viability of WebGazer.js for online research. Generally, lab-based effects can be successfully replicated in online environments using WebGazer.js</w:t>
      </w:r>
      <w:r>
        <w:rPr>
          <w:b/>
          <w:bCs/>
        </w:rPr>
        <w:t xml:space="preserve"> </w:t>
      </w:r>
      <w:r>
        <w:rPr>
          <w:b/>
          <w:bCs/>
        </w:rPr>
        <w:t xml:space="preserve">(Bogdan et al., 2024; Bramlett &amp; Wiener, 2024, 2025; Özsoy et al., 2023; Prystauka et al., 2024; Slim et al., 2024; Slim &amp; Hartsuiker, 2023; Van der Cruyssen et al., 2024; Vos et al., 2022)</w:t>
      </w:r>
      <w:r>
        <w:rPr>
          <w:b/>
          <w:bCs/>
        </w:rPr>
        <w:t xml:space="preserve">. However, a critical finding across online replication studies is that effect sizes are often smaller and more variable than those observed in laboratory settings</w:t>
      </w:r>
      <w:r>
        <w:rPr>
          <w:b/>
          <w:bCs/>
        </w:rPr>
        <w:t xml:space="preserve"> </w:t>
      </w:r>
      <w:r>
        <w:rPr>
          <w:b/>
          <w:bCs/>
        </w:rPr>
        <w:t xml:space="preserve">(Bogdan et al., 2024; Slim et al., 2024; Slim &amp; Hartsuiker, 2023; Van der Cruyssen et al., 2024)</w:t>
      </w:r>
      <w:r>
        <w:rPr>
          <w:b/>
          <w:bCs/>
        </w:rPr>
        <w:t xml:space="preserve">.</w:t>
      </w:r>
    </w:p>
    <w:p>
      <w:pPr>
        <w:pStyle w:val="BodyText"/>
      </w:pPr>
      <w:r>
        <w:rPr>
          <w:b/>
          <w:bCs/>
        </w:rP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rPr>
          <w:b/>
          <w:bCs/>
        </w:rPr>
        <w:t xml:space="preserve"> </w:t>
      </w:r>
      <w:r>
        <w:rPr>
          <w:b/>
          <w:bCs/>
        </w:rPr>
        <w:t xml:space="preserve">(Carter &amp; Luke, 2020; Hooge et al., 2024)</w:t>
      </w:r>
      <w:r>
        <w:rPr>
          <w:b/>
          <w:bCs/>
        </w:rPr>
        <w:t xml:space="preserve">—WebGazer.js typically operates at lower frame rates, around 30 Hz</w:t>
      </w:r>
      <w:r>
        <w:rPr>
          <w:b/>
          <w:bCs/>
        </w:rPr>
        <w:t xml:space="preserve"> </w:t>
      </w:r>
      <w:r>
        <w:rPr>
          <w:b/>
          <w:bCs/>
        </w:rPr>
        <w:t xml:space="preserve">(Bramlett &amp; Wiener, 2024; Prystauka et al., 2024)</w:t>
      </w:r>
      <w:r>
        <w:rPr>
          <w:b/>
          <w:bCs/>
        </w:rP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rPr>
          <w:b/>
          <w:bCs/>
        </w:rPr>
        <w:t xml:space="preserve">There are also notable issues with the spatial and temporal accuracy of webcam-based eye-tracking using WebGazer.js. Spatial precision is often lower, with average errors frequently exceeding 1° of visual angle</w:t>
      </w:r>
      <w:r>
        <w:rPr>
          <w:b/>
          <w:bCs/>
        </w:rPr>
        <w:t xml:space="preserve"> </w:t>
      </w:r>
      <w:r>
        <w:rPr>
          <w:b/>
          <w:bCs/>
        </w:rPr>
        <w:t xml:space="preserve">(Papoutsaki et al., 2016)</w:t>
      </w:r>
      <w:r>
        <w:rPr>
          <w:b/>
          <w:bCs/>
        </w:rPr>
        <w:t xml:space="preserve">. Temporal delays are also substantially larger, ranging from 200 ms to over 1000 ms</w:t>
      </w:r>
      <w:r>
        <w:rPr>
          <w:b/>
          <w:bCs/>
        </w:rPr>
        <w:t xml:space="preserve"> </w:t>
      </w:r>
      <w:r>
        <w:rPr>
          <w:b/>
          <w:bCs/>
        </w:rPr>
        <w:t xml:space="preserve">(Semmelmann &amp; Weigelt, 2018; Slim et al., 2024; Slim &amp; Hartsuiker, 2023)</w:t>
      </w:r>
      <w:r>
        <w:rPr>
          <w:b/>
          <w:bCs/>
        </w:rPr>
        <w:t xml:space="preserve">. Additionally, recent work by</w:t>
      </w:r>
      <w:r>
        <w:rPr>
          <w:b/>
          <w:bCs/>
        </w:rPr>
        <w:t xml:space="preserve"> </w:t>
      </w:r>
      <w:r>
        <w:rPr>
          <w:b/>
          <w:bCs/>
        </w:rPr>
        <w:t xml:space="preserve">Bogdan et al. (2024)</w:t>
      </w:r>
      <w:r>
        <w:rPr>
          <w:b/>
          <w:bCs/>
        </w:rPr>
        <w:t xml:space="preserve"> </w:t>
      </w:r>
      <w:r>
        <w:rPr>
          <w:b/>
          <w:bCs/>
        </w:rPr>
        <w:t xml:space="preserve">has documented a systematic bias in gaze estimates favoring centrally located stimuli.</w:t>
      </w:r>
    </w:p>
    <w:bookmarkEnd w:id="42"/>
    <w:bookmarkStart w:id="43" w:name="Xe15ee5316e908ed2a0858c8a777ebfdf62ed866"/>
    <w:p>
      <w:pPr>
        <w:pStyle w:val="Heading2"/>
      </w:pPr>
      <w:r>
        <w:rPr>
          <w:b/>
          <w:bCs/>
        </w:rPr>
        <w:t xml:space="preserve">Bringing the visual world paradigm (VWP) online</w:t>
      </w:r>
    </w:p>
    <w:p>
      <w:pPr>
        <w:pStyle w:val="FirstParagraph"/>
      </w:pPr>
      <w:r>
        <w:rPr>
          <w:b/>
          <w:bCs/>
        </w:rPr>
        <w:t xml:space="preserve">Despite these technical challenges, webcam-based eye-tracking has proven particularly well-suited for adapting the visual world paradigm (VWP)</w:t>
      </w:r>
      <w:r>
        <w:rPr>
          <w:b/>
          <w:bCs/>
        </w:rPr>
        <w:t xml:space="preserve"> </w:t>
      </w:r>
      <w:r>
        <w:rPr>
          <w:b/>
          <w:bCs/>
        </w:rPr>
        <w:t xml:space="preserve">(Tanenhaus et al., 1995; cf. Cooper, 1974)</w:t>
      </w:r>
      <w:r>
        <w:rPr>
          <w:b/>
          <w:bCs/>
        </w:rPr>
        <w:t xml:space="preserve"> </w:t>
      </w:r>
      <w:r>
        <w:rPr>
          <w:b/>
          <w:bCs/>
        </w:rPr>
        <w:t xml:space="preserve">to online environments.</w:t>
      </w:r>
    </w:p>
    <w:p>
      <w:pPr>
        <w:pStyle w:val="BodyText"/>
      </w:pPr>
      <w:r>
        <w:rPr>
          <w:b/>
          <w:bCs/>
        </w:rPr>
        <w:t xml:space="preserve">In the field of language research, few methods have had as enduring an impact as the VWP. Over the past 25 years, the VWP has enabled researchers to address a broad range of topics, including sentence processing</w:t>
      </w:r>
      <w:r>
        <w:rPr>
          <w:b/>
          <w:bCs/>
        </w:rPr>
        <w:t xml:space="preserve"> </w:t>
      </w:r>
      <w:r>
        <w:rPr>
          <w:b/>
          <w:bCs/>
        </w:rPr>
        <w:t xml:space="preserve">(Altmann &amp; Kamide, 1999; Huettig et al., 2011; Kamide et al., 2003)</w:t>
      </w:r>
      <w:r>
        <w:rPr>
          <w:b/>
          <w:bCs/>
        </w:rPr>
        <w:t xml:space="preserve">, spoken word recognition</w:t>
      </w:r>
      <w:r>
        <w:rPr>
          <w:b/>
          <w:bCs/>
        </w:rPr>
        <w:t xml:space="preserve"> </w:t>
      </w:r>
      <w:r>
        <w:rPr>
          <w:b/>
          <w:bCs/>
        </w:rPr>
        <w:t xml:space="preserve">(Allopenna et al., 1998; Dahan et al., 2001; Huettig &amp; McQueen, 2007; McMurray et al., 2002)</w:t>
      </w:r>
      <w:r>
        <w:rPr>
          <w:b/>
          <w:bCs/>
        </w:rPr>
        <w:t xml:space="preserve">, bilingual language processing</w:t>
      </w:r>
      <w:r>
        <w:rPr>
          <w:b/>
          <w:bCs/>
        </w:rPr>
        <w:t xml:space="preserve"> </w:t>
      </w:r>
      <w:r>
        <w:rPr>
          <w:b/>
          <w:bCs/>
        </w:rPr>
        <w:t xml:space="preserve">(Hopp, 2013; Ito et al., 2018; Rossi et al., 2019)</w:t>
      </w:r>
      <w:r>
        <w:rPr>
          <w:b/>
          <w:bCs/>
        </w:rPr>
        <w:t xml:space="preserve">, the effects of brain damage on language</w:t>
      </w:r>
      <w:r>
        <w:rPr>
          <w:b/>
          <w:bCs/>
        </w:rPr>
        <w:t xml:space="preserve"> </w:t>
      </w:r>
      <w:r>
        <w:rPr>
          <w:b/>
          <w:bCs/>
        </w:rPr>
        <w:t xml:space="preserve">(Mirman &amp; Graziano, 2012; Yee et al., 2008)</w:t>
      </w:r>
      <w:r>
        <w:rPr>
          <w:b/>
          <w:bCs/>
        </w:rPr>
        <w:t xml:space="preserve">, and the impact of hearing loss on lexical access [McMurray et al., 2017].</w:t>
      </w:r>
    </w:p>
    <w:p>
      <w:pPr>
        <w:pStyle w:val="BodyText"/>
      </w:pPr>
      <w:r>
        <w:rPr>
          <w:b/>
          <w:bCs/>
        </w:rPr>
        <w:t xml:space="preserve">What makes the widespread use of the VWP even more remarkable is the simplicity of the task. In a typical VWP experiment, participants view a display of several objects represented by a picture. As they listen to a spoken word or phrase, their eye movements are recorded in real time. Please note that different versions of this task exist, and implementations may vary slightly across studies, depending on specific research goals and design choices. Despite this, a robust finding in VWP research is that listeners reliably direct their gaze to the picture representing the spoken word, often before the word has been fully articulated, revealing anticipatory or predictive processing.</w:t>
      </w:r>
    </w:p>
    <w:p>
      <w:pPr>
        <w:pStyle w:val="BodyText"/>
      </w:pPr>
      <w:r>
        <w:rPr>
          <w:b/>
          <w:bCs/>
        </w:rP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rPr>
          <w:b/>
          <w:bCs/>
        </w:rPr>
        <w:t xml:space="preserve"> </w:t>
      </w:r>
      <w:r>
        <w:rPr>
          <w:b/>
          <w:bCs/>
        </w:rPr>
        <w:t xml:space="preserve">(Bramlett &amp; Wiener, 2025; Eberhard et al., 1995; Huettig et al., 2011; Kamide et al., 2003)</w:t>
      </w:r>
      <w:r>
        <w:rPr>
          <w:b/>
          <w:bCs/>
        </w:rPr>
        <w:t xml:space="preserve">. Nonetheless, the VWP remains a powerful and flexible tool for studying online language processing, offering fine-grained insights into how linguistic and cognitive processes unfold moment by moment.</w:t>
      </w:r>
    </w:p>
    <w:p>
      <w:pPr>
        <w:pStyle w:val="BodyText"/>
      </w:pPr>
      <w:r>
        <w:rPr>
          <w:b/>
          <w:bCs/>
        </w:rPr>
        <w:t xml:space="preserve">Several attempts have been made to conduct these experiments online using webcam-based eye-tracking. Most online VWP replications have focused on sentence-based language processing. These studies have looked at effects of set size and determiners</w:t>
      </w:r>
      <w:r>
        <w:rPr>
          <w:b/>
          <w:bCs/>
        </w:rPr>
        <w:t xml:space="preserve"> </w:t>
      </w:r>
      <w:r>
        <w:rPr>
          <w:b/>
          <w:bCs/>
        </w:rPr>
        <w:t xml:space="preserve">(Degen et al., 2021)</w:t>
      </w:r>
      <w:r>
        <w:rPr>
          <w:b/>
          <w:bCs/>
        </w:rPr>
        <w:t xml:space="preserve">, verb semantic constraint</w:t>
      </w:r>
      <w:r>
        <w:rPr>
          <w:b/>
          <w:bCs/>
        </w:rPr>
        <w:t xml:space="preserve"> </w:t>
      </w:r>
      <w:r>
        <w:rPr>
          <w:b/>
          <w:bCs/>
        </w:rPr>
        <w:t xml:space="preserve">(Prystauka et al., 2024; Slim &amp; Hartsuiker, 2023)</w:t>
      </w:r>
      <w:r>
        <w:rPr>
          <w:b/>
          <w:bCs/>
        </w:rPr>
        <w:t xml:space="preserve">, grammatical aspect and event comprehension</w:t>
      </w:r>
      <w:r>
        <w:rPr>
          <w:b/>
          <w:bCs/>
        </w:rPr>
        <w:t xml:space="preserve"> </w:t>
      </w:r>
      <w:r>
        <w:rPr>
          <w:b/>
          <w:bCs/>
        </w:rPr>
        <w:t xml:space="preserve">(Vos et al., 2022)</w:t>
      </w:r>
      <w:r>
        <w:rPr>
          <w:b/>
          <w:bCs/>
        </w:rPr>
        <w:t xml:space="preserve">, and lexical interference</w:t>
      </w:r>
      <w:r>
        <w:rPr>
          <w:b/>
          <w:bCs/>
        </w:rPr>
        <w:t xml:space="preserve"> </w:t>
      </w:r>
      <w:r>
        <w:rPr>
          <w:b/>
          <w:bCs/>
        </w:rPr>
        <w:t xml:space="preserve">(Prystauka et al., 2024)</w:t>
      </w:r>
      <w:r>
        <w:rPr>
          <w:b/>
          <w:bCs/>
        </w:rPr>
        <w:t xml:space="preserve">.</w:t>
      </w:r>
    </w:p>
    <w:p>
      <w:pPr>
        <w:pStyle w:val="BodyText"/>
      </w:pPr>
      <w:r>
        <w:rPr>
          <w:b/>
          <w:bCs/>
        </w:rPr>
        <w:t xml:space="preserve">More relevant to the current tutorial are findings from single-word VWP studies conducted online. Recent research examined single-word speech perception online using a phonemic cohort task</w:t>
      </w:r>
      <w:r>
        <w:rPr>
          <w:b/>
          <w:bCs/>
        </w:rPr>
        <w:t xml:space="preserve"> </w:t>
      </w:r>
      <w:r>
        <w:rPr>
          <w:b/>
          <w:bCs/>
        </w:rPr>
        <w:t xml:space="preserve">(Bramlett &amp; Wiener, 2025; Slim et al., 2024)</w:t>
      </w:r>
      <w:r>
        <w:rPr>
          <w:b/>
          <w:bCs/>
        </w:rPr>
        <w:t xml:space="preserve">. In the cohort task, pictures were displayed randomly in one of four quadrants, and participants were instructed to fixate on the target based on the auditory cue. On each trial, one of the pictures was phonemically similar to the target in onset (e.g.,</w:t>
      </w:r>
      <w:r>
        <w:rPr>
          <w:b/>
          <w:bCs/>
        </w:rPr>
        <w:t xml:space="preserve"> </w:t>
      </w:r>
      <w:r>
        <w:rPr>
          <w:b/>
          <w:bCs/>
          <w:i/>
          <w:iCs/>
        </w:rPr>
        <w:t xml:space="preserve">MILK</w:t>
      </w:r>
      <w:r>
        <w:rPr>
          <w:b/>
          <w:bCs/>
        </w:rPr>
        <w:t xml:space="preserve"> </w:t>
      </w:r>
      <w:r>
        <w:rPr>
          <w:b/>
          <w:bCs/>
        </w:rPr>
        <w:t xml:space="preserve">–</w:t>
      </w:r>
      <w:r>
        <w:rPr>
          <w:b/>
          <w:bCs/>
        </w:rPr>
        <w:t xml:space="preserve"> </w:t>
      </w:r>
      <w:r>
        <w:rPr>
          <w:b/>
          <w:bCs/>
          <w:i/>
          <w:iCs/>
        </w:rPr>
        <w:t xml:space="preserve">MITTEN</w:t>
      </w:r>
      <w:r>
        <w:rPr>
          <w:b/>
          <w:bCs/>
        </w:rPr>
        <w:t xml:space="preserve">).</w:t>
      </w:r>
      <w:r>
        <w:rPr>
          <w:b/>
          <w:bCs/>
        </w:rPr>
        <w:t xml:space="preserve"> </w:t>
      </w:r>
      <w:r>
        <w:rPr>
          <w:b/>
          <w:bCs/>
        </w:rPr>
        <w:t xml:space="preserve">Slim et al. (2024)</w:t>
      </w:r>
      <w:r>
        <w:rPr>
          <w:b/>
          <w:bCs/>
        </w:rPr>
        <w:t xml:space="preserve"> </w:t>
      </w:r>
      <w:r>
        <w:rPr>
          <w:b/>
          <w:bCs/>
        </w:rPr>
        <w:t xml:space="preserve">were able to observe significant fixations to the cohort compared to the control condition, replicating lab-based single word VWP experiments with research grade eye-trackers</w:t>
      </w:r>
      <w:r>
        <w:rPr>
          <w:b/>
          <w:bCs/>
        </w:rPr>
        <w:t xml:space="preserve"> </w:t>
      </w:r>
      <w:r>
        <w:rPr>
          <w:b/>
          <w:bCs/>
        </w:rPr>
        <w:t xml:space="preserve">(e.g., Allopenna et al., 1998)</w:t>
      </w:r>
      <w:r>
        <w:rPr>
          <w:b/>
          <w:bCs/>
        </w:rPr>
        <w:t xml:space="preserve">. However, time course differences were observed in the webcam-based setting such that competition effects occurred later in processing compared to traditional, lab-based eye-tracking.</w:t>
      </w:r>
    </w:p>
    <w:p>
      <w:pPr>
        <w:pStyle w:val="BodyText"/>
      </w:pPr>
      <w:r>
        <w:rPr>
          <w:b/>
          <w:bCs/>
        </w:rPr>
        <w:t xml:space="preserve">Several factors have been proposed to explain the poor temporal performance in the VWP. These include reduced spatial precision, computational demands introduced by the WebGazer.js algorithm, slower internet connections, larger areas of interest (AOIs), and calibration quality</w:t>
      </w:r>
      <w:r>
        <w:rPr>
          <w:b/>
          <w:bCs/>
        </w:rPr>
        <w:t xml:space="preserve"> </w:t>
      </w:r>
      <w:r>
        <w:rPr>
          <w:b/>
          <w:bCs/>
        </w:rPr>
        <w:t xml:space="preserve">(Boxtel et al., 2024; Degen et al., 2021; Slim et al., 2024)</w:t>
      </w:r>
      <w:r>
        <w:rPr>
          <w:b/>
          <w:bCs/>
        </w:rPr>
        <w:t xml:space="preserve">.</w:t>
      </w:r>
    </w:p>
    <w:p>
      <w:pPr>
        <w:pStyle w:val="BodyText"/>
      </w:pPr>
      <w:r>
        <w:rPr>
          <w:b/>
          <w:bCs/>
        </w:rPr>
        <w:t xml:space="preserve">Importantly, temporal issues are not observed in every case. Work has begun to address many of these challenges by leveraging updated versions of WebGazer.js and adopting different experimental platforms. For instance,</w:t>
      </w:r>
      <w:r>
        <w:rPr>
          <w:b/>
          <w:bCs/>
        </w:rPr>
        <w:t xml:space="preserve"> </w:t>
      </w:r>
      <w:r>
        <w:rPr>
          <w:b/>
          <w:bCs/>
        </w:rPr>
        <w:t xml:space="preserve">Vos et al. (2022)</w:t>
      </w:r>
      <w:r>
        <w:rPr>
          <w:b/>
          <w:bCs/>
        </w:rPr>
        <w:t xml:space="preserve"> </w:t>
      </w:r>
      <w:r>
        <w:rPr>
          <w:b/>
          <w:bCs/>
        </w:rPr>
        <w:t xml:space="preserve">reported a substantial reduction in temporal delays—approximately 50 ms—when using a newer version of WebGazer.js embedded within the jsPsych framework</w:t>
      </w:r>
      <w:r>
        <w:rPr>
          <w:b/>
          <w:bCs/>
        </w:rPr>
        <w:t xml:space="preserve"> </w:t>
      </w:r>
      <w:r>
        <w:rPr>
          <w:b/>
          <w:bCs/>
        </w:rPr>
        <w:t xml:space="preserve">(Leeuw, 2015)</w:t>
      </w:r>
      <w:r>
        <w:rPr>
          <w:b/>
          <w:bCs/>
        </w:rPr>
        <w:t xml:space="preserve">. Similarly, studies by</w:t>
      </w:r>
      <w:r>
        <w:rPr>
          <w:b/>
          <w:bCs/>
        </w:rPr>
        <w:t xml:space="preserve"> </w:t>
      </w:r>
      <w:r>
        <w:rPr>
          <w:b/>
          <w:bCs/>
        </w:rPr>
        <w:t xml:space="preserve">Prystauka et al. (2024)</w:t>
      </w:r>
      <w:r>
        <w:rPr>
          <w:b/>
          <w:bCs/>
        </w:rPr>
        <w:t xml:space="preserve"> </w:t>
      </w:r>
      <w:r>
        <w:rPr>
          <w:b/>
          <w:bCs/>
        </w:rPr>
        <w:t xml:space="preserve">and</w:t>
      </w:r>
      <w:r>
        <w:rPr>
          <w:b/>
          <w:bCs/>
        </w:rPr>
        <w:t xml:space="preserve"> </w:t>
      </w:r>
      <w:r>
        <w:rPr>
          <w:b/>
          <w:bCs/>
        </w:rPr>
        <w:t xml:space="preserve">Bramlett and Wiener (2024)</w:t>
      </w:r>
      <w:r>
        <w:rPr>
          <w:b/>
          <w:bCs/>
        </w:rPr>
        <w:t xml:space="preserve">, which utilized the Gorilla Experiment Builder in combination with the improved WebGazer algorithm, found timing and competition effects closely aligned with those observed in traditional lab-based VWP studies.</w:t>
      </w:r>
    </w:p>
    <w:p>
      <w:pPr>
        <w:pStyle w:val="BodyText"/>
      </w:pPr>
      <w:r>
        <w:rPr>
          <w:b/>
          <w:bCs/>
        </w:rP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rPr>
          <w:b/>
          <w:bCs/>
        </w:rPr>
        <w:t xml:space="preserve"> </w:t>
      </w:r>
      <w:r>
        <w:rPr>
          <w:b/>
          <w:bCs/>
        </w:rPr>
        <w:t xml:space="preserve">(Slim et al., 2024)</w:t>
      </w:r>
      <w:r>
        <w:rPr>
          <w:b/>
          <w:bCs/>
        </w:rPr>
        <w:t xml:space="preserve">.</w:t>
      </w:r>
    </w:p>
    <w:bookmarkEnd w:id="43"/>
    <w:bookmarkStart w:id="45" w:name="Xf85e1490be62a1e6f762f3e243907c78980fb9a"/>
    <w:p>
      <w:pPr>
        <w:pStyle w:val="Heading2"/>
      </w:pPr>
      <w:r>
        <w:rPr>
          <w:b/>
          <w:bCs/>
        </w:rPr>
        <w:t xml:space="preserve">Bilingual competition: A visual world webcam eye-tracking replication</w:t>
      </w:r>
    </w:p>
    <w:p>
      <w:pPr>
        <w:pStyle w:val="FirstParagraph"/>
      </w:pPr>
      <w:r>
        <w:rPr>
          <w:b/>
          <w:bCs/>
        </w:rPr>
        <w:t xml:space="preserve">A goal of the present study was to conceptually replicate a study by</w:t>
      </w:r>
      <w:r>
        <w:rPr>
          <w:b/>
          <w:bCs/>
        </w:rPr>
        <w:t xml:space="preserve"> </w:t>
      </w:r>
      <w:r>
        <w:rPr>
          <w:b/>
          <w:bCs/>
        </w:rPr>
        <w:t xml:space="preserve">Sarrett et al. (2022)</w:t>
      </w:r>
      <w:r>
        <w:rPr>
          <w:b/>
          <w:bCs/>
        </w:rPr>
        <w:t xml:space="preserve"> </w:t>
      </w:r>
      <w:r>
        <w:rPr>
          <w:b/>
          <w:bCs/>
        </w:rP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rPr>
          <w:b/>
          <w:bCs/>
        </w:rPr>
        <w:t xml:space="preserve">It is well established that lexical competition plays a central role in language processing</w:t>
      </w:r>
      <w:r>
        <w:rPr>
          <w:b/>
          <w:bCs/>
        </w:rPr>
        <w:t xml:space="preserve"> </w:t>
      </w:r>
      <w:r>
        <w:rPr>
          <w:b/>
          <w:bCs/>
        </w:rPr>
        <w:t xml:space="preserve">(Magnuson et al., 2007)</w:t>
      </w:r>
      <w:r>
        <w:rPr>
          <w:b/>
          <w:bCs/>
        </w:rP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rPr>
          <w:b/>
          <w:bCs/>
        </w:rPr>
        <w:t xml:space="preserve"> </w:t>
      </w:r>
      <w:r>
        <w:rPr>
          <w:b/>
          <w:bCs/>
          <w:i/>
          <w:iCs/>
        </w:rPr>
        <w:t xml:space="preserve">wizard</w:t>
      </w:r>
      <w:r>
        <w:rPr>
          <w:b/>
          <w:bCs/>
        </w:rPr>
        <w:t xml:space="preserve">, phonologically similar words such as</w:t>
      </w:r>
      <w:r>
        <w:rPr>
          <w:b/>
          <w:bCs/>
        </w:rPr>
        <w:t xml:space="preserve"> </w:t>
      </w:r>
      <w:r>
        <w:rPr>
          <w:b/>
          <w:bCs/>
          <w:i/>
          <w:iCs/>
        </w:rPr>
        <w:t xml:space="preserve">whistle</w:t>
      </w:r>
      <w:r>
        <w:rPr>
          <w:b/>
          <w:bCs/>
        </w:rPr>
        <w:t xml:space="preserve"> </w:t>
      </w:r>
      <w:r>
        <w:rPr>
          <w:b/>
          <w:bCs/>
        </w:rPr>
        <w:t xml:space="preserve">(cohort competitor) may be briefly activated. As the word continues to unfold, additional competitors like</w:t>
      </w:r>
      <w:r>
        <w:rPr>
          <w:b/>
          <w:bCs/>
        </w:rPr>
        <w:t xml:space="preserve"> </w:t>
      </w:r>
      <w:r>
        <w:rPr>
          <w:b/>
          <w:bCs/>
          <w:i/>
          <w:iCs/>
        </w:rPr>
        <w:t xml:space="preserve">blizzard</w:t>
      </w:r>
      <w:r>
        <w:rPr>
          <w:b/>
          <w:bCs/>
        </w:rPr>
        <w:t xml:space="preserve"> </w:t>
      </w:r>
      <w:r>
        <w:rPr>
          <w:b/>
          <w:bCs/>
        </w:rPr>
        <w:t xml:space="preserve">(a rhyme competitor) might also become active. For</w:t>
      </w:r>
      <w:r>
        <w:rPr>
          <w:b/>
          <w:bCs/>
        </w:rPr>
        <w:t xml:space="preserve"> </w:t>
      </w:r>
      <w:r>
        <w:rPr>
          <w:b/>
          <w:bCs/>
          <w:i/>
          <w:iCs/>
        </w:rPr>
        <w:t xml:space="preserve">wizard</w:t>
      </w:r>
      <w:r>
        <w:rPr>
          <w:b/>
          <w:bCs/>
        </w:rPr>
        <w:t xml:space="preserve"> </w:t>
      </w:r>
      <w:r>
        <w:rPr>
          <w:b/>
          <w:bCs/>
        </w:rPr>
        <w:t xml:space="preserve">to be accurately recognized, activation of competitors such as</w:t>
      </w:r>
      <w:r>
        <w:rPr>
          <w:b/>
          <w:bCs/>
        </w:rPr>
        <w:t xml:space="preserve"> </w:t>
      </w:r>
      <w:r>
        <w:rPr>
          <w:b/>
          <w:bCs/>
          <w:i/>
          <w:iCs/>
        </w:rPr>
        <w:t xml:space="preserve">whistle</w:t>
      </w:r>
      <w:r>
        <w:rPr>
          <w:b/>
          <w:bCs/>
        </w:rPr>
        <w:t xml:space="preserve"> </w:t>
      </w:r>
      <w:r>
        <w:rPr>
          <w:b/>
          <w:bCs/>
        </w:rPr>
        <w:t xml:space="preserve">and</w:t>
      </w:r>
      <w:r>
        <w:rPr>
          <w:b/>
          <w:bCs/>
        </w:rPr>
        <w:t xml:space="preserve"> </w:t>
      </w:r>
      <w:r>
        <w:rPr>
          <w:b/>
          <w:bCs/>
          <w:i/>
          <w:iCs/>
        </w:rPr>
        <w:t xml:space="preserve">blizzard</w:t>
      </w:r>
      <w:r>
        <w:rPr>
          <w:b/>
          <w:bCs/>
        </w:rPr>
        <w:t xml:space="preserve"> </w:t>
      </w:r>
      <w:r>
        <w:rPr>
          <w:b/>
          <w:bCs/>
        </w:rPr>
        <w:t xml:space="preserve">must ultimately be suppressed.</w:t>
      </w:r>
    </w:p>
    <w:p>
      <w:pPr>
        <w:pStyle w:val="BodyText"/>
      </w:pPr>
      <w:r>
        <w:rPr>
          <w:b/>
          <w:bCs/>
        </w:rPr>
        <w:t xml:space="preserve">One important area of exploration concerns lexical competition across languages. There is growing evidence that lexical competition can occur cross-linguistically</w:t>
      </w:r>
      <w:r>
        <w:rPr>
          <w:b/>
          <w:bCs/>
        </w:rPr>
        <w:t xml:space="preserve"> </w:t>
      </w:r>
      <w:r>
        <w:rPr>
          <w:b/>
          <w:bCs/>
        </w:rPr>
        <w:t xml:space="preserve">(see Ju &amp; Luce, 2004; Spivey &amp; Marian, 1999)</w:t>
      </w:r>
      <w:r>
        <w:rPr>
          <w:b/>
          <w:bCs/>
        </w:rPr>
        <w:t xml:space="preserve">. In a recent study,</w:t>
      </w:r>
      <w:r>
        <w:rPr>
          <w:b/>
          <w:bCs/>
        </w:rPr>
        <w:t xml:space="preserve"> </w:t>
      </w:r>
      <w:r>
        <w:rPr>
          <w:b/>
          <w:bCs/>
        </w:rPr>
        <w:t xml:space="preserve">Sarrett et al. (2022)</w:t>
      </w:r>
      <w:r>
        <w:rPr>
          <w:b/>
          <w:bCs/>
        </w:rPr>
        <w:t xml:space="preserve"> </w:t>
      </w:r>
      <w:r>
        <w:rPr>
          <w:b/>
          <w:bCs/>
        </w:rP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rPr>
          <w:b/>
          <w:bCs/>
        </w:rPr>
        <w:t xml:space="preserve">Spanish-Spanish (within) condition: A Spanish competitor was presented alongside the target word. For example, if the target word spoken was</w:t>
      </w:r>
      <w:r>
        <w:rPr>
          <w:b/>
          <w:bCs/>
        </w:rPr>
        <w:t xml:space="preserve"> </w:t>
      </w:r>
      <w:r>
        <w:rPr>
          <w:b/>
          <w:bCs/>
          <w:i/>
          <w:iCs/>
        </w:rPr>
        <w:t xml:space="preserve">cielo</w:t>
      </w:r>
      <w:r>
        <w:rPr>
          <w:b/>
          <w:bCs/>
        </w:rPr>
        <w:t xml:space="preserve"> </w:t>
      </w:r>
      <w:r>
        <w:rPr>
          <w:b/>
          <w:bCs/>
        </w:rPr>
        <w:t xml:space="preserve">(sky), the Spanish competitor was</w:t>
      </w:r>
      <w:r>
        <w:rPr>
          <w:b/>
          <w:bCs/>
        </w:rPr>
        <w:t xml:space="preserve"> </w:t>
      </w:r>
      <w:r>
        <w:rPr>
          <w:b/>
          <w:bCs/>
          <w:i/>
          <w:iCs/>
        </w:rPr>
        <w:t xml:space="preserve">ciencia</w:t>
      </w:r>
      <w:r>
        <w:rPr>
          <w:b/>
          <w:bCs/>
        </w:rPr>
        <w:t xml:space="preserve"> </w:t>
      </w:r>
      <w:r>
        <w:rPr>
          <w:b/>
          <w:bCs/>
        </w:rPr>
        <w:t xml:space="preserve">(science).</w:t>
      </w:r>
    </w:p>
    <w:p>
      <w:pPr>
        <w:numPr>
          <w:ilvl w:val="0"/>
          <w:numId w:val="1001"/>
        </w:numPr>
      </w:pPr>
      <w:r>
        <w:rPr>
          <w:b/>
          <w:bCs/>
        </w:rPr>
        <w:t xml:space="preserve">Spanish-English (cross-ligustic) condition: An English competitor was presented for the Spanish target word. For example, if the target word spoken was</w:t>
      </w:r>
      <w:r>
        <w:rPr>
          <w:b/>
          <w:bCs/>
        </w:rPr>
        <w:t xml:space="preserve"> </w:t>
      </w:r>
      <w:r>
        <w:rPr>
          <w:b/>
          <w:bCs/>
          <w:i/>
          <w:iCs/>
        </w:rPr>
        <w:t xml:space="preserve">botas</w:t>
      </w:r>
      <w:r>
        <w:rPr>
          <w:b/>
          <w:bCs/>
        </w:rPr>
        <w:t xml:space="preserve"> </w:t>
      </w:r>
      <w:r>
        <w:rPr>
          <w:b/>
          <w:bCs/>
        </w:rPr>
        <w:t xml:space="preserve">(boots), the English competitor was</w:t>
      </w:r>
      <w:r>
        <w:rPr>
          <w:b/>
          <w:bCs/>
        </w:rPr>
        <w:t xml:space="preserve"> </w:t>
      </w:r>
      <w:r>
        <w:rPr>
          <w:b/>
          <w:bCs/>
          <w:i/>
          <w:iCs/>
        </w:rPr>
        <w:t xml:space="preserve">border</w:t>
      </w:r>
      <w:r>
        <w:rPr>
          <w:b/>
          <w:bCs/>
        </w:rPr>
        <w:t xml:space="preserve">.</w:t>
      </w:r>
    </w:p>
    <w:p>
      <w:pPr>
        <w:pStyle w:val="FirstParagraph"/>
      </w:pPr>
      <w:r>
        <w:t xml:space="preserve">Sarrett et al. (2022)</w:t>
      </w:r>
      <w:r>
        <w:t xml:space="preserve"> </w:t>
      </w:r>
      <w:r>
        <w:rPr>
          <w:b/>
          <w:bCs/>
        </w:rPr>
        <w:t xml:space="preserve">also included a no competition condition where the Spanish-English pairs were not cross-linguistic competitors (e.g.,</w:t>
      </w:r>
      <w:r>
        <w:rPr>
          <w:b/>
          <w:bCs/>
        </w:rPr>
        <w:t xml:space="preserve"> </w:t>
      </w:r>
      <w:r>
        <w:rPr>
          <w:b/>
          <w:bCs/>
          <w:i/>
          <w:iCs/>
        </w:rPr>
        <w:t xml:space="preserve">frontera</w:t>
      </w:r>
      <w:r>
        <w:rPr>
          <w:b/>
          <w:bCs/>
        </w:rPr>
        <w:t xml:space="preserve"> </w:t>
      </w:r>
      <w:r>
        <w:rPr>
          <w:b/>
          <w:bCs/>
        </w:rPr>
        <w:t xml:space="preserve">as the target word and</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boots</w:t>
      </w:r>
      <w:r>
        <w:rPr>
          <w:b/>
          <w:bCs/>
        </w:rPr>
        <w:t xml:space="preserve"> </w:t>
      </w:r>
      <w:r>
        <w:rPr>
          <w:b/>
          <w:bCs/>
        </w:rPr>
        <w:t xml:space="preserve">as an unrelated item in the pair). They observed competition effects in both of the critical conditions: within (e.g.,</w:t>
      </w:r>
      <w:r>
        <w:rPr>
          <w:b/>
          <w:bCs/>
        </w:rPr>
        <w:t xml:space="preserve"> </w:t>
      </w:r>
      <w:r>
        <w:rPr>
          <w:b/>
          <w:bCs/>
          <w:i/>
          <w:iCs/>
        </w:rPr>
        <w:t xml:space="preserve">cielo</w:t>
      </w:r>
      <w:r>
        <w:rPr>
          <w:b/>
          <w:bCs/>
        </w:rPr>
        <w:t xml:space="preserve"> </w:t>
      </w:r>
      <w:r>
        <w:rPr>
          <w:b/>
          <w:bCs/>
        </w:rPr>
        <w:t xml:space="preserve">-</w:t>
      </w:r>
      <w:r>
        <w:rPr>
          <w:b/>
          <w:bCs/>
        </w:rPr>
        <w:t xml:space="preserve"> </w:t>
      </w:r>
      <w:r>
        <w:rPr>
          <w:b/>
          <w:bCs/>
          <w:i/>
          <w:iCs/>
        </w:rPr>
        <w:t xml:space="preserve">ciencia</w:t>
      </w:r>
      <w:r>
        <w:rPr>
          <w:b/>
          <w:bCs/>
        </w:rPr>
        <w:t xml:space="preserve">) and between (e.g.,</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border</w:t>
      </w:r>
      <w:r>
        <w:rPr>
          <w:b/>
          <w:bCs/>
        </w:rPr>
        <w:t xml:space="preserve">). Herein, we collected data to conceptually replicate their pattern of findings using a webcam approach.</w:t>
      </w:r>
    </w:p>
    <w:p>
      <w:pPr>
        <w:pStyle w:val="BodyText"/>
      </w:pPr>
      <w:r>
        <w:rPr>
          <w:b/>
          <w:bCs/>
        </w:rPr>
        <w:t xml:space="preserve">There are two key differences between our dataset and the original study by</w:t>
      </w:r>
      <w:r>
        <w:rPr>
          <w:b/>
          <w:bCs/>
        </w:rPr>
        <w:t xml:space="preserve"> </w:t>
      </w:r>
      <w:r>
        <w:rPr>
          <w:b/>
          <w:bCs/>
        </w:rPr>
        <w:t xml:space="preserve">Sarrett et al. (2022)</w:t>
      </w:r>
      <w:r>
        <w:rPr>
          <w:b/>
          <w:bCs/>
        </w:rPr>
        <w:t xml:space="preserve"> </w:t>
      </w:r>
      <w:r>
        <w:rPr>
          <w:b/>
          <w:bCs/>
        </w:rPr>
        <w:t xml:space="preserve">worth noting. First,</w:t>
      </w:r>
      <w:r>
        <w:rPr>
          <w:b/>
          <w:bCs/>
        </w:rPr>
        <w:t xml:space="preserve"> </w:t>
      </w:r>
      <w:r>
        <w:rPr>
          <w:b/>
          <w:bCs/>
        </w:rPr>
        <w:t xml:space="preserve">Sarrett et al. (2022)</w:t>
      </w:r>
      <w:r>
        <w:rPr>
          <w:b/>
          <w:bCs/>
        </w:rPr>
        <w:t xml:space="preserve"> </w:t>
      </w:r>
      <w:r>
        <w:rPr>
          <w:b/>
          <w:bCs/>
        </w:rPr>
        <w:t xml:space="preserve">focused on adult unbalanced L2 Spanish speakers and posed more fine-grained questions about the time course of competition and resolution and its relationship with L2 language acquisition. Second, unlike</w:t>
      </w:r>
      <w:r>
        <w:rPr>
          <w:b/>
          <w:bCs/>
        </w:rPr>
        <w:t xml:space="preserve"> </w:t>
      </w:r>
      <w:r>
        <w:rPr>
          <w:b/>
          <w:bCs/>
        </w:rPr>
        <w:t xml:space="preserve">Sarrett et al. (2022)</w:t>
      </w:r>
      <w:r>
        <w:rPr>
          <w:b/>
          <w:bCs/>
        </w:rPr>
        <w:t xml:space="preserve"> </w:t>
      </w:r>
      <w:r>
        <w:rPr>
          <w:b/>
          <w:bCs/>
        </w:rPr>
        <w:t xml:space="preserve">, who measured Spanish proficiency objectively using LexTALE-esp</w:t>
      </w:r>
      <w:r>
        <w:rPr>
          <w:b/>
          <w:bCs/>
        </w:rPr>
        <w:t xml:space="preserve"> </w:t>
      </w:r>
      <w:r>
        <w:rPr>
          <w:b/>
          <w:bCs/>
        </w:rPr>
        <w:t xml:space="preserve">(Izura et al., 2014)</w:t>
      </w:r>
      <w:r>
        <w:rPr>
          <w:b/>
          <w:bCs/>
        </w:rPr>
        <w:t xml:space="preserve">) and ran this study using participants from a Spanish college course, we relied on participant filtering on Prolific (www.prolific.co) to recruit L2 Spanish speakers.</w:t>
      </w:r>
    </w:p>
    <w:p>
      <w:pPr>
        <w:pStyle w:val="BodyText"/>
      </w:pPr>
      <w:r>
        <w:rPr>
          <w:b/>
          <w:bCs/>
        </w:rPr>
        <w:t xml:space="preserve">To conduct our online webcam replication, we used the experimental platform Gorilla</w:t>
      </w:r>
      <w:r>
        <w:rPr>
          <w:b/>
          <w:bCs/>
        </w:rPr>
        <w:t xml:space="preserve"> </w:t>
      </w:r>
      <w:r>
        <w:rPr>
          <w:b/>
          <w:bCs/>
        </w:rPr>
        <w:t xml:space="preserve">(Anwyl-Irvine et al., 2020)</w:t>
      </w:r>
      <w:r>
        <w:rPr>
          <w:b/>
          <w:bCs/>
        </w:rPr>
        <w:t xml:space="preserve">, which integrates WebGazer.js for gaze tracking. We selected Gorilla because it offers robust WebGazer.js integration and seems to address several temporal accuracy concerns identified in other platforms</w:t>
      </w:r>
      <w:r>
        <w:rPr>
          <w:b/>
          <w:bCs/>
        </w:rPr>
        <w:t xml:space="preserve"> </w:t>
      </w:r>
      <w:r>
        <w:rPr>
          <w:b/>
          <w:bCs/>
        </w:rPr>
        <w:t xml:space="preserve">(Slim et al., 2024; Slim &amp; Hartsuiker, 2023)</w:t>
      </w:r>
      <w:r>
        <w:rPr>
          <w:b/>
          <w:bCs/>
        </w:rPr>
        <w:t xml:space="preserve">.</w:t>
      </w:r>
    </w:p>
    <w:bookmarkStart w:id="44" w:name="tutorial-overview"/>
    <w:p>
      <w:pPr>
        <w:pStyle w:val="Heading3"/>
      </w:pPr>
      <w:r>
        <w:rPr>
          <w:b/>
          <w:bCs/>
        </w:rPr>
        <w:t xml:space="preserve">Tutorial Overview</w:t>
      </w:r>
    </w:p>
    <w:p>
      <w:pPr>
        <w:pStyle w:val="FirstParagraph"/>
      </w:pPr>
      <w:r>
        <w:rPr>
          <w:b/>
          <w:bCs/>
        </w:rP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rPr>
          <w:b/>
          <w:bCs/>
        </w:rPr>
        <w:t xml:space="preserve">Second, we offer a tutorial that outlines key preprocessing steps for analyzing webcam-based eye-tracking data. Building on recommendations proposed by</w:t>
      </w:r>
      <w:r>
        <w:rPr>
          <w:b/>
          <w:bCs/>
        </w:rPr>
        <w:t xml:space="preserve"> </w:t>
      </w:r>
      <w:r>
        <w:rPr>
          <w:b/>
          <w:bCs/>
        </w:rPr>
        <w:t xml:space="preserve">(Bramlett &amp; Wiener, 2024)</w:t>
      </w:r>
      <w:r>
        <w:rPr>
          <w:b/>
          <w:bCs/>
        </w:rPr>
        <w:t xml:space="preserve">, our contribution focuses on data preprocessing— transforming raw gaze data into a format suitable for visualization and analysis. Here we introduce a new R package—</w:t>
      </w:r>
      <w:r>
        <w:rPr>
          <w:rStyle w:val="VerbatimChar"/>
          <w:b/>
          <w:bCs/>
        </w:rPr>
        <w:t xml:space="preserve">webgazeR</w:t>
      </w:r>
      <w:r>
        <w:rPr>
          <w:b/>
          <w:bCs/>
        </w:rPr>
        <w:t xml:space="preserve">(Geller &amp; Prystauka, 2024)</w:t>
      </w:r>
      <w:r>
        <w:rPr>
          <w:b/>
          <w:bCs/>
        </w:rP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rPr>
          <w:b/>
          <w:bCs/>
        </w:rPr>
        <w:t xml:space="preserve"> </w:t>
      </w:r>
      <w:r>
        <w:rPr>
          <w:b/>
          <w:bCs/>
        </w:rPr>
        <w:t xml:space="preserve">Bramlett and Wiener (2024)</w:t>
      </w:r>
      <w:r>
        <w:rPr>
          <w:b/>
          <w:bCs/>
        </w:rPr>
        <w:t xml:space="preserve">.</w:t>
      </w:r>
    </w:p>
    <w:p>
      <w:pPr>
        <w:pStyle w:val="BodyText"/>
      </w:pPr>
      <w:r>
        <w:rPr>
          <w:b/>
          <w:bCs/>
        </w:rPr>
        <w:t xml:space="preserve">Although</w:t>
      </w:r>
      <w:r>
        <w:rPr>
          <w:b/>
          <w:bCs/>
        </w:rPr>
        <w:t xml:space="preserve"> </w:t>
      </w:r>
      <w:r>
        <w:rPr>
          <w:b/>
          <w:bCs/>
        </w:rPr>
        <w:t xml:space="preserve">Bramlett and Wiener (2024)</w:t>
      </w:r>
      <w:r>
        <w:rPr>
          <w:b/>
          <w:bCs/>
        </w:rPr>
        <w:t xml:space="preserve">’s tutorial provides a lot of useful code, the experiment-specific nature of the code may pose challenges for newcomers. In contrast, the</w:t>
      </w:r>
      <w:r>
        <w:rPr>
          <w:b/>
          <w:bCs/>
        </w:rPr>
        <w:t xml:space="preserve"> </w:t>
      </w:r>
      <w:r>
        <w:rPr>
          <w:rStyle w:val="VerbatimChar"/>
          <w:b/>
          <w:bCs/>
        </w:rPr>
        <w:t xml:space="preserve">webgazeR</w:t>
      </w:r>
      <w:r>
        <w:rPr>
          <w:b/>
          <w:bCs/>
        </w:rPr>
        <w:t xml:space="preserve"> </w:t>
      </w:r>
      <w:r>
        <w:rPr>
          <w:b/>
          <w:bCs/>
        </w:rP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rPr>
          <w:b/>
          <w:bCs/>
        </w:rPr>
        <w:t xml:space="preserve"> </w:t>
      </w:r>
      <w:r>
        <w:rPr>
          <w:b/>
          <w:bCs/>
        </w:rPr>
        <w:t xml:space="preserve">(Madsen et al., 2021)</w:t>
      </w:r>
      <w:r>
        <w:rPr>
          <w:b/>
          <w:bCs/>
        </w:rPr>
        <w:t xml:space="preserve">.</w:t>
      </w:r>
    </w:p>
    <w:p>
      <w:pPr>
        <w:pStyle w:val="BodyText"/>
      </w:pPr>
      <w:r>
        <w:rPr>
          <w:b/>
          <w:bCs/>
        </w:rPr>
        <w:t xml:space="preserve">We first begin by outlining the general methods used to conduct our webcam-based visual world experiment. Second, we detail the data preprocessing steps needed to prepare the data for analysis using</w:t>
      </w:r>
      <w:r>
        <w:rPr>
          <w:b/>
          <w:bCs/>
        </w:rPr>
        <w:t xml:space="preserve"> </w:t>
      </w:r>
      <w:r>
        <w:rPr>
          <w:rStyle w:val="VerbatimChar"/>
          <w:b/>
          <w:bCs/>
        </w:rPr>
        <w:t xml:space="preserve">webgazeR</w:t>
      </w:r>
      <w:r>
        <w:rPr>
          <w:b/>
          <w:bCs/>
        </w:rPr>
        <w:t xml:space="preserve">. Third, we demonstrate a statistical approach for analyzing the preprocessed data, highlighting its application and implications.</w:t>
      </w:r>
    </w:p>
    <w:p>
      <w:pPr>
        <w:pStyle w:val="BodyText"/>
      </w:pPr>
      <w:r>
        <w:rPr>
          <w:b/>
          <w:bCs/>
        </w:rPr>
        <w:t xml:space="preserve">To promote transparency and reproducibility, all analyses were conducted in R</w:t>
      </w:r>
      <w:r>
        <w:rPr>
          <w:b/>
          <w:bCs/>
        </w:rPr>
        <w:t xml:space="preserve"> </w:t>
      </w:r>
      <w:r>
        <w:rPr>
          <w:b/>
          <w:bCs/>
        </w:rPr>
        <w:t xml:space="preserve">(R Core Team, 2024)</w:t>
      </w:r>
      <w:r>
        <w:rPr>
          <w:b/>
          <w:bCs/>
        </w:rPr>
        <w:t xml:space="preserve"> </w:t>
      </w:r>
      <w:r>
        <w:rPr>
          <w:b/>
          <w:bCs/>
        </w:rPr>
        <w:t xml:space="preserve">using Quarto</w:t>
      </w:r>
      <w:r>
        <w:rPr>
          <w:b/>
          <w:bCs/>
        </w:rPr>
        <w:t xml:space="preserve"> </w:t>
      </w:r>
      <w:r>
        <w:rPr>
          <w:b/>
          <w:bCs/>
        </w:rPr>
        <w:t xml:space="preserve">(Allaire et al., 2024)</w:t>
      </w:r>
      <w:r>
        <w:rPr>
          <w:b/>
          <w:bCs/>
        </w:rP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rPr>
          <w:b/>
          <w:bCs/>
        </w:rPr>
        <w:t xml:space="preserve"> </w:t>
      </w:r>
      <w:r>
        <w:rPr>
          <w:rStyle w:val="VerbatimChar"/>
          <w:b/>
          <w:bCs/>
        </w:rPr>
        <w:t xml:space="preserve">rix</w:t>
      </w:r>
      <w:r>
        <w:rPr>
          <w:b/>
          <w:bCs/>
        </w:rPr>
        <w:t xml:space="preserve"> </w:t>
      </w:r>
      <w:r>
        <w:rPr>
          <w:b/>
          <w:bCs/>
        </w:rPr>
        <w:t xml:space="preserve">package</w:t>
      </w:r>
      <w:r>
        <w:rPr>
          <w:b/>
          <w:bCs/>
        </w:rPr>
        <w:t xml:space="preserve"> </w:t>
      </w:r>
      <w:r>
        <w:rPr>
          <w:b/>
          <w:bCs/>
        </w:rPr>
        <w:t xml:space="preserve">(Rodrigues &amp; Baumann, 2025)</w:t>
      </w:r>
      <w:r>
        <w:rPr>
          <w:b/>
          <w:bCs/>
        </w:rPr>
        <w:t xml:space="preserve">, which leverages the Nix ecosystem</w:t>
      </w:r>
      <w:r>
        <w:rPr>
          <w:b/>
          <w:bCs/>
        </w:rPr>
        <w:t xml:space="preserve"> </w:t>
      </w:r>
      <w:r>
        <w:rPr>
          <w:b/>
          <w:bCs/>
        </w:rPr>
        <w:t xml:space="preserve">(Dolstra &amp; contributors, 2023)</w:t>
      </w:r>
      <w:r>
        <w:rPr>
          <w:b/>
          <w:bCs/>
        </w:rPr>
        <w:t xml:space="preserve">. This approach captures not only the R package versions but also system dependencies at runtime. Researchers can reproduce the exact computational environment by installing the Nix package manager and using the provided</w:t>
      </w:r>
      <w:r>
        <w:rPr>
          <w:b/>
          <w:bCs/>
        </w:rPr>
        <w:t xml:space="preserve"> </w:t>
      </w:r>
      <w:r>
        <w:rPr>
          <w:rStyle w:val="VerbatimChar"/>
          <w:b/>
          <w:bCs/>
        </w:rPr>
        <w:t xml:space="preserve">default.nix</w:t>
      </w:r>
      <w:r>
        <w:rPr>
          <w:b/>
          <w:bCs/>
        </w:rPr>
        <w:t xml:space="preserve"> </w:t>
      </w:r>
      <w:r>
        <w:rPr>
          <w:b/>
          <w:bCs/>
        </w:rPr>
        <w:t xml:space="preserve">file. Detailed setup instructions are included in the README file of the accompanying GitHub repository. A video tutorial is also provided.</w:t>
      </w:r>
    </w:p>
    <w:bookmarkEnd w:id="44"/>
    <w:bookmarkEnd w:id="45"/>
    <w:bookmarkStart w:id="61" w:name="method"/>
    <w:p>
      <w:pPr>
        <w:pStyle w:val="Heading2"/>
      </w:pPr>
      <w:r>
        <w:t xml:space="preserve">Method</w:t>
      </w:r>
    </w:p>
    <w:p>
      <w:pPr>
        <w:pStyle w:val="FirstParagraph"/>
      </w:pPr>
      <w:r>
        <w:t xml:space="preserve">All tasks herein can be previewed here</w:t>
      </w:r>
      <w:r>
        <w:t xml:space="preserve"> </w:t>
      </w:r>
      <w:hyperlink r:id="rId46">
        <w:r>
          <w:rPr>
            <w:rStyle w:val="Hyperlink"/>
          </w:rPr>
          <w:t xml:space="preserve">(https://app.gorilla.sc/openmaterials/953693</w:t>
        </w:r>
      </w:hyperlink>
      <w:r>
        <w:t xml:space="preserve">). The manuscript, data, and R code can be found on Github (</w:t>
      </w:r>
      <w:hyperlink r:id="rId47">
        <w:r>
          <w:rPr>
            <w:rStyle w:val="Hyperlink"/>
          </w:rPr>
          <w:t xml:space="preserve">https://github.com/jgeller112/webcam_gazeR_VWP</w:t>
        </w:r>
      </w:hyperlink>
      <w:r>
        <w:t xml:space="preserve">).</w:t>
      </w:r>
    </w:p>
    <w:bookmarkStart w:id="53" w:name="participants"/>
    <w:p>
      <w:pPr>
        <w:pStyle w:val="Heading3"/>
      </w:pPr>
      <w:r>
        <w:t xml:space="preserve">Participants</w:t>
      </w:r>
    </w:p>
    <w:p>
      <w:pPr>
        <w:pStyle w:val="FirstParagraph"/>
      </w:pPr>
      <w:r>
        <w:rPr>
          <w:b/>
          <w:bCs/>
        </w:rP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rPr>
          <w:b/>
          <w:bCs/>
        </w:rP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rPr>
          <w:b/>
          <w:bCs/>
        </w:rP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rPr>
          <w:b/>
          <w:bCs/>
        </w:rPr>
        <w:t xml:space="preserve">After agreeing to participate, individuals were redirected to the Gorilla experiment platform (www.gorilla.sc;</w:t>
      </w:r>
      <w:r>
        <w:rPr>
          <w:b/>
          <w:bCs/>
        </w:rPr>
        <w:t xml:space="preserve"> </w:t>
      </w:r>
      <w:r>
        <w:rPr>
          <w:b/>
          <w:bCs/>
        </w:rPr>
        <w:t xml:space="preserve">(Anwyl-Irvine et al., 2020)</w:t>
      </w:r>
      <w:r>
        <w:rPr>
          <w:b/>
          <w:bCs/>
        </w:rPr>
        <w:t xml:space="preserve">). A flow diagram of participant progression through the experiment is shown in</w:t>
      </w:r>
      <w:r>
        <w:rPr>
          <w:b/>
          <w:bCs/>
        </w:rPr>
        <w:t xml:space="preserve"> </w:t>
      </w:r>
      <w:hyperlink w:anchor="fig-sankey">
        <w:r>
          <w:rPr>
            <w:rStyle w:val="Hyperlink"/>
            <w:b/>
            <w:bCs/>
          </w:rPr>
          <w:t xml:space="preserve">Figure 1</w:t>
        </w:r>
      </w:hyperlink>
      <w:r>
        <w:rPr>
          <w:b/>
          <w:bCs/>
        </w:rP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rPr>
          <w:b/>
          <w:bCs/>
        </w:rPr>
        <w:t xml:space="preserve"> </w:t>
      </w:r>
      <w:hyperlink w:anchor="tbl-demo2">
        <w:r>
          <w:rPr>
            <w:rStyle w:val="Hyperlink"/>
            <w:b/>
            <w:bCs/>
          </w:rPr>
          <w:t xml:space="preserve">Table 1</w:t>
        </w:r>
      </w:hyperlink>
      <w:r>
        <w:rPr>
          <w:b/>
          <w:bCs/>
        </w:rP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1" w:name="fig-sankey"/>
    <w:p>
      <w:pPr>
        <w:pStyle w:val="FigureTitle"/>
      </w:pPr>
      <w:r>
        <w:t xml:space="preserve">Figure 1</w:t>
      </w:r>
    </w:p>
    <w:p>
      <w:pPr>
        <w:pStyle w:val="Caption"/>
      </w:pPr>
      <w:r>
        <w:t xml:space="preserve">“This sankey plot illustrates the flow of participants from initial consent (N = 187) through each stage of the study to the final analyzed sample (N = 28). The width of each stream is proportional to the number of participants. Detours indicate points of attrition, including failures in the headphone screener (N = 66) and calibration (N =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49" name="Picture"/>
            <a:graphic>
              <a:graphicData uri="http://schemas.openxmlformats.org/drawingml/2006/picture">
                <pic:pic>
                  <pic:nvPicPr>
                    <pic:cNvPr descr="Figures/snakey_experiment.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bookmarkEnd w:id="51"/>
    <w:bookmarkStart w:id="52"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2"/>
    <w:bookmarkEnd w:id="53"/>
    <w:bookmarkStart w:id="55"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rPr>
          <w:b/>
          <w:bCs/>
        </w:rP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rPr>
          <w:b/>
          <w:bCs/>
        </w:rPr>
        <w:t xml:space="preserve"> </w:t>
      </w:r>
      <w:r>
        <w:rPr>
          <w:b/>
          <w:bCs/>
          <w:i/>
          <w:iCs/>
        </w:rPr>
        <w:t xml:space="preserve">cielo</w:t>
      </w:r>
      <w:r>
        <w:rPr>
          <w:b/>
          <w:bCs/>
        </w:rPr>
        <w:t xml:space="preserve"> </w:t>
      </w:r>
      <w:r>
        <w:rPr>
          <w:b/>
          <w:bCs/>
        </w:rPr>
        <w:t xml:space="preserve">activated</w:t>
      </w:r>
      <w:r>
        <w:rPr>
          <w:b/>
          <w:bCs/>
        </w:rPr>
        <w:t xml:space="preserve"> </w:t>
      </w:r>
      <w:r>
        <w:rPr>
          <w:b/>
          <w:bCs/>
          <w:i/>
          <w:iCs/>
        </w:rPr>
        <w:t xml:space="preserve">ciencia</w:t>
      </w:r>
      <w:r>
        <w:rPr>
          <w:b/>
          <w:bCs/>
        </w:rPr>
        <w:t xml:space="preserve">, and vice versa. This bidirectional relationship yielded 120 trials for the Spanish–Spanish condition.</w:t>
      </w:r>
    </w:p>
    <w:p>
      <w:pPr>
        <w:pStyle w:val="BodyText"/>
      </w:pPr>
      <w:r>
        <w:rPr>
          <w:b/>
          <w:bCs/>
        </w:rPr>
        <w:t xml:space="preserve">In contrast, the Spanish–English pairs had an asymmetrical relationship: only one item in each pair functioned as a competitor (e.g.,</w:t>
      </w:r>
      <w:r>
        <w:rPr>
          <w:b/>
          <w:bCs/>
        </w:rPr>
        <w:t xml:space="preserve"> </w:t>
      </w:r>
      <w:r>
        <w:rPr>
          <w:b/>
          <w:bCs/>
          <w:i/>
          <w:iCs/>
        </w:rPr>
        <w:t xml:space="preserve">botas</w:t>
      </w:r>
      <w:r>
        <w:rPr>
          <w:b/>
          <w:bCs/>
        </w:rPr>
        <w:t xml:space="preserve"> </w:t>
      </w:r>
      <w:r>
        <w:rPr>
          <w:b/>
          <w:bCs/>
        </w:rPr>
        <w:t xml:space="preserve">could activate</w:t>
      </w:r>
      <w:r>
        <w:rPr>
          <w:b/>
          <w:bCs/>
        </w:rPr>
        <w:t xml:space="preserve"> </w:t>
      </w:r>
      <w:r>
        <w:rPr>
          <w:b/>
          <w:bCs/>
          <w:i/>
          <w:iCs/>
        </w:rPr>
        <w:t xml:space="preserve">frontera</w:t>
      </w:r>
      <w:r>
        <w:rPr>
          <w:b/>
          <w:bCs/>
        </w:rPr>
        <w:t xml:space="preserve">, but</w:t>
      </w:r>
      <w:r>
        <w:rPr>
          <w:b/>
          <w:bCs/>
        </w:rPr>
        <w:t xml:space="preserve"> </w:t>
      </w:r>
      <w:r>
        <w:rPr>
          <w:b/>
          <w:bCs/>
          <w:i/>
          <w:iCs/>
        </w:rPr>
        <w:t xml:space="preserve">frontera</w:t>
      </w:r>
      <w:r>
        <w:rPr>
          <w:b/>
          <w:bCs/>
        </w:rPr>
        <w:t xml:space="preserve"> </w:t>
      </w:r>
      <w:r>
        <w:rPr>
          <w:b/>
          <w:bCs/>
        </w:rP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4">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rPr>
          <w:b/>
          <w:bCs/>
        </w:rPr>
        <w:t xml:space="preserve">Headphones were required for all participants. To ensure compliance, we administered a six-trial headphone screening task adapted from</w:t>
      </w:r>
      <w:r>
        <w:rPr>
          <w:b/>
          <w:bCs/>
        </w:rPr>
        <w:t xml:space="preserve"> </w:t>
      </w:r>
      <w:r>
        <w:rPr>
          <w:b/>
          <w:bCs/>
        </w:rPr>
        <w:t xml:space="preserve">Milne et al. (2021)</w:t>
      </w:r>
      <w:r>
        <w:rPr>
          <w:b/>
          <w:bCs/>
        </w:rPr>
        <w:t xml:space="preserve">, which is available for implementation on the Gorilla platform.</w:t>
      </w:r>
      <w:r>
        <w:t xml:space="preserve"> </w:t>
      </w:r>
      <w:r>
        <w:t xml:space="preserve">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We had participants complete a demographic questionnaire as part of the study. The questions covered basic demographic information, including age, gender, spoken dialect, ethnicity, and race.</w:t>
      </w:r>
      <w:r>
        <w:t xml:space="preserve"> </w:t>
      </w:r>
      <w:r>
        <w:rPr>
          <w:b/>
          <w:bCs/>
        </w:rPr>
        <w:t xml:space="preserve">To gauge L2 experience, we asked participants when they started speaking Spanish, how many years of Spanish speaking experience they had, and to provide, on a scale between 0-100, how often they use Spanish in their daily lives.</w:t>
      </w:r>
    </w:p>
    <w:p>
      <w:pPr>
        <w:pStyle w:val="BodyText"/>
      </w:pPr>
      <w:r>
        <w:rPr>
          <w:b/>
          <w:bCs/>
        </w:rPr>
        <w:t xml:space="preserve">To further probe into data quality issues and get a better sense of why participants could not make it through the experiment,</w:t>
      </w:r>
      <w:r>
        <w:t xml:space="preserve"> </w:t>
      </w:r>
      <w:r>
        <w:t xml:space="preserve">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5"/>
    <w:bookmarkStart w:id="60"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6">
        <w:r>
          <w:rPr>
            <w:rStyle w:val="Hyperlink"/>
          </w:rPr>
          <w:t xml:space="preserve">https://app.gorilla.sc/openmaterials/953693</w:t>
        </w:r>
      </w:hyperlink>
      <w:r>
        <w:t xml:space="preserve">.**</w:t>
      </w:r>
    </w:p>
    <w:p>
      <w:pPr>
        <w:pStyle w:val="BodyText"/>
      </w:pPr>
      <w:r>
        <w:rPr>
          <w:b/>
          <w:bCs/>
        </w:rP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rPr>
          <w:b/>
          <w:bCs/>
        </w:rPr>
        <w:t xml:space="preserve">If the headphone screener was passed, participants were next introduced to the VWP task</w:t>
      </w:r>
      <w:r>
        <w:t xml:space="preserve">. This began with instructional videos providing specific guidance on the ideal experiment setup for eye-tracking and calibration procedures. You can view the videos here:</w:t>
      </w:r>
      <w:r>
        <w:t xml:space="preserve"> </w:t>
      </w:r>
      <w:hyperlink r:id="rId54">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9"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7" name="Picture"/>
            <a:graphic>
              <a:graphicData uri="http://schemas.openxmlformats.org/drawingml/2006/picture">
                <pic:pic>
                  <pic:nvPicPr>
                    <pic:cNvPr descr="Figures/Figure1.pn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p>
    <w:bookmarkEnd w:id="59"/>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0"/>
    <w:bookmarkEnd w:id="61"/>
    <w:bookmarkStart w:id="80"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w:t>
      </w:r>
      <w:r>
        <w:t xml:space="preserve"> </w:t>
      </w:r>
      <w:r>
        <w:rPr>
          <w:b/>
          <w:bCs/>
        </w:rPr>
        <w:t xml:space="preserve">(v. 0.7.1)</w:t>
      </w:r>
      <w:r>
        <w:t xml:space="preserve">.</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5"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3" name="Picture"/>
            <a:graphic>
              <a:graphicData uri="http://schemas.openxmlformats.org/drawingml/2006/picture">
                <pic:pic>
                  <pic:nvPicPr>
                    <pic:cNvPr descr="Figures/preprocessing_fig.png" id="64" name="Picture"/>
                    <pic:cNvPicPr>
                      <a:picLocks noChangeArrowheads="1" noChangeAspect="1"/>
                    </pic:cNvPicPr>
                  </pic:nvPicPr>
                  <pic:blipFill>
                    <a:blip r:embed="rId62"/>
                    <a:stretch>
                      <a:fillRect/>
                    </a:stretch>
                  </pic:blipFill>
                  <pic:spPr bwMode="auto">
                    <a:xfrm>
                      <a:off x="0" y="0"/>
                      <a:ext cx="5943600" cy="6998926"/>
                    </a:xfrm>
                    <a:prstGeom prst="rect">
                      <a:avLst/>
                    </a:prstGeom>
                    <a:noFill/>
                    <a:ln w="9525">
                      <a:noFill/>
                      <a:headEnd/>
                      <a:tailEnd/>
                    </a:ln>
                  </pic:spPr>
                </pic:pic>
              </a:graphicData>
            </a:graphic>
          </wp:inline>
        </w:drawing>
      </w:r>
    </w:p>
    <w:bookmarkEnd w:id="65"/>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6" w:name="load-packages"/>
    <w:p>
      <w:pPr>
        <w:pStyle w:val="Heading3"/>
      </w:pPr>
      <w:r>
        <w:t xml:space="preserve">Load packages</w:t>
      </w:r>
    </w:p>
    <w:p>
      <w:pPr>
        <w:pStyle w:val="Heading5"/>
        <w:rPr>
          <w:vanish/>
          <w:specVanish/>
        </w:rPr>
      </w:pPr>
      <w:r>
        <w:t>Package Installation and Setup.</w:t>
      </w:r>
      <w:r>
        <w:t xml:space="preserve"> </w:t>
      </w:r>
    </w:p>
    <w:p>
      <w:pPr>
        <w:pStyle w:val="FirstParagraph"/>
      </w:pPr>
      <w:r>
        <w:rPr>
          <w:b/>
          <w:bCs/>
        </w:rP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6"/>
    <w:bookmarkStart w:id="78"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rPr>
          <w:b/>
          <w:bCs/>
        </w:rPr>
        <w:t xml:space="preserve">When data is generated from Gorilla, each trial in your experiment is saved as a separate file. To analyze the data, these individual files need to be combined into a single dataset. The</w:t>
      </w:r>
      <w:r>
        <w:rPr>
          <w:b/>
          <w:bCs/>
        </w:rPr>
        <w:t xml:space="preserve"> </w:t>
      </w:r>
      <w:r>
        <w:rPr>
          <w:rStyle w:val="VerbatimChar"/>
          <w:b/>
          <w:bCs/>
        </w:rPr>
        <w:t xml:space="preserve">merge_webcam_files()</w:t>
      </w:r>
      <w:r>
        <w:rPr>
          <w:b/>
          <w:bCs/>
        </w:rPr>
        <w:t xml:space="preserve"> </w:t>
      </w:r>
      <w:r>
        <w:rPr>
          <w:b/>
          <w:bCs/>
        </w:rPr>
        <w:t xml:space="preserve">function from</w:t>
      </w:r>
      <w:r>
        <w:t xml:space="preserve"> </w:t>
      </w:r>
      <w:r>
        <w:t xml:space="preserve">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rPr>
          <w:b/>
          <w:bCs/>
        </w:rPr>
        <w:t xml:space="preserve">In addition to merging and filtering,</w:t>
      </w:r>
      <w:r>
        <w:rPr>
          <w:b/>
          <w:bCs/>
        </w:rPr>
        <w:t xml:space="preserve"> </w:t>
      </w:r>
      <w:r>
        <w:rPr>
          <w:rStyle w:val="VerbatimChar"/>
          <w:b/>
          <w:bCs/>
        </w:rPr>
        <w:t xml:space="preserve">merge_webcam_files()</w:t>
      </w:r>
      <w:r>
        <w:rPr>
          <w:b/>
          <w:bCs/>
        </w:rPr>
        <w:t xml:space="preserve"> </w:t>
      </w:r>
      <w:r>
        <w:rPr>
          <w:b/>
          <w:bCs/>
        </w:rP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rPr>
          <w:b/>
          <w:bCs/>
        </w:rPr>
        <w:t xml:space="preserve">Currently, the kind argument supports</w:t>
      </w:r>
      <w:r>
        <w:rPr>
          <w:b/>
          <w:bCs/>
        </w:rPr>
        <w:t xml:space="preserve"> </w:t>
      </w:r>
      <w:r>
        <w:rPr>
          <w:b/>
          <w:bCs/>
        </w:rPr>
        <w:t xml:space="preserve">“gorilla”</w:t>
      </w:r>
      <w:r>
        <w:rPr>
          <w:b/>
          <w:bCs/>
        </w:rPr>
        <w:t xml:space="preserve"> </w:t>
      </w:r>
      <w:r>
        <w:rPr>
          <w:b/>
          <w:bCs/>
        </w:rPr>
        <w:t xml:space="preserve">data, but future extensions will add support for other platforms like</w:t>
      </w:r>
      <w:r>
        <w:t xml:space="preserve"> </w:t>
      </w:r>
      <w:r>
        <w:t xml:space="preserve">Labvanced**</w:t>
      </w:r>
      <w:r>
        <w:t xml:space="preserve"> </w:t>
      </w:r>
      <w:r>
        <w:t xml:space="preserve">(Kaduk et al., 2024)</w:t>
      </w:r>
      <w:r>
        <w:t xml:space="preserve">,</w:t>
      </w:r>
      <w:r>
        <w:t xml:space="preserve"> </w:t>
      </w:r>
      <w:r>
        <w:rPr>
          <w:b/>
          <w:bCs/>
        </w:rPr>
        <w:t xml:space="preserve">PsychoPy</w:t>
      </w:r>
      <w:r>
        <w:t xml:space="preserve"> </w:t>
      </w:r>
      <w:r>
        <w:t xml:space="preserve">(Peirce et al., 2019)</w:t>
      </w:r>
      <w:r>
        <w:t xml:space="preserve">, and</w:t>
      </w:r>
      <w:r>
        <w:t xml:space="preserve"> </w:t>
      </w:r>
      <w:r>
        <w:rPr>
          <w:b/>
          <w:bCs/>
        </w:rPr>
        <w:t xml:space="preserve">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rPr>
          <w:b/>
          <w:bCs/>
        </w:rPr>
        <w:t xml:space="preserve">Successful calibration is critical for reliable eye-tracking measurements, as poor calibration directly compromises the spatial accuracy of gaze data</w:t>
      </w:r>
      <w:r>
        <w:rPr>
          <w:b/>
          <w:bCs/>
        </w:rPr>
        <w:t xml:space="preserve"> </w:t>
      </w:r>
      <w:r>
        <w:rPr>
          <w:b/>
          <w:bCs/>
        </w:rPr>
        <w:t xml:space="preserve">(Blascheck et al., 2017)</w:t>
      </w:r>
      <w:r>
        <w:rPr>
          <w:b/>
          <w:bCs/>
        </w:rPr>
        <w:t xml:space="preserve">. Requiring a sufficient number of completed trials is crucial for ensuring adequate statistical power and stable individual-level parameter estimates, particularly in tasks with high trial-to-trial variability</w:t>
      </w:r>
      <w:r>
        <w:rPr>
          <w:b/>
          <w:bCs/>
        </w:rPr>
        <w:t xml:space="preserve"> </w:t>
      </w:r>
      <w:r>
        <w:rPr>
          <w:b/>
          <w:bCs/>
        </w:rPr>
        <w:t xml:space="preserve">(Brysbaert &amp; Stevens, 2018)</w:t>
      </w:r>
      <w:r>
        <w:rPr>
          <w:b/>
          <w:bCs/>
        </w:rP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rPr>
          <w:b/>
          <w:bCs/>
        </w:rPr>
        <w:t xml:space="preserve"> </w:t>
      </w:r>
      <w:r>
        <w:rPr>
          <w:b/>
          <w:bCs/>
        </w:rPr>
        <w:t xml:space="preserve">(Bianco et al., 2021)</w:t>
      </w:r>
      <w:r>
        <w:rPr>
          <w:b/>
          <w:bCs/>
        </w:rPr>
        <w:t xml:space="preserve">. Filtering based on sampling rate ensures that datasets with too few gaze samples (due to technical or environmental issues) are removed, as low sampling rates significantly degrade temporal precision and bias gaze metrics</w:t>
      </w:r>
      <w:r>
        <w:rPr>
          <w:b/>
          <w:bCs/>
        </w:rPr>
        <w:t xml:space="preserve"> </w:t>
      </w:r>
      <w:r>
        <w:rPr>
          <w:b/>
          <w:bCs/>
        </w:rPr>
        <w:t xml:space="preserve">(</w:t>
      </w:r>
      <w:r>
        <w:rPr>
          <w:b/>
          <w:b/>
          <w:bCs/>
          <w:bCs/>
        </w:rPr>
        <w:t xml:space="preserve">semmlmann2018?</w:t>
      </w:r>
      <w:r>
        <w:rPr>
          <w:b/>
          <w:bCs/>
        </w:rPr>
        <w:t xml:space="preserve">)</w:t>
      </w:r>
      <w:r>
        <w:rPr>
          <w:b/>
          <w:bCs/>
        </w:rP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rPr>
          <w:b/>
          <w:bCs/>
        </w:rPr>
        <w:t xml:space="preserve">What we will do first is create a cleaned up version of our behavioral, trial-level data</w:t>
      </w:r>
      <w:r>
        <w:rPr>
          <w:b/>
          <w:bCs/>
        </w:rPr>
        <w:t xml:space="preserve"> </w:t>
      </w:r>
      <w:r>
        <w:rPr>
          <w:rStyle w:val="VerbatimChar"/>
          <w:b/>
          <w:bCs/>
        </w:rPr>
        <w:t xml:space="preserve">L2_data</w:t>
      </w:r>
      <w:r>
        <w:rPr>
          <w:b/>
          <w:bCs/>
        </w:rPr>
        <w:t xml:space="preserve"> </w:t>
      </w:r>
      <w:r>
        <w:rPr>
          <w:b/>
          <w:bCs/>
        </w:rPr>
        <w:t xml:space="preserve">by creating an object named</w:t>
      </w:r>
      <w:r>
        <w:rPr>
          <w:b/>
          <w:bCs/>
        </w:rPr>
        <w:t xml:space="preserve"> </w:t>
      </w:r>
      <w:r>
        <w:rPr>
          <w:rStyle w:val="VerbatimChar"/>
          <w:b/>
          <w:bCs/>
        </w:rPr>
        <w:t xml:space="preserve">eye_behav_L2</w:t>
      </w:r>
      <w:r>
        <w:rPr>
          <w:b/>
          <w:bCs/>
        </w:rPr>
        <w:t xml:space="preserve"> </w:t>
      </w:r>
      <w:r>
        <w:rPr>
          <w:b/>
          <w:bCs/>
        </w:rP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rPr>
          <w:b/>
          <w:bCs/>
        </w:rPr>
        <w:t xml:space="preserve"> </w:t>
      </w:r>
      <w:r>
        <w:rPr>
          <w:rStyle w:val="VerbatimChar"/>
          <w:b/>
          <w:bCs/>
        </w:rPr>
        <w:t xml:space="preserve">L2_data</w:t>
      </w:r>
      <w:r>
        <w:rPr>
          <w:b/>
          <w:bCs/>
        </w:rPr>
        <w:t xml:space="preserve"> </w:t>
      </w:r>
      <w:r>
        <w:rPr>
          <w:b/>
          <w:bCs/>
        </w:rPr>
        <w:t xml:space="preserve">dataset into a cleaned and structured format for further analysis. First, the code renames several columns for easier access using</w:t>
      </w:r>
      <w:r>
        <w:rPr>
          <w:b/>
          <w:bCs/>
        </w:rPr>
        <w:t xml:space="preserve"> </w:t>
      </w:r>
      <w:r>
        <w:rPr>
          <w:rStyle w:val="VerbatimChar"/>
          <w:b/>
          <w:bCs/>
        </w:rPr>
        <w:t xml:space="preserve">janitor::clean_names()</w:t>
      </w:r>
      <w:r>
        <w:rPr>
          <w:b/>
          <w:bCs/>
        </w:rPr>
        <w:t xml:space="preserve">(Firke, 2023)</w:t>
      </w:r>
      <w:r>
        <w:rPr>
          <w:b/>
          <w:bCs/>
        </w:rPr>
        <w:t xml:space="preserve"> </w:t>
      </w:r>
      <w:r>
        <w:rPr>
          <w:b/>
          <w:bCs/>
        </w:rPr>
        <w:t xml:space="preserve">function. We then select only the columns we need and filter the dataset to include only rows where</w:t>
      </w:r>
      <w:r>
        <w:rPr>
          <w:b/>
          <w:bCs/>
        </w:rPr>
        <w:t xml:space="preserve"> </w:t>
      </w:r>
      <w:r>
        <w:rPr>
          <w:rStyle w:val="VerbatimChar"/>
          <w:b/>
          <w:bCs/>
        </w:rPr>
        <w:t xml:space="preserve">screen_name</w:t>
      </w:r>
      <w:r>
        <w:rPr>
          <w:b/>
          <w:bCs/>
        </w:rPr>
        <w:t xml:space="preserve"> </w:t>
      </w:r>
      <w:r>
        <w:rPr>
          <w:b/>
          <w:bCs/>
        </w:rPr>
        <w:t xml:space="preserve">is</w:t>
      </w:r>
      <w:r>
        <w:rPr>
          <w:b/>
          <w:bCs/>
        </w:rPr>
        <w:t xml:space="preserve"> </w:t>
      </w:r>
      <w:r>
        <w:rPr>
          <w:b/>
          <w:bCs/>
        </w:rPr>
        <w:t xml:space="preserve">“VWP”</w:t>
      </w:r>
      <w:r>
        <w:rPr>
          <w:b/>
          <w:bCs/>
        </w:rPr>
        <w:t xml:space="preserve"> </w:t>
      </w:r>
      <w:r>
        <w:rPr>
          <w:b/>
          <w:bCs/>
        </w:rPr>
        <w:t xml:space="preserve">and</w:t>
      </w:r>
      <w:r>
        <w:rPr>
          <w:b/>
          <w:bCs/>
        </w:rPr>
        <w:t xml:space="preserve"> </w:t>
      </w:r>
      <w:r>
        <w:rPr>
          <w:rStyle w:val="VerbatimChar"/>
          <w:b/>
          <w:bCs/>
        </w:rPr>
        <w:t xml:space="preserve">zone_type</w:t>
      </w:r>
      <w:r>
        <w:rPr>
          <w:b/>
          <w:bCs/>
        </w:rPr>
        <w:t xml:space="preserve"> </w:t>
      </w:r>
      <w:r>
        <w:rPr>
          <w:b/>
          <w:bCs/>
        </w:rPr>
        <w:t xml:space="preserve">is called</w:t>
      </w:r>
      <w:r>
        <w:rPr>
          <w:b/>
          <w:bCs/>
        </w:rPr>
        <w:t xml:space="preserve"> </w:t>
      </w:r>
      <w:r>
        <w:rPr>
          <w:b/>
          <w:bCs/>
        </w:rPr>
        <w:t xml:space="preserve">“response_button_image”</w:t>
      </w:r>
      <w:r>
        <w:rPr>
          <w:b/>
          <w:bCs/>
        </w:rPr>
        <w:t xml:space="preserve">, representing the picture selected for that trial. Afterward, the function renames additional columns (</w:t>
      </w:r>
      <w:r>
        <w:rPr>
          <w:rStyle w:val="VerbatimChar"/>
          <w:b/>
          <w:bCs/>
        </w:rPr>
        <w:t xml:space="preserve">tlpic</w:t>
      </w:r>
      <w:r>
        <w:rPr>
          <w:b/>
          <w:bCs/>
        </w:rPr>
        <w:t xml:space="preserve"> </w:t>
      </w:r>
      <w:r>
        <w:rPr>
          <w:b/>
          <w:bCs/>
        </w:rPr>
        <w:t xml:space="preserve">to</w:t>
      </w:r>
      <w:r>
        <w:rPr>
          <w:b/>
          <w:bCs/>
        </w:rPr>
        <w:t xml:space="preserve"> </w:t>
      </w:r>
      <w:r>
        <w:rPr>
          <w:rStyle w:val="VerbatimChar"/>
          <w:b/>
          <w:bCs/>
        </w:rPr>
        <w:t xml:space="preserve">TL</w:t>
      </w:r>
      <w:r>
        <w:rPr>
          <w:b/>
          <w:bCs/>
        </w:rPr>
        <w:t xml:space="preserve">,</w:t>
      </w:r>
      <w:r>
        <w:rPr>
          <w:b/>
          <w:bCs/>
        </w:rPr>
        <w:t xml:space="preserve"> </w:t>
      </w:r>
      <w:r>
        <w:rPr>
          <w:rStyle w:val="VerbatimChar"/>
          <w:b/>
          <w:bCs/>
        </w:rPr>
        <w:t xml:space="preserve">trpic</w:t>
      </w:r>
      <w:r>
        <w:rPr>
          <w:b/>
          <w:bCs/>
        </w:rPr>
        <w:t xml:space="preserve"> </w:t>
      </w:r>
      <w:r>
        <w:rPr>
          <w:b/>
          <w:bCs/>
        </w:rPr>
        <w:t xml:space="preserve">to</w:t>
      </w:r>
      <w:r>
        <w:rPr>
          <w:b/>
          <w:bCs/>
        </w:rPr>
        <w:t xml:space="preserve"> </w:t>
      </w:r>
      <w:r>
        <w:rPr>
          <w:rStyle w:val="VerbatimChar"/>
          <w:b/>
          <w:bCs/>
        </w:rPr>
        <w:t xml:space="preserve">TR</w:t>
      </w:r>
      <w:r>
        <w:rPr>
          <w:b/>
          <w:bCs/>
        </w:rPr>
        <w:t xml:space="preserve">, etc.). We also renamed</w:t>
      </w:r>
      <w:r>
        <w:rPr>
          <w:b/>
          <w:bCs/>
        </w:rPr>
        <w:t xml:space="preserve"> </w:t>
      </w:r>
      <w:r>
        <w:rPr>
          <w:rStyle w:val="VerbatimChar"/>
          <w:b/>
          <w:bCs/>
        </w:rPr>
        <w:t xml:space="preserve">participant_private_id</w:t>
      </w:r>
      <w:r>
        <w:rPr>
          <w:b/>
          <w:bCs/>
        </w:rPr>
        <w:t xml:space="preserve"> </w:t>
      </w:r>
      <w:r>
        <w:rPr>
          <w:b/>
          <w:bCs/>
        </w:rPr>
        <w:t xml:space="preserve">to</w:t>
      </w:r>
      <w:r>
        <w:rPr>
          <w:b/>
          <w:bCs/>
        </w:rPr>
        <w:t xml:space="preserve"> </w:t>
      </w:r>
      <w:r>
        <w:rPr>
          <w:rStyle w:val="VerbatimChar"/>
          <w:b/>
          <w:bCs/>
        </w:rPr>
        <w:t xml:space="preserve">subject</w:t>
      </w:r>
      <w:r>
        <w:rPr>
          <w:b/>
          <w:bCs/>
        </w:rPr>
        <w:t xml:space="preserve">,</w:t>
      </w:r>
      <w:r>
        <w:rPr>
          <w:b/>
          <w:bCs/>
        </w:rPr>
        <w:t xml:space="preserve"> </w:t>
      </w:r>
      <w:r>
        <w:rPr>
          <w:rStyle w:val="VerbatimChar"/>
          <w:b/>
          <w:bCs/>
        </w:rPr>
        <w:t xml:space="preserve">spreadsheet_row</w:t>
      </w:r>
      <w:r>
        <w:rPr>
          <w:b/>
          <w:bCs/>
        </w:rPr>
        <w:t xml:space="preserve"> </w:t>
      </w:r>
      <w:r>
        <w:rPr>
          <w:b/>
          <w:bCs/>
        </w:rPr>
        <w:t xml:space="preserve">to</w:t>
      </w:r>
      <w:r>
        <w:rPr>
          <w:b/>
          <w:bCs/>
        </w:rPr>
        <w:t xml:space="preserve"> </w:t>
      </w:r>
      <w:r>
        <w:rPr>
          <w:rStyle w:val="VerbatimChar"/>
          <w:b/>
          <w:bCs/>
        </w:rPr>
        <w:t xml:space="preserve">trial</w:t>
      </w:r>
      <w:r>
        <w:rPr>
          <w:b/>
          <w:bCs/>
        </w:rPr>
        <w:t xml:space="preserve">, and</w:t>
      </w:r>
      <w:r>
        <w:rPr>
          <w:b/>
          <w:bCs/>
        </w:rPr>
        <w:t xml:space="preserve"> </w:t>
      </w:r>
      <w:r>
        <w:rPr>
          <w:rStyle w:val="VerbatimChar"/>
          <w:b/>
          <w:bCs/>
        </w:rPr>
        <w:t xml:space="preserve">reaction_time</w:t>
      </w:r>
      <w:r>
        <w:rPr>
          <w:b/>
          <w:bCs/>
        </w:rPr>
        <w:t xml:space="preserve"> </w:t>
      </w:r>
      <w:r>
        <w:rPr>
          <w:b/>
          <w:bCs/>
        </w:rPr>
        <w:t xml:space="preserve">to</w:t>
      </w:r>
      <w:r>
        <w:rPr>
          <w:b/>
          <w:bCs/>
        </w:rPr>
        <w:t xml:space="preserve"> </w:t>
      </w:r>
      <w:r>
        <w:rPr>
          <w:rStyle w:val="VerbatimChar"/>
          <w:b/>
          <w:bCs/>
        </w:rPr>
        <w:t xml:space="preserve">RT</w:t>
      </w:r>
      <w:r>
        <w:rPr>
          <w:b/>
          <w:bCs/>
        </w:rPr>
        <w:t xml:space="preserve">. This makes our columns consistent with the</w:t>
      </w:r>
      <w:r>
        <w:rPr>
          <w:b/>
          <w:bCs/>
        </w:rPr>
        <w:t xml:space="preserve"> </w:t>
      </w:r>
      <w:r>
        <w:rPr>
          <w:rStyle w:val="VerbatimChar"/>
          <w:b/>
          <w:bCs/>
        </w:rPr>
        <w:t xml:space="preserve">edat_L2</w:t>
      </w:r>
      <w:r>
        <w:rPr>
          <w:b/>
          <w:bCs/>
        </w:rPr>
        <w:t xml:space="preserve"> </w:t>
      </w:r>
      <w:r>
        <w:rPr>
          <w:b/>
          <w:bCs/>
        </w:rPr>
        <w:t xml:space="preserve">above for merging later on. Lastly,</w:t>
      </w:r>
      <w:r>
        <w:rPr>
          <w:b/>
          <w:bCs/>
        </w:rPr>
        <w:t xml:space="preserve"> </w:t>
      </w:r>
      <w:r>
        <w:rPr>
          <w:rStyle w:val="VerbatimChar"/>
          <w:b/>
          <w:bCs/>
        </w:rPr>
        <w:t xml:space="preserve">reaction time</w:t>
      </w:r>
      <w:r>
        <w:rPr>
          <w:b/>
          <w:bCs/>
        </w:rPr>
        <w:t xml:space="preserve"> </w:t>
      </w:r>
      <w:r>
        <w:rPr>
          <w:b/>
          <w:bCs/>
        </w:rP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7">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w:t>
      </w:r>
      <w:r>
        <w:t xml:space="preserve"> </w:t>
      </w:r>
      <w:r>
        <w:rPr>
          <w:b/>
          <w:bCs/>
        </w:rPr>
        <w:t xml:space="preserve">Sampling rate calculations followed standard procedures</w:t>
      </w:r>
      <w:r>
        <w:rPr>
          <w:b/>
          <w:bCs/>
        </w:rPr>
        <w:t xml:space="preserve"> </w:t>
      </w:r>
      <w:r>
        <w:rPr>
          <w:b/>
          <w:bCs/>
        </w:rP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revised1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rPr>
          <w:b/>
          <w:bCs/>
        </w:rPr>
        <w:t xml:space="preserve">It is essential to exclude gaze points that fall outside the screen, as these indicate unreliable estimates of gaze location. The</w:t>
      </w:r>
      <w:r>
        <w:rPr>
          <w:b/>
          <w:bCs/>
        </w:rPr>
        <w:t xml:space="preserve"> </w:t>
      </w:r>
      <w:r>
        <w:rPr>
          <w:rStyle w:val="VerbatimChar"/>
          <w:b/>
          <w:bCs/>
        </w:rPr>
        <w:t xml:space="preserve">gaze_oob()</w:t>
      </w:r>
      <w:r>
        <w:rPr>
          <w:b/>
          <w:bCs/>
        </w:rPr>
        <w:t xml:space="preserve">function quantifies how many data points fall outside these bounds, using the eye-tracking dataset (e.g., edat_L2) and the standardized screen dimensions—here set to (1, 1) because Gorilla recommends using standardized coordinates. If the</w:t>
      </w:r>
      <w:r>
        <w:rPr>
          <w:b/>
          <w:bCs/>
        </w:rPr>
        <w:t xml:space="preserve"> </w:t>
      </w:r>
      <w:r>
        <w:rPr>
          <w:rStyle w:val="VerbatimChar"/>
          <w:b/>
          <w:bCs/>
        </w:rPr>
        <w:t xml:space="preserve">remove</w:t>
      </w:r>
      <w:r>
        <w:rPr>
          <w:b/>
          <w:bCs/>
        </w:rPr>
        <w:t xml:space="preserve"> </w:t>
      </w:r>
      <w:r>
        <w:rPr>
          <w:b/>
          <w:bCs/>
        </w:rPr>
        <w:t xml:space="preserve">argument is set to TRUE, the function applies an outer-edge filtering method to eliminate these out-of-bounds points</w:t>
      </w:r>
      <w:r>
        <w:rPr>
          <w:b/>
          <w:bCs/>
        </w:rPr>
        <w:t xml:space="preserve"> </w:t>
      </w:r>
      <w:r>
        <w:rPr>
          <w:b/>
          <w:bCs/>
        </w:rPr>
        <w:t xml:space="preserve">(see Bramlett &amp; Wiener, 2024)</w:t>
      </w:r>
      <w:r>
        <w:rPr>
          <w:b/>
          <w:bCs/>
        </w:rPr>
        <w:t xml:space="preserve">. The outer-edge approach appears to be a less biased approach based on demonstrations from</w:t>
      </w:r>
      <w:r>
        <w:rPr>
          <w:b/>
          <w:bCs/>
        </w:rPr>
        <w:t xml:space="preserve"> </w:t>
      </w:r>
      <w:r>
        <w:rPr>
          <w:b/>
          <w:bCs/>
        </w:rPr>
        <w:t xml:space="preserve">Bramlett and Wiener (2024)</w:t>
      </w:r>
      <w:r>
        <w:rPr>
          <w:b/>
          <w:bCs/>
        </w:rP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w:t>
      </w:r>
      <w:r>
        <w:t xml:space="preserve"> </w:t>
      </w:r>
      <w:r>
        <w:rPr>
          <w:b/>
          <w:bCs/>
        </w:rPr>
        <w:t xml:space="preserve">As shown in</w:t>
      </w:r>
      <w:r>
        <w:rPr>
          <w:b/>
          <w:bCs/>
        </w:rPr>
        <w:t xml:space="preserve"> </w:t>
      </w:r>
      <w:hyperlink w:anchor="fig-fixquads">
        <w:r>
          <w:rPr>
            <w:rStyle w:val="Hyperlink"/>
            <w:b/>
            <w:bCs/>
          </w:rPr>
          <w:t xml:space="preserve">Figure 5</w:t>
        </w:r>
      </w:hyperlink>
      <w:r>
        <w:rPr>
          <w:b/>
          <w:bCs/>
        </w:rP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bookmarkStart w:id="73" w:name="tbl-oob-L2"/>
    <w:p>
      <w:pPr>
        <w:pStyle w:val="FigureTitle"/>
      </w:pPr>
      <w:r>
        <w:t xml:space="preserve">Table 3</w:t>
      </w:r>
    </w:p>
    <w:p>
      <w:pPr>
        <w:pStyle w:val="Caption"/>
      </w:pPr>
      <w:r>
        <w:t xml:space="preserve">Out of bounds gaze statistics by-participant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bookmarkStart w:id="77"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75" name="Picture"/>
            <a:graphic>
              <a:graphicData uri="http://schemas.openxmlformats.org/drawingml/2006/picture">
                <pic:pic>
                  <pic:nvPicPr>
                    <pic:cNvPr descr="L2_VWP_webcam_ET_revised1_files/figure-docx/fig-fixquad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bookmarkEnd w:id="77"/>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78"/>
    <w:bookmarkStart w:id="79"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rPr>
          <w:b/>
          <w:bCs/>
        </w:rPr>
        <w:t xml:space="preserve">To ensure data quality, we removed rows with poor convergence and low face confidence from our eye-tracking dataset. The Gorilla eye-tracking output includes two key columns for this purpose:</w:t>
      </w:r>
      <w:r>
        <w:rPr>
          <w:b/>
          <w:bCs/>
        </w:rPr>
        <w:t xml:space="preserve"> </w:t>
      </w:r>
      <w:r>
        <w:rPr>
          <w:rStyle w:val="VerbatimChar"/>
          <w:b/>
          <w:bCs/>
        </w:rPr>
        <w:t xml:space="preserve">convergence</w:t>
      </w:r>
      <w:r>
        <w:rPr>
          <w:b/>
          <w:bCs/>
        </w:rPr>
        <w:t xml:space="preserve"> </w:t>
      </w:r>
      <w:r>
        <w:rPr>
          <w:b/>
          <w:bCs/>
        </w:rPr>
        <w:t xml:space="preserve">and</w:t>
      </w:r>
      <w:r>
        <w:rPr>
          <w:b/>
          <w:bCs/>
        </w:rPr>
        <w:t xml:space="preserve"> </w:t>
      </w:r>
      <w:r>
        <w:rPr>
          <w:rStyle w:val="VerbatimChar"/>
          <w:b/>
          <w:bCs/>
        </w:rPr>
        <w:t xml:space="preserve">face_conf</w:t>
      </w:r>
      <w:r>
        <w:rPr>
          <w:b/>
          <w:bCs/>
        </w:rPr>
        <w:t xml:space="preserve"> </w:t>
      </w:r>
      <w:r>
        <w:rPr>
          <w:b/>
          <w:bCs/>
        </w:rPr>
        <w:t xml:space="preserve">(similar variables may be available in other platforms as well). The</w:t>
      </w:r>
      <w:r>
        <w:rPr>
          <w:b/>
          <w:bCs/>
        </w:rPr>
        <w:t xml:space="preserve"> </w:t>
      </w:r>
      <w:r>
        <w:rPr>
          <w:rStyle w:val="VerbatimChar"/>
          <w:b/>
          <w:bCs/>
        </w:rPr>
        <w:t xml:space="preserve">convergence</w:t>
      </w:r>
      <w:r>
        <w:rPr>
          <w:b/>
          <w:bCs/>
        </w:rPr>
        <w:t xml:space="preserve"> </w:t>
      </w:r>
      <w:r>
        <w:rPr>
          <w:b/>
          <w:bCs/>
        </w:rPr>
        <w:t xml:space="preserve">column contains values between 0 and 1, with lower values indicating better convergence—that is, greater model confidence in predicting gaze location and finding a face. Values below 0.5 typically reflect adequate convergence. The</w:t>
      </w:r>
      <w:r>
        <w:rPr>
          <w:b/>
          <w:bCs/>
        </w:rPr>
        <w:t xml:space="preserve"> </w:t>
      </w:r>
      <w:r>
        <w:rPr>
          <w:rStyle w:val="VerbatimChar"/>
          <w:b/>
          <w:bCs/>
        </w:rPr>
        <w:t xml:space="preserve">face_conf</w:t>
      </w:r>
      <w:r>
        <w:rPr>
          <w:b/>
          <w:bCs/>
        </w:rPr>
        <w:t xml:space="preserve"> </w:t>
      </w:r>
      <w:r>
        <w:rPr>
          <w:b/>
          <w:bCs/>
        </w:rPr>
        <w:t xml:space="preserve">column reflects how confidently the algorithm detected a face in the frame, also ranging from 0 to 1. Here, values above 0.5 indicate a good model fit.</w:t>
      </w:r>
    </w:p>
    <w:p>
      <w:pPr>
        <w:pStyle w:val="BodyText"/>
      </w:pPr>
      <w:r>
        <w:rPr>
          <w:b/>
          <w:bCs/>
        </w:rPr>
        <w:t xml:space="preserve">Accordingly, we filtered the</w:t>
      </w:r>
      <w:r>
        <w:rPr>
          <w:b/>
          <w:bCs/>
        </w:rPr>
        <w:t xml:space="preserve"> </w:t>
      </w:r>
      <w:r>
        <w:rPr>
          <w:rStyle w:val="VerbatimChar"/>
          <w:b/>
          <w:bCs/>
        </w:rPr>
        <w:t xml:space="preserve">edat_L2</w:t>
      </w:r>
      <w:r>
        <w:rPr>
          <w:b/>
          <w:bCs/>
        </w:rP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79"/>
    <w:bookmarkEnd w:id="80"/>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81"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81"/>
    <w:bookmarkStart w:id="85"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revised1_files/figure-docx/fig-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86"/>
    <w:bookmarkEnd w:id="87"/>
    <w:bookmarkStart w:id="91"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Start w:id="90" w:name="upsampling"/>
    <w:p>
      <w:pPr>
        <w:pStyle w:val="Heading3"/>
      </w:pPr>
      <w:r>
        <w:t xml:space="preserve">Upsampling</w:t>
      </w:r>
    </w:p>
    <w:p>
      <w:pPr>
        <w:pStyle w:val="FirstParagraph"/>
      </w:pPr>
      <w:r>
        <w:rPr>
          <w:b/>
          <w:bCs/>
        </w:rPr>
        <w:t xml:space="preserve">Users may wish to upsample their data rather than downsample it. This is standard in some preprocessing pipelines in pupillometry</w:t>
      </w:r>
      <w:r>
        <w:rPr>
          <w:b/>
          <w:bCs/>
        </w:rPr>
        <w:t xml:space="preserve"> </w:t>
      </w:r>
      <w:r>
        <w:rPr>
          <w:b/>
          <w:bCs/>
        </w:rPr>
        <w:t xml:space="preserve">(Kret &amp; Sjak-Shie, 2018)</w:t>
      </w:r>
      <w:r>
        <w:rPr>
          <w:b/>
          <w:bCs/>
        </w:rPr>
        <w:t xml:space="preserve"> </w:t>
      </w:r>
      <w:r>
        <w:rPr>
          <w:b/>
          <w:bCs/>
        </w:rPr>
        <w:t xml:space="preserve">and has recently been applied to webcam-based eye-tracking data</w:t>
      </w:r>
      <w:r>
        <w:rPr>
          <w:b/>
          <w:bCs/>
        </w:rPr>
        <w:t xml:space="preserve"> </w:t>
      </w:r>
      <w:r>
        <w:rPr>
          <w:b/>
          <w:bCs/>
        </w:rPr>
        <w:t xml:space="preserve">(Madsen et al., 2021)</w:t>
      </w:r>
      <w:r>
        <w:rPr>
          <w:b/>
          <w:bCs/>
        </w:rP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rPr>
          <w:b/>
          <w:bCs/>
        </w:rPr>
        <w:t xml:space="preserve">Our webgazeR package provides several functions to assist with this process. The</w:t>
      </w:r>
      <w:r>
        <w:rPr>
          <w:b/>
          <w:bCs/>
        </w:rPr>
        <w:t xml:space="preserve"> </w:t>
      </w:r>
      <w:r>
        <w:rPr>
          <w:rStyle w:val="VerbatimChar"/>
          <w:b/>
          <w:bCs/>
        </w:rPr>
        <w:t xml:space="preserve">upsample_gaze()</w:t>
      </w:r>
      <w:r>
        <w:rPr>
          <w:b/>
          <w:bCs/>
        </w:rPr>
        <w:t xml:space="preserve"> </w:t>
      </w:r>
      <w:r>
        <w:rPr>
          <w:b/>
          <w:bCs/>
        </w:rPr>
        <w:t xml:space="preserve">function allows users to upsample their gaze data to a higher sampling rate (e.g., 250 Hz or even 1000 Hz). After upsampling, users can apply the</w:t>
      </w:r>
      <w:r>
        <w:rPr>
          <w:b/>
          <w:bCs/>
        </w:rPr>
        <w:t xml:space="preserve"> </w:t>
      </w:r>
      <w:r>
        <w:rPr>
          <w:rStyle w:val="VerbatimChar"/>
          <w:b/>
          <w:bCs/>
        </w:rPr>
        <w:t xml:space="preserve">smooth_gaze()</w:t>
      </w:r>
      <w:r>
        <w:rPr>
          <w:b/>
          <w:bCs/>
        </w:rPr>
        <w:t xml:space="preserve"> </w:t>
      </w:r>
      <w:r>
        <w:rPr>
          <w:b/>
          <w:bCs/>
        </w:rPr>
        <w:t xml:space="preserve">function to reduce noise (</w:t>
      </w:r>
      <w:r>
        <w:rPr>
          <w:rStyle w:val="VerbatimChar"/>
          <w:b/>
          <w:bCs/>
        </w:rPr>
        <w:t xml:space="preserve">webgazeR</w:t>
      </w:r>
      <w:r>
        <w:rPr>
          <w:b/>
          <w:bCs/>
        </w:rPr>
        <w:t xml:space="preserve"> </w:t>
      </w:r>
      <w:r>
        <w:rPr>
          <w:b/>
          <w:bCs/>
        </w:rPr>
        <w:t xml:space="preserve">uses a n-point moving average) followed by the</w:t>
      </w:r>
      <w:r>
        <w:rPr>
          <w:b/>
          <w:bCs/>
        </w:rPr>
        <w:t xml:space="preserve"> </w:t>
      </w:r>
      <w:r>
        <w:rPr>
          <w:rStyle w:val="VerbatimChar"/>
          <w:b/>
          <w:bCs/>
        </w:rPr>
        <w:t xml:space="preserve">interpolate_gaze()</w:t>
      </w:r>
      <w:r>
        <w:rPr>
          <w:b/>
          <w:bCs/>
        </w:rPr>
        <w:t xml:space="preserve"> </w:t>
      </w:r>
      <w:r>
        <w:rPr>
          <w:b/>
          <w:bCs/>
        </w:rP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90"/>
    <w:bookmarkEnd w:id="91"/>
    <w:bookmarkStart w:id="92"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2"/>
    <w:bookmarkStart w:id="97"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6"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4" name="Picture"/>
            <a:graphic>
              <a:graphicData uri="http://schemas.openxmlformats.org/drawingml/2006/picture">
                <pic:pic>
                  <pic:nvPicPr>
                    <pic:cNvPr descr="L2_VWP_webcam_ET_revised1_files/figure-docx/fig-L2comp-1.png" id="95" name="Picture"/>
                    <pic:cNvPicPr>
                      <a:picLocks noChangeArrowheads="1" noChangeAspect="1"/>
                    </pic:cNvPicPr>
                  </pic:nvPicPr>
                  <pic:blipFill>
                    <a:blip r:embed="rId93"/>
                    <a:stretch>
                      <a:fillRect/>
                    </a:stretch>
                  </pic:blipFill>
                  <pic:spPr bwMode="auto">
                    <a:xfrm>
                      <a:off x="0" y="0"/>
                      <a:ext cx="5943600" cy="3219450"/>
                    </a:xfrm>
                    <a:prstGeom prst="rect">
                      <a:avLst/>
                    </a:prstGeom>
                    <a:noFill/>
                    <a:ln w="9525">
                      <a:noFill/>
                      <a:headEnd/>
                      <a:tailEnd/>
                    </a:ln>
                  </pic:spPr>
                </pic:pic>
              </a:graphicData>
            </a:graphic>
          </wp:inline>
        </w:drawing>
      </w:r>
    </w:p>
    <w:bookmarkEnd w:id="96"/>
    <w:bookmarkEnd w:id="97"/>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8"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8"/>
    <w:bookmarkStart w:id="102"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100" name="Picture"/>
            <a:graphic>
              <a:graphicData uri="http://schemas.openxmlformats.org/drawingml/2006/picture">
                <pic:pic>
                  <pic:nvPicPr>
                    <pic:cNvPr descr="L2_VWP_webcam_ET_revised1_files/figure-docx/fig-gor-L2-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06"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4" name="Picture"/>
            <a:graphic>
              <a:graphicData uri="http://schemas.openxmlformats.org/drawingml/2006/picture">
                <pic:pic>
                  <pic:nvPicPr>
                    <pic:cNvPr descr="L2_VWP_webcam_ET_revised1_files/figure-docx/fig-L2comp-gor-1.png" id="105" name="Picture"/>
                    <pic:cNvPicPr>
                      <a:picLocks noChangeArrowheads="1" noChangeAspect="1"/>
                    </pic:cNvPicPr>
                  </pic:nvPicPr>
                  <pic:blipFill>
                    <a:blip r:embed="rId103"/>
                    <a:stretch>
                      <a:fillRect/>
                    </a:stretch>
                  </pic:blipFill>
                  <pic:spPr bwMode="auto">
                    <a:xfrm>
                      <a:off x="0" y="0"/>
                      <a:ext cx="5943600" cy="4953000"/>
                    </a:xfrm>
                    <a:prstGeom prst="rect">
                      <a:avLst/>
                    </a:prstGeom>
                    <a:noFill/>
                    <a:ln w="9525">
                      <a:noFill/>
                      <a:headEnd/>
                      <a:tailEnd/>
                    </a:ln>
                  </pic:spPr>
                </pic:pic>
              </a:graphicData>
            </a:graphic>
          </wp:inline>
        </w:drawing>
      </w:r>
    </w:p>
    <w:bookmarkEnd w:id="106"/>
    <w:bookmarkEnd w:id="107"/>
    <w:bookmarkStart w:id="114" w:name="modeling-data"/>
    <w:p>
      <w:pPr>
        <w:pStyle w:val="Heading2"/>
      </w:pPr>
      <w:r>
        <w:t xml:space="preserve">Modeling data</w:t>
      </w:r>
    </w:p>
    <w:p>
      <w:pPr>
        <w:pStyle w:val="FirstParagraph"/>
      </w:pPr>
      <w:r>
        <w:t xml:space="preserve">After you have preprocessed the data, the next step is analysis. When analyzing VWP data there are many analytic approaches to choose from (e.g., growth curve analysis (GCA), cluster permutation analysis (CPA), generalized additive mixed models (GAMMS), logistic multilevel models, divergent point analysis (DPA), etc.), and a lot has already been written describing these methods and a lot of great tutorials exist showing how to apply these methods to visual world fixation data from the lab</w:t>
      </w:r>
      <w:r>
        <w:t xml:space="preserve"> </w:t>
      </w:r>
      <w:r>
        <w:t xml:space="preserve">(Coretta &amp; Casillas, 2024; see Ito &amp; Knoeferle, 2023; Stone et al., 2021)</w:t>
      </w:r>
      <w:r>
        <w:t xml:space="preserve"> </w:t>
      </w:r>
      <w:r>
        <w:t xml:space="preserve">and online</w:t>
      </w:r>
      <w:r>
        <w:t xml:space="preserve"> </w:t>
      </w:r>
      <w:r>
        <w:t xml:space="preserve">(Bramlett &amp; Wiener, 2024)</w:t>
      </w:r>
      <w:r>
        <w:t xml:space="preserve">.</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r>
        <w:t xml:space="preserve"> </w:t>
      </w:r>
      <w:r>
        <w:rPr>
          <w:b/>
          <w:bCs/>
        </w:rPr>
        <w:t xml:space="preserve">Given the time latency issues common in webcam-basted studies,</w:t>
      </w:r>
      <w:r>
        <w:rPr>
          <w:b/>
          <w:bCs/>
        </w:rPr>
        <w:t xml:space="preserve"> </w:t>
      </w:r>
      <w:r>
        <w:rPr>
          <w:b/>
          <w:bCs/>
        </w:rPr>
        <w:t xml:space="preserve">Slim et al. (2024)</w:t>
      </w:r>
      <w:r>
        <w:rPr>
          <w:b/>
          <w:bCs/>
        </w:rPr>
        <w:t xml:space="preserve"> </w:t>
      </w:r>
      <w:r>
        <w:rPr>
          <w:b/>
          <w:bCs/>
        </w:rPr>
        <w:t xml:space="preserve">recommended using an approach like CPA.</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I show you how to apply this method to the current dataset, I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revised1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13"/>
    <w:bookmarkEnd w:id="114"/>
    <w:bookmarkEnd w:id="115"/>
    <w:bookmarkStart w:id="130"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19"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16"/>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17" w:name="tbl-question"/>
    <w:p>
      <w:pPr>
        <w:pStyle w:val="FigureTitle"/>
      </w:pPr>
      <w:r>
        <w:t xml:space="preserve">Table 8</w:t>
      </w:r>
    </w:p>
    <w:p>
      <w:pPr>
        <w:pStyle w:val="Caption"/>
      </w:pPr>
      <w:r>
        <w:t xml:space="preserve">Eye-tracking questionnaire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yes, please list below:</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no, what brand of camera are you using?</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Please estimate how far you think you were sitting from the camera during the experiment (an arm's length from your monitor is about 20 inches (51 cm).</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look at your phone during the experiment?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get up during the experiment?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When you had to calibrate, were the instructions clear?</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What additional information would you add to help make things easier to understand?</w:t>
            </w:r>
          </w:p>
        </w:tc>
      </w:tr>
      <w:tr>
        <w:trPr>
          <w:trHeight w:val="360" w:hRule="auto"/>
        </w:trPr>
        body13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Are you wearing a mask?</w:t>
            </w: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vs. participants who had trouble calibrating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Response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Good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Bad</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w:t>
            </w:r>
          </w:p>
        </w:tc>
      </w:tr>
      <w:tr>
        <w:trPr>
          <w:trHeight w:val="360" w:hRule="auto"/>
        </w:trPr>
        body10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96.43</w:t>
            </w:r>
          </w:p>
        </w:tc>
      </w:tr>
    </w:tbl>
    <w:bookmarkEnd w:id="118"/>
    <w:bookmarkEnd w:id="119"/>
    <w:bookmarkStart w:id="123" w:name="limitations"/>
    <w:p>
      <w:pPr>
        <w:pStyle w:val="Heading2"/>
      </w:pPr>
      <w:r>
        <w:t xml:space="preserve">Limitations</w:t>
      </w:r>
    </w:p>
    <w:bookmarkStart w:id="120" w:name="recruitment-of-l2-speakers"/>
    <w:p>
      <w:pPr>
        <w:pStyle w:val="Heading3"/>
      </w:pPr>
      <w:r>
        <w:t xml:space="preserve">Recruitment of L2 Speakers</w:t>
      </w:r>
    </w:p>
    <w:p>
      <w:pPr>
        <w:pStyle w:val="FirstParagraph"/>
      </w:pPr>
      <w:r>
        <w:rPr>
          <w:b/>
          <w:bCs/>
        </w:rP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rPr>
          <w:b/>
          <w:bCs/>
        </w:rPr>
        <w:t xml:space="preserve"> </w:t>
      </w:r>
      <w:r>
        <w:rPr>
          <w:b/>
          <w:bCs/>
        </w:rPr>
        <w:t xml:space="preserve">(Niedermann et al., 2024; Patterson &amp; Nicklin, 2023)</w:t>
      </w:r>
      <w:r>
        <w:rPr>
          <w:b/>
          <w:bCs/>
        </w:rP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20"/>
    <w:bookmarkStart w:id="121" w:name="generalizability-to-other-platforms"/>
    <w:p>
      <w:pPr>
        <w:pStyle w:val="Heading3"/>
      </w:pPr>
      <w:r>
        <w:rPr>
          <w:b/>
          <w:bCs/>
        </w:rP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w:t>
      </w:r>
      <w:r>
        <w:t xml:space="preserve"> </w:t>
      </w:r>
      <w:r>
        <w:rPr>
          <w:b/>
          <w:bCs/>
        </w:rPr>
        <w:t xml:space="preserve">PsychoPy</w:t>
      </w:r>
      <w:r>
        <w:rPr>
          <w:b/>
          <w:bCs/>
        </w:rPr>
        <w:t xml:space="preserve"> </w:t>
      </w:r>
      <w:r>
        <w:rPr>
          <w:b/>
          <w:bCs/>
        </w:rPr>
        <w:t xml:space="preserve">(Peirce et al., 2019)</w:t>
      </w:r>
      <w:r>
        <w:rPr>
          <w:b/>
          <w:bCs/>
        </w:rPr>
        <w:t xml:space="preserve">—we believe the pipeline is generalizable to these and to platforms that use other gaze estimation logarithms, such as Labvanced [@kaduk2024].</w:t>
      </w:r>
      <w:r>
        <w:t xml:space="preserve"> </w:t>
      </w:r>
      <w:r>
        <w:t xml:space="preserve">T</w:t>
      </w:r>
      <w:r>
        <w:rPr>
          <w:b/>
          <w:bCs/>
        </w:rPr>
        <w:t xml:space="preserve">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rPr>
          <w:b/>
          <w:bCs/>
        </w:rPr>
        <w:t xml:space="preserve"> </w:t>
      </w:r>
      <w:r>
        <w:rPr>
          <w:rStyle w:val="VerbatimChar"/>
          <w:b/>
          <w:bCs/>
        </w:rPr>
        <w:t xml:space="preserve">make_webgazer()</w:t>
      </w:r>
      <w:r>
        <w:rPr>
          <w:b/>
          <w:bCs/>
        </w:rPr>
        <w:t xml:space="preserve">, to assist in renaming columns so your dataset can be adapted to the expected format.</w:t>
      </w:r>
    </w:p>
    <w:p>
      <w:pPr>
        <w:pStyle w:val="BodyText"/>
      </w:pPr>
      <w:r>
        <w:rPr>
          <w:b/>
          <w:bCs/>
        </w:rPr>
        <w:t xml:space="preserve">We encourage researchers to test this pipeline in their own studies and report any issues or suggestions on our GitHub repository. We are committed to improving</w:t>
      </w:r>
      <w:r>
        <w:rPr>
          <w:b/>
          <w:bCs/>
        </w:rPr>
        <w:t xml:space="preserve"> </w:t>
      </w:r>
      <w:r>
        <w:rPr>
          <w:rStyle w:val="VerbatimChar"/>
          <w:b/>
          <w:bCs/>
        </w:rPr>
        <w:t xml:space="preserve">webgazeR</w:t>
      </w:r>
      <w:r>
        <w:rPr>
          <w:b/>
          <w:bCs/>
        </w:rPr>
        <w:t xml:space="preserve"> </w:t>
      </w:r>
      <w:r>
        <w:rPr>
          <w:b/>
          <w:bCs/>
        </w:rPr>
        <w:t xml:space="preserve">and welcome feedback that will make the package more flexible, user-friendly, and adaptable to a wider range of experimental platforms.</w:t>
      </w:r>
    </w:p>
    <w:bookmarkEnd w:id="121"/>
    <w:bookmarkStart w:id="122"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2"/>
    <w:bookmarkEnd w:id="123"/>
    <w:bookmarkStart w:id="128"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24"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24"/>
    <w:bookmarkStart w:id="125"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 [@kaduk2024],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25"/>
    <w:bookmarkStart w:id="126" w:name="conduct-a-priori-power-analysis"/>
    <w:p>
      <w:pPr>
        <w:pStyle w:val="Heading3"/>
      </w:pPr>
      <w:r>
        <w:t xml:space="preserve">**Conduct a priori power analysis </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26"/>
    <w:bookmarkStart w:id="127"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27"/>
    <w:bookmarkEnd w:id="128"/>
    <w:bookmarkStart w:id="129"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visual world paradigm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9"/>
    <w:bookmarkEnd w:id="130"/>
    <w:bookmarkStart w:id="306" w:name="references"/>
    <w:p>
      <w:pPr>
        <w:pStyle w:val="Heading1"/>
      </w:pPr>
      <w:r>
        <w:t xml:space="preserve">References</w:t>
      </w:r>
    </w:p>
    <w:bookmarkStart w:id="305" w:name="refs"/>
    <w:bookmarkStart w:id="132"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31">
        <w:r>
          <w:rPr>
            <w:rStyle w:val="Hyperlink"/>
          </w:rPr>
          <w:t xml:space="preserve">https://doi.org/10.5281/zenodo.5960048</w:t>
        </w:r>
      </w:hyperlink>
    </w:p>
    <w:bookmarkEnd w:id="132"/>
    <w:bookmarkStart w:id="133"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33"/>
    <w:bookmarkStart w:id="135"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34">
        <w:r>
          <w:rPr>
            <w:rStyle w:val="Hyperlink"/>
          </w:rPr>
          <w:t xml:space="preserve">https://doi.org/10.1016/S0010-0277(99)00059-1</w:t>
        </w:r>
      </w:hyperlink>
    </w:p>
    <w:bookmarkEnd w:id="135"/>
    <w:bookmarkStart w:id="137"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6">
        <w:r>
          <w:rPr>
            <w:rStyle w:val="Hyperlink"/>
          </w:rPr>
          <w:t xml:space="preserve">https://doi.org/10.1177/0146167218798821</w:t>
        </w:r>
      </w:hyperlink>
    </w:p>
    <w:bookmarkEnd w:id="137"/>
    <w:bookmarkStart w:id="139"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8">
        <w:r>
          <w:rPr>
            <w:rStyle w:val="Hyperlink"/>
          </w:rPr>
          <w:t xml:space="preserve">https://doi.org/10.3758/s13428-019-01237-x</w:t>
        </w:r>
      </w:hyperlink>
    </w:p>
    <w:bookmarkEnd w:id="139"/>
    <w:bookmarkStart w:id="141"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40">
        <w:r>
          <w:rPr>
            <w:rStyle w:val="Hyperlink"/>
          </w:rPr>
          <w:t xml:space="preserve">https://doi.org/10.1016/j.jml.2021.104279</w:t>
        </w:r>
      </w:hyperlink>
    </w:p>
    <w:bookmarkEnd w:id="141"/>
    <w:bookmarkStart w:id="143"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42">
        <w:r>
          <w:rPr>
            <w:rStyle w:val="Hyperlink"/>
          </w:rPr>
          <w:t xml:space="preserve">https://CRAN.R-project.org/package=ggokabeito</w:t>
        </w:r>
      </w:hyperlink>
    </w:p>
    <w:bookmarkEnd w:id="143"/>
    <w:bookmarkStart w:id="145"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44">
        <w:r>
          <w:rPr>
            <w:rStyle w:val="Hyperlink"/>
          </w:rPr>
          <w:t xml:space="preserve">https://doi.org/10.1177/23312165211025941</w:t>
        </w:r>
      </w:hyperlink>
    </w:p>
    <w:bookmarkEnd w:id="145"/>
    <w:bookmarkStart w:id="147"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46">
        <w:r>
          <w:rPr>
            <w:rStyle w:val="Hyperlink"/>
          </w:rPr>
          <w:t xml:space="preserve">https://doi.org/10.1111/cgf.13079</w:t>
        </w:r>
      </w:hyperlink>
    </w:p>
    <w:bookmarkEnd w:id="147"/>
    <w:bookmarkStart w:id="149"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48">
        <w:r>
          <w:rPr>
            <w:rStyle w:val="Hyperlink"/>
          </w:rPr>
          <w:t xml:space="preserve">https://doi.org/10.1016/j.tics.2022.09.015</w:t>
        </w:r>
      </w:hyperlink>
    </w:p>
    <w:bookmarkEnd w:id="149"/>
    <w:bookmarkStart w:id="151"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50">
        <w:r>
          <w:rPr>
            <w:rStyle w:val="Hyperlink"/>
          </w:rPr>
          <w:t xml:space="preserve">https://doi.org/10.3758/s13428-023-02143-z</w:t>
        </w:r>
      </w:hyperlink>
    </w:p>
    <w:bookmarkEnd w:id="151"/>
    <w:bookmarkStart w:id="153"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52">
        <w:r>
          <w:rPr>
            <w:rStyle w:val="Hyperlink"/>
          </w:rPr>
          <w:t xml:space="preserve">https://doi.org/10.1002/brb3.70112</w:t>
        </w:r>
      </w:hyperlink>
    </w:p>
    <w:bookmarkEnd w:id="153"/>
    <w:bookmarkStart w:id="155"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54">
        <w:r>
          <w:rPr>
            <w:rStyle w:val="Hyperlink"/>
          </w:rPr>
          <w:t xml:space="preserve">https://doi.org/10.1075/lab.23071.bra</w:t>
        </w:r>
      </w:hyperlink>
    </w:p>
    <w:bookmarkEnd w:id="155"/>
    <w:bookmarkStart w:id="157"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56">
        <w:r>
          <w:rPr>
            <w:rStyle w:val="Hyperlink"/>
          </w:rPr>
          <w:t xml:space="preserve">https://doi.org/10.1007/s41809-024-00162-6</w:t>
        </w:r>
      </w:hyperlink>
    </w:p>
    <w:bookmarkEnd w:id="157"/>
    <w:bookmarkStart w:id="159"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58">
        <w:r>
          <w:rPr>
            <w:rStyle w:val="Hyperlink"/>
          </w:rPr>
          <w:t xml:space="preserve">https://doi.org/10.5334/joc.10</w:t>
        </w:r>
      </w:hyperlink>
    </w:p>
    <w:bookmarkEnd w:id="159"/>
    <w:bookmarkStart w:id="16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60">
        <w:r>
          <w:rPr>
            <w:rStyle w:val="Hyperlink"/>
          </w:rPr>
          <w:t xml:space="preserve">https://doi.org/10.1093/applin/amad022</w:t>
        </w:r>
      </w:hyperlink>
    </w:p>
    <w:bookmarkEnd w:id="161"/>
    <w:bookmarkStart w:id="16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62">
        <w:r>
          <w:rPr>
            <w:rStyle w:val="Hyperlink"/>
          </w:rPr>
          <w:t xml:space="preserve">https://doi.org/10.1016/j.ijpsycho.2020.05.010</w:t>
        </w:r>
      </w:hyperlink>
    </w:p>
    <w:bookmarkEnd w:id="163"/>
    <w:bookmarkStart w:id="165"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64">
        <w:r>
          <w:rPr>
            <w:rStyle w:val="Hyperlink"/>
          </w:rPr>
          <w:t xml:space="preserve">https://doi.org/10.2196/43512</w:t>
        </w:r>
      </w:hyperlink>
    </w:p>
    <w:bookmarkEnd w:id="165"/>
    <w:bookmarkStart w:id="167"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66">
        <w:r>
          <w:rPr>
            <w:rStyle w:val="Hyperlink"/>
          </w:rPr>
          <w:t xml:space="preserve">https://doi.org/10.1016/j.cognition.2023.105588</w:t>
        </w:r>
      </w:hyperlink>
    </w:p>
    <w:bookmarkEnd w:id="167"/>
    <w:bookmarkStart w:id="169"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68">
        <w:r>
          <w:rPr>
            <w:rStyle w:val="Hyperlink"/>
          </w:rPr>
          <w:t xml:space="preserve">https://doi.org/10.1016/0010-0285(74)90005-X</w:t>
        </w:r>
      </w:hyperlink>
    </w:p>
    <w:bookmarkEnd w:id="169"/>
    <w:bookmarkStart w:id="171"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70">
        <w:r>
          <w:rPr>
            <w:rStyle w:val="Hyperlink"/>
          </w:rPr>
          <w:t xml:space="preserve">https://doi.org/10.1075/lab.23076.cor</w:t>
        </w:r>
      </w:hyperlink>
    </w:p>
    <w:bookmarkEnd w:id="171"/>
    <w:bookmarkStart w:id="173"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72">
        <w:r>
          <w:rPr>
            <w:rStyle w:val="Hyperlink"/>
          </w:rPr>
          <w:t xml:space="preserve">https://CRAN.R-project.org/package=doParallel</w:t>
        </w:r>
      </w:hyperlink>
    </w:p>
    <w:bookmarkEnd w:id="173"/>
    <w:bookmarkStart w:id="175"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74">
        <w:r>
          <w:rPr>
            <w:rStyle w:val="Hyperlink"/>
          </w:rPr>
          <w:t xml:space="preserve">https://CRAN.R-project.org/package=remotes</w:t>
        </w:r>
      </w:hyperlink>
    </w:p>
    <w:bookmarkEnd w:id="175"/>
    <w:bookmarkStart w:id="177"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76">
        <w:r>
          <w:rPr>
            <w:rStyle w:val="Hyperlink"/>
          </w:rPr>
          <w:t xml:space="preserve">https://doi.org/10.1006/cogp.2001.0750</w:t>
        </w:r>
      </w:hyperlink>
    </w:p>
    <w:bookmarkEnd w:id="177"/>
    <w:bookmarkStart w:id="178"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78"/>
    <w:bookmarkStart w:id="180"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79">
        <w:r>
          <w:rPr>
            <w:rStyle w:val="Hyperlink"/>
          </w:rPr>
          <w:t xml:space="preserve">https://nixos.org/</w:t>
        </w:r>
      </w:hyperlink>
    </w:p>
    <w:bookmarkEnd w:id="180"/>
    <w:bookmarkStart w:id="182"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81">
        <w:r>
          <w:rPr>
            <w:rStyle w:val="Hyperlink"/>
          </w:rPr>
          <w:t xml:space="preserve">https://doi.org/10.1007/BF02143160</w:t>
        </w:r>
      </w:hyperlink>
    </w:p>
    <w:bookmarkEnd w:id="182"/>
    <w:bookmarkStart w:id="184"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83">
        <w:r>
          <w:rPr>
            <w:rStyle w:val="Hyperlink"/>
          </w:rPr>
          <w:t xml:space="preserve">https://doi.org/10.3758/BF03193146</w:t>
        </w:r>
      </w:hyperlink>
    </w:p>
    <w:bookmarkEnd w:id="184"/>
    <w:bookmarkStart w:id="186"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85">
        <w:r>
          <w:rPr>
            <w:rStyle w:val="Hyperlink"/>
          </w:rPr>
          <w:t xml:space="preserve">https://doi.org/10.1111/psyp.13468</w:t>
        </w:r>
      </w:hyperlink>
    </w:p>
    <w:bookmarkEnd w:id="186"/>
    <w:bookmarkStart w:id="188"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87">
        <w:r>
          <w:rPr>
            <w:rStyle w:val="Hyperlink"/>
          </w:rPr>
          <w:t xml:space="preserve">https://CRAN.R-project.org/package=janitor</w:t>
        </w:r>
      </w:hyperlink>
    </w:p>
    <w:bookmarkEnd w:id="188"/>
    <w:bookmarkStart w:id="190"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89">
        <w:r>
          <w:rPr>
            <w:rStyle w:val="Hyperlink"/>
          </w:rPr>
          <w:t xml:space="preserve">https://doi.org/10.18637/jss.v099.i15</w:t>
        </w:r>
      </w:hyperlink>
    </w:p>
    <w:bookmarkEnd w:id="190"/>
    <w:bookmarkStart w:id="192"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91">
        <w:r>
          <w:rPr>
            <w:rStyle w:val="Hyperlink"/>
          </w:rPr>
          <w:t xml:space="preserve">https://github.com/jgeller112/webgazeR</w:t>
        </w:r>
      </w:hyperlink>
    </w:p>
    <w:bookmarkEnd w:id="192"/>
    <w:bookmarkStart w:id="194"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93">
        <w:r>
          <w:rPr>
            <w:rStyle w:val="Hyperlink"/>
          </w:rPr>
          <w:t xml:space="preserve">https://doi.org/10.1111/lang.12664</w:t>
        </w:r>
      </w:hyperlink>
    </w:p>
    <w:bookmarkEnd w:id="194"/>
    <w:bookmarkStart w:id="196"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95">
        <w:r>
          <w:rPr>
            <w:rStyle w:val="Hyperlink"/>
          </w:rPr>
          <w:t xml:space="preserve">https://doi.org/10.1111/2041-210X.12504</w:t>
        </w:r>
      </w:hyperlink>
    </w:p>
    <w:bookmarkEnd w:id="196"/>
    <w:bookmarkStart w:id="198"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97">
        <w:r>
          <w:rPr>
            <w:rStyle w:val="Hyperlink"/>
          </w:rPr>
          <w:t xml:space="preserve">https://doi.org/10.1038/466029a</w:t>
        </w:r>
      </w:hyperlink>
    </w:p>
    <w:bookmarkEnd w:id="198"/>
    <w:bookmarkStart w:id="200"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99">
        <w:r>
          <w:rPr>
            <w:rStyle w:val="Hyperlink"/>
          </w:rPr>
          <w:t xml:space="preserve">https://doi.org/10.3758/s13428-024-02564-4</w:t>
        </w:r>
      </w:hyperlink>
    </w:p>
    <w:bookmarkEnd w:id="200"/>
    <w:bookmarkStart w:id="202"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01">
        <w:r>
          <w:rPr>
            <w:rStyle w:val="Hyperlink"/>
          </w:rPr>
          <w:t xml:space="preserve">https://doi.org/10.1177/0267658312461803</w:t>
        </w:r>
      </w:hyperlink>
    </w:p>
    <w:bookmarkEnd w:id="202"/>
    <w:bookmarkStart w:id="204"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03">
        <w:r>
          <w:rPr>
            <w:rStyle w:val="Hyperlink"/>
          </w:rPr>
          <w:t xml:space="preserve">https://doi.org/10.1016/j.cognition.2020.104251</w:t>
        </w:r>
      </w:hyperlink>
    </w:p>
    <w:bookmarkEnd w:id="204"/>
    <w:bookmarkStart w:id="206"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05">
        <w:r>
          <w:rPr>
            <w:rStyle w:val="Hyperlink"/>
          </w:rPr>
          <w:t xml:space="preserve">https://doi.org/10.1016/j.jml.2007.02.001</w:t>
        </w:r>
      </w:hyperlink>
    </w:p>
    <w:bookmarkEnd w:id="206"/>
    <w:bookmarkStart w:id="208"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07">
        <w:r>
          <w:rPr>
            <w:rStyle w:val="Hyperlink"/>
          </w:rPr>
          <w:t xml:space="preserve">https://doi.org/10.1016/j.actpsy.2010.11.003</w:t>
        </w:r>
      </w:hyperlink>
    </w:p>
    <w:bookmarkEnd w:id="208"/>
    <w:bookmarkStart w:id="210"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09">
        <w:r>
          <w:rPr>
            <w:rStyle w:val="Hyperlink"/>
          </w:rPr>
          <w:t xml:space="preserve">https://doi.org/10.3758/s13428-022-01969-3</w:t>
        </w:r>
      </w:hyperlink>
    </w:p>
    <w:bookmarkEnd w:id="210"/>
    <w:bookmarkStart w:id="212"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11">
        <w:r>
          <w:rPr>
            <w:rStyle w:val="Hyperlink"/>
          </w:rPr>
          <w:t xml:space="preserve">https://doi.org/10.1016/j.jml.2017.09.002</w:t>
        </w:r>
      </w:hyperlink>
    </w:p>
    <w:bookmarkEnd w:id="212"/>
    <w:bookmarkStart w:id="214"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13">
        <w:r>
          <w:rPr>
            <w:rStyle w:val="Hyperlink"/>
          </w:rPr>
          <w:t xml:space="preserve">http://hdl.handle.net/1854/LU-5774107</w:t>
        </w:r>
      </w:hyperlink>
    </w:p>
    <w:bookmarkEnd w:id="214"/>
    <w:bookmarkStart w:id="216"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15">
        <w:r>
          <w:rPr>
            <w:rStyle w:val="Hyperlink"/>
          </w:rPr>
          <w:t xml:space="preserve">https://doi.org/10.1111/j.0956-7976.2004.00675.x</w:t>
        </w:r>
      </w:hyperlink>
    </w:p>
    <w:bookmarkEnd w:id="216"/>
    <w:bookmarkStart w:id="218"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17">
        <w:r>
          <w:rPr>
            <w:rStyle w:val="Hyperlink"/>
          </w:rPr>
          <w:t xml:space="preserve">https://doi.org/10.3758/s13428-023-02237-8</w:t>
        </w:r>
      </w:hyperlink>
    </w:p>
    <w:bookmarkEnd w:id="218"/>
    <w:bookmarkStart w:id="220"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19">
        <w:r>
          <w:rPr>
            <w:rStyle w:val="Hyperlink"/>
          </w:rPr>
          <w:t xml:space="preserve">https://doi.org/10.1016/S0749-596X(03)00023-8</w:t>
        </w:r>
      </w:hyperlink>
    </w:p>
    <w:bookmarkEnd w:id="220"/>
    <w:bookmarkStart w:id="222"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21">
        <w:r>
          <w:rPr>
            <w:rStyle w:val="Hyperlink"/>
          </w:rPr>
          <w:t xml:space="preserve">https://doi.org/10.3758/s13428-018-1075-y</w:t>
        </w:r>
      </w:hyperlink>
    </w:p>
    <w:bookmarkEnd w:id="222"/>
    <w:bookmarkStart w:id="224"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23">
        <w:r>
          <w:rPr>
            <w:rStyle w:val="Hyperlink"/>
          </w:rPr>
          <w:t xml:space="preserve">https://doi.org/10.3758/s13428-021-01546-0</w:t>
        </w:r>
      </w:hyperlink>
    </w:p>
    <w:bookmarkEnd w:id="224"/>
    <w:bookmarkStart w:id="226"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25">
        <w:r>
          <w:rPr>
            <w:rStyle w:val="Hyperlink"/>
          </w:rPr>
          <w:t xml:space="preserve">https://doi.org/10.1525/collabra.33267</w:t>
        </w:r>
      </w:hyperlink>
    </w:p>
    <w:bookmarkEnd w:id="226"/>
    <w:bookmarkStart w:id="228"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7">
        <w:r>
          <w:rPr>
            <w:rStyle w:val="Hyperlink"/>
          </w:rPr>
          <w:t xml:space="preserve">https://doi.org/10.3758/s13428-014-0458-y</w:t>
        </w:r>
      </w:hyperlink>
    </w:p>
    <w:bookmarkEnd w:id="228"/>
    <w:bookmarkStart w:id="230"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29">
        <w:r>
          <w:rPr>
            <w:rStyle w:val="Hyperlink"/>
          </w:rPr>
          <w:t xml:space="preserve">https://doi.org/10.1073/pnas.2016980118</w:t>
        </w:r>
      </w:hyperlink>
    </w:p>
    <w:bookmarkEnd w:id="230"/>
    <w:bookmarkStart w:id="232"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31">
        <w:r>
          <w:rPr>
            <w:rStyle w:val="Hyperlink"/>
          </w:rPr>
          <w:t xml:space="preserve">https://doi.org/10.1080/03640210709336987</w:t>
        </w:r>
      </w:hyperlink>
    </w:p>
    <w:bookmarkEnd w:id="232"/>
    <w:bookmarkStart w:id="234"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33">
        <w:r>
          <w:rPr>
            <w:rStyle w:val="Hyperlink"/>
          </w:rPr>
          <w:t xml:space="preserve">https://doi.org/10.1016/j.jneumeth.2007.03.024</w:t>
        </w:r>
      </w:hyperlink>
    </w:p>
    <w:bookmarkEnd w:id="234"/>
    <w:bookmarkStart w:id="236"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35">
        <w:r>
          <w:rPr>
            <w:rStyle w:val="Hyperlink"/>
          </w:rPr>
          <w:t xml:space="preserve">https://doi.org/10.1016/j.cogpsych.2009.06.003</w:t>
        </w:r>
      </w:hyperlink>
    </w:p>
    <w:bookmarkEnd w:id="236"/>
    <w:bookmarkStart w:id="238"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37">
        <w:r>
          <w:rPr>
            <w:rStyle w:val="Hyperlink"/>
          </w:rPr>
          <w:t xml:space="preserve">https://doi.org/10.1016/S0010-0277(02)00157-9</w:t>
        </w:r>
      </w:hyperlink>
    </w:p>
    <w:bookmarkEnd w:id="238"/>
    <w:bookmarkStart w:id="240"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39">
        <w:r>
          <w:rPr>
            <w:rStyle w:val="Hyperlink"/>
          </w:rPr>
          <w:t xml:space="preserve">https://doi.org/10.1016/j.dcn.2021.101036</w:t>
        </w:r>
      </w:hyperlink>
    </w:p>
    <w:bookmarkEnd w:id="240"/>
    <w:bookmarkStart w:id="242"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41">
        <w:r>
          <w:rPr>
            <w:rStyle w:val="Hyperlink"/>
          </w:rPr>
          <w:t xml:space="preserve">https://CRAN.R-project.org/package=foreach</w:t>
        </w:r>
      </w:hyperlink>
    </w:p>
    <w:bookmarkEnd w:id="242"/>
    <w:bookmarkStart w:id="244"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43">
        <w:r>
          <w:rPr>
            <w:rStyle w:val="Hyperlink"/>
          </w:rPr>
          <w:t xml:space="preserve">https://doi.org/10.1037/xge0001450</w:t>
        </w:r>
      </w:hyperlink>
    </w:p>
    <w:bookmarkEnd w:id="244"/>
    <w:bookmarkStart w:id="246"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45">
        <w:r>
          <w:rPr>
            <w:rStyle w:val="Hyperlink"/>
          </w:rPr>
          <w:t xml:space="preserve">https://doi.org/10.1523/JNEUROSCI.2879-20.2021</w:t>
        </w:r>
      </w:hyperlink>
    </w:p>
    <w:bookmarkEnd w:id="246"/>
    <w:bookmarkStart w:id="248"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47">
        <w:r>
          <w:rPr>
            <w:rStyle w:val="Hyperlink"/>
          </w:rPr>
          <w:t xml:space="preserve">https://doi.org/10.1037/a0026451</w:t>
        </w:r>
      </w:hyperlink>
    </w:p>
    <w:bookmarkEnd w:id="248"/>
    <w:bookmarkStart w:id="250"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49">
        <w:r>
          <w:rPr>
            <w:rStyle w:val="Hyperlink"/>
          </w:rPr>
          <w:t xml:space="preserve">https://CRAN.R-project.org/package=here</w:t>
        </w:r>
      </w:hyperlink>
    </w:p>
    <w:bookmarkEnd w:id="250"/>
    <w:bookmarkStart w:id="252"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51">
        <w:r>
          <w:rPr>
            <w:rStyle w:val="Hyperlink"/>
          </w:rPr>
          <w:t xml:space="preserve">https://escholarship.org/uc/item/4hs755zz</w:t>
        </w:r>
      </w:hyperlink>
    </w:p>
    <w:bookmarkEnd w:id="252"/>
    <w:bookmarkStart w:id="254"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53">
        <w:r>
          <w:rPr>
            <w:rStyle w:val="Hyperlink"/>
          </w:rPr>
          <w:t xml:space="preserve">https://doi.org/10.3389/fpsyg.2023.1155585</w:t>
        </w:r>
      </w:hyperlink>
    </w:p>
    <w:bookmarkEnd w:id="254"/>
    <w:bookmarkStart w:id="255"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55"/>
    <w:bookmarkStart w:id="257"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56">
        <w:r>
          <w:rPr>
            <w:rStyle w:val="Hyperlink"/>
          </w:rPr>
          <w:t xml:space="preserve">https://doi.org/10.1016/j.rmal.2023.100045</w:t>
        </w:r>
      </w:hyperlink>
    </w:p>
    <w:bookmarkEnd w:id="257"/>
    <w:bookmarkStart w:id="259"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58">
        <w:r>
          <w:rPr>
            <w:rStyle w:val="Hyperlink"/>
          </w:rPr>
          <w:t xml:space="preserve">https://doi.org/10.1525/collabra.25961</w:t>
        </w:r>
      </w:hyperlink>
    </w:p>
    <w:bookmarkEnd w:id="259"/>
    <w:bookmarkStart w:id="261"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60">
        <w:r>
          <w:rPr>
            <w:rStyle w:val="Hyperlink"/>
          </w:rPr>
          <w:t xml:space="preserve">https://doi.org/10.3758/s13428-018-01193-y</w:t>
        </w:r>
      </w:hyperlink>
    </w:p>
    <w:bookmarkEnd w:id="261"/>
    <w:bookmarkStart w:id="263"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62">
        <w:r>
          <w:rPr>
            <w:rStyle w:val="Hyperlink"/>
          </w:rPr>
          <w:t xml:space="preserve">https://doi.org/10.1091/mbc.E20-09-0616</w:t>
        </w:r>
      </w:hyperlink>
    </w:p>
    <w:bookmarkEnd w:id="263"/>
    <w:bookmarkStart w:id="265"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64">
        <w:r>
          <w:rPr>
            <w:rStyle w:val="Hyperlink"/>
          </w:rPr>
          <w:t xml:space="preserve">http://cejsh.icm.edu.pl/cejsh/element/bwmeta1.element.desklight-98576d43-39e3-4981-8c1c-717962cf29da</w:t>
        </w:r>
      </w:hyperlink>
    </w:p>
    <w:bookmarkEnd w:id="265"/>
    <w:bookmarkStart w:id="267"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66">
        <w:r>
          <w:rPr>
            <w:rStyle w:val="Hyperlink"/>
          </w:rPr>
          <w:t xml:space="preserve">https://doi.org/10.3758/s13428-023-02176-4</w:t>
        </w:r>
      </w:hyperlink>
    </w:p>
    <w:bookmarkEnd w:id="267"/>
    <w:bookmarkStart w:id="269"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68">
        <w:r>
          <w:rPr>
            <w:rStyle w:val="Hyperlink"/>
          </w:rPr>
          <w:t xml:space="preserve">https://www.R-project.org/</w:t>
        </w:r>
      </w:hyperlink>
    </w:p>
    <w:bookmarkEnd w:id="269"/>
    <w:bookmarkStart w:id="271"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70">
        <w:r>
          <w:rPr>
            <w:rStyle w:val="Hyperlink"/>
          </w:rPr>
          <w:t xml:space="preserve">https://doi.org/10.1016/j.jml.2023.104472</w:t>
        </w:r>
      </w:hyperlink>
    </w:p>
    <w:bookmarkEnd w:id="271"/>
    <w:bookmarkStart w:id="273"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72">
        <w:r>
          <w:rPr>
            <w:rStyle w:val="Hyperlink"/>
          </w:rPr>
          <w:t xml:space="preserve">https://docs.ropensci.org/rix/</w:t>
        </w:r>
      </w:hyperlink>
    </w:p>
    <w:bookmarkEnd w:id="273"/>
    <w:bookmarkStart w:id="275"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74">
        <w:r>
          <w:rPr>
            <w:rStyle w:val="Hyperlink"/>
          </w:rPr>
          <w:t xml:space="preserve">https://doi.org/10.1002/9781119387725.ch4</w:t>
        </w:r>
      </w:hyperlink>
    </w:p>
    <w:bookmarkEnd w:id="275"/>
    <w:bookmarkStart w:id="277"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76">
        <w:r>
          <w:rPr>
            <w:rStyle w:val="Hyperlink"/>
          </w:rPr>
          <w:t xml:space="preserve">https://doi.org/10.1080/23273798.2021.1952283</w:t>
        </w:r>
      </w:hyperlink>
    </w:p>
    <w:bookmarkEnd w:id="277"/>
    <w:bookmarkStart w:id="279"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78">
        <w:r>
          <w:rPr>
            <w:rStyle w:val="Hyperlink"/>
          </w:rPr>
          <w:t xml:space="preserve">https://doi.org/10.3758/s13428-017-0913-7</w:t>
        </w:r>
      </w:hyperlink>
    </w:p>
    <w:bookmarkEnd w:id="279"/>
    <w:bookmarkStart w:id="281"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80">
        <w:r>
          <w:rPr>
            <w:rStyle w:val="Hyperlink"/>
          </w:rPr>
          <w:t xml:space="preserve">https://doi.org/10.3758/s13428-022-01989-z</w:t>
        </w:r>
      </w:hyperlink>
    </w:p>
    <w:bookmarkEnd w:id="281"/>
    <w:bookmarkStart w:id="283"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82">
        <w:r>
          <w:rPr>
            <w:rStyle w:val="Hyperlink"/>
          </w:rPr>
          <w:t xml:space="preserve">https://doi.org/10.1162/opmi_a_00171</w:t>
        </w:r>
      </w:hyperlink>
    </w:p>
    <w:bookmarkEnd w:id="283"/>
    <w:bookmarkStart w:id="285"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284">
        <w:r>
          <w:rPr>
            <w:rStyle w:val="Hyperlink"/>
          </w:rPr>
          <w:t xml:space="preserve">https://doi.org/10.1111/1467-9280.00151</w:t>
        </w:r>
      </w:hyperlink>
    </w:p>
    <w:bookmarkEnd w:id="285"/>
    <w:bookmarkStart w:id="287"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86">
        <w:r>
          <w:rPr>
            <w:rStyle w:val="Hyperlink"/>
          </w:rPr>
          <w:t xml:space="preserve">https://doi.org/10.1017/S1366728920000607</w:t>
        </w:r>
      </w:hyperlink>
    </w:p>
    <w:bookmarkEnd w:id="287"/>
    <w:bookmarkStart w:id="289"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88">
        <w:r>
          <w:rPr>
            <w:rStyle w:val="Hyperlink"/>
          </w:rPr>
          <w:t xml:space="preserve">http://www.ncbi.nlm.nih.gov/pubmed/7777863</w:t>
        </w:r>
      </w:hyperlink>
    </w:p>
    <w:bookmarkEnd w:id="289"/>
    <w:bookmarkStart w:id="291"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90">
        <w:r>
          <w:rPr>
            <w:rStyle w:val="Hyperlink"/>
          </w:rPr>
          <w:t xml:space="preserve">https://doi.org/10.1075/lald.44.05tru</w:t>
        </w:r>
      </w:hyperlink>
    </w:p>
    <w:bookmarkEnd w:id="291"/>
    <w:bookmarkStart w:id="293"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292">
        <w:r>
          <w:rPr>
            <w:rStyle w:val="Hyperlink"/>
          </w:rPr>
          <w:t xml:space="preserve">https://doi.org/10.3758/s13428-023-02221-2</w:t>
        </w:r>
      </w:hyperlink>
    </w:p>
    <w:bookmarkEnd w:id="293"/>
    <w:bookmarkStart w:id="294"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94"/>
    <w:bookmarkStart w:id="296"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95">
        <w:r>
          <w:rPr>
            <w:rStyle w:val="Hyperlink"/>
          </w:rPr>
          <w:t xml:space="preserve">https://CRAN.R-project.org/package=permutes</w:t>
        </w:r>
      </w:hyperlink>
    </w:p>
    <w:bookmarkEnd w:id="296"/>
    <w:bookmarkStart w:id="298"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97">
        <w:r>
          <w:rPr>
            <w:rStyle w:val="Hyperlink"/>
          </w:rPr>
          <w:t xml:space="preserve">https://doi.org/10.5070/G6011131</w:t>
        </w:r>
      </w:hyperlink>
    </w:p>
    <w:bookmarkEnd w:id="298"/>
    <w:bookmarkStart w:id="300"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99">
        <w:r>
          <w:rPr>
            <w:rStyle w:val="Hyperlink"/>
          </w:rPr>
          <w:t xml:space="preserve">https://CRAN.R-project.org/package=tidyverse</w:t>
        </w:r>
      </w:hyperlink>
    </w:p>
    <w:bookmarkEnd w:id="300"/>
    <w:bookmarkStart w:id="302"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01">
        <w:r>
          <w:rPr>
            <w:rStyle w:val="Hyperlink"/>
          </w:rPr>
          <w:t xml:space="preserve">https://doi.org/10.1162/jocn.2008.20056</w:t>
        </w:r>
      </w:hyperlink>
    </w:p>
    <w:bookmarkEnd w:id="302"/>
    <w:bookmarkStart w:id="304"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03">
        <w:r>
          <w:rPr>
            <w:rStyle w:val="Hyperlink"/>
          </w:rPr>
          <w:t xml:space="preserve">https://doi.org/10.17605/OSF.IO/MD832</w:t>
        </w:r>
      </w:hyperlink>
    </w:p>
    <w:bookmarkEnd w:id="304"/>
    <w:bookmarkEnd w:id="305"/>
    <w:sectPr>
      <w:lnNumType w:countBy="1" w:restart="continuous"/>
    </w:sectPr>
    <w:bookmarkEnd w:id="30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16">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93" Target="media/rId93.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74" Target="media/rId74.png" /><Relationship Type="http://schemas.openxmlformats.org/officeDocument/2006/relationships/image" Id="rId99" Target="media/rId99.png" /><Relationship Type="http://schemas.openxmlformats.org/officeDocument/2006/relationships/image" Id="rId82" Target="media/rId82.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