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&amp; Prystauka, 2024)</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7" name="Picture"/>
            <a:graphic>
              <a:graphicData uri="http://schemas.openxmlformats.org/drawingml/2006/picture">
                <pic:pic>
                  <pic:nvPicPr>
                    <pic:cNvPr descr="Figures/preprocessing_fig.png" id="68" name="Picture"/>
                    <pic:cNvPicPr>
                      <a:picLocks noChangeArrowheads="1" noChangeAspect="1"/>
                    </pic:cNvPicPr>
                  </pic:nvPicPr>
                  <pic:blipFill>
                    <a:blip r:embed="rId66"/>
                    <a:stretch>
                      <a:fillRect/>
                    </a:stretch>
                  </pic:blipFill>
                  <pic:spPr bwMode="auto">
                    <a:xfrm>
                      <a:off x="0" y="0"/>
                      <a:ext cx="5943600" cy="6998926"/>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