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Override PartName="/word/media/rId57.png" ContentType="image/png"/>
  <Override PartName="/word/media/rId68.png" ContentType="image/png"/>
  <Override PartName="/word/media/rId62.png" ContentType="image/png"/>
  <Override PartName="/word/media/rId38.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Where Do Prequestions Direct Attention? An Eye-Tracking Study of the Prequestion Effect</w:t>
      </w:r>
    </w:p>
    <w:p>
      <w:pPr>
        <w:pStyle w:val="Author"/>
      </w:pPr>
      <w:r>
        <w:t xml:space="preserve"> </w:t>
      </w:r>
    </w:p>
    <w:p>
      <w:pPr>
        <w:pStyle w:val="Author"/>
      </w:pPr>
      <w:r>
        <w:t xml:space="preserve">Jason Geller</w:t>
      </w:r>
      <w:r>
        <w:rPr>
          <w:vertAlign w:val="superscript"/>
        </w:rPr>
        <w:t xml:space="preserve">1</w:t>
      </w:r>
      <w:r>
        <w:t xml:space="preserve"> and Shana Carpenter</w:t>
      </w:r>
      <w:r>
        <w:rPr>
          <w:vertAlign w:val="superscript"/>
        </w:rPr>
        <w:t xml:space="preserve">2</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Oregon State University</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The preregistration is available at https://osf.io/8env4.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writing – original draft, writing – review &amp; editing, and formal analysis. </w:t>
      </w:r>
      <w:r>
        <w:rPr>
          <w:i/>
          <w:iCs/>
        </w:rPr>
        <w:t xml:space="preserve">Shana Carpenter</w:t>
      </w:r>
      <w:r>
        <w:rPr>
          <w:b/>
          <w:bCs/>
        </w:rPr>
        <w:t xml:space="preserve">: </w:t>
      </w:r>
      <w:r>
        <w:t xml:space="preserve">conceptualization, writing – original draft, and writing – review &amp; editing</w:t>
      </w:r>
    </w:p>
    <w:p>
      <w:pPr>
        <w:pStyle w:val="BodyText"/>
      </w:pPr>
      <w:r>
        <w:t xml:space="preserve">Correspondence concerning this article should be addressed to Jason Geller, Department of Psychology and Neuroscience, Boston College, Mcguinn Hall 405, Chestnut Hill, MA 02467-9991, USA, Email:</w:t>
      </w:r>
      <w:r>
        <w:t xml:space="preserve"> </w:t>
      </w:r>
      <w:hyperlink r:id="rId23">
        <w:r>
          <w:rPr>
            <w:rStyle w:val="Hyperlink"/>
          </w:rPr>
          <w:t xml:space="preserve">drjasongeller@gmail.com</w:t>
        </w:r>
      </w:hyperlink>
    </w:p>
    <w:p>
      <w:r>
        <w:br w:type="page"/>
      </w:r>
    </w:p>
    <w:bookmarkEnd w:id="24"/>
    <w:bookmarkStart w:id="25" w:name="abstract"/>
    <w:p>
      <w:pPr>
        <w:pStyle w:val="Heading1"/>
      </w:pPr>
      <w:r>
        <w:t xml:space="preserve">Abstract</w:t>
      </w:r>
    </w:p>
    <w:p>
      <w:pPr>
        <w:pStyle w:val="AbstractFirstParagraph"/>
      </w:pPr>
      <w:r>
        <w:t xml:space="preserve">Answering questions before a learning episode (prequestions) improves memory for the information the questions address, but why it does so is not well understood. One proposal is that prequestions guide attention toward the information they address. We tested this selective-attention account by recording eye movements while participants read a passage about efforts to eradicate polio and tuberculosis (TB). Before reading, participants answered prequestions about polio, prequestions about TB, or no prequestions; afterwards, all participants took a short-answer test on both topics. Prequestions produced a specific memory benefit—better memory than the control condition for the prequestioned topic—but no general benefit for the non-prequestioned topic. Comparing the same sentences when they were and were not prequestioned showed that prequestions changed how they were read. Total gaze durations, analysed with an ex-Gaussian model, showed that prequestioned sentences received more occasional unusually long readings rather than a uniform shift in typical reading time. Readers were also more likely to look back to prequestioned sentences later. Reading time, however, accounted for only a small part of the memory benefit. Prequestions thus redirect attention during reading, but this redirection explains little of their benefit for memory.</w:t>
      </w:r>
    </w:p>
    <w:p>
      <w:pPr>
        <w:pStyle w:val="BodyText"/>
      </w:pPr>
      <w:r>
        <w:rPr>
          <w:i/>
          <w:iCs/>
        </w:rPr>
        <w:t xml:space="preserve">Keywords</w:t>
      </w:r>
      <w:r>
        <w:t xml:space="preserve">: prequestions, pretesting, eye tracking, reading, attention, learning</w:t>
      </w:r>
    </w:p>
    <w:p>
      <w:r>
        <w:br w:type="page"/>
      </w:r>
    </w:p>
    <w:bookmarkEnd w:id="25"/>
    <w:bookmarkStart w:id="28" w:name="firstheader"/>
    <w:p>
      <w:pPr>
        <w:pStyle w:val="Heading1"/>
      </w:pPr>
      <w:r>
        <w:t xml:space="preserve">Where Do Prequestions Direct Attention? An Eye-Tracking Study of the Prequestion Effect</w:t>
      </w:r>
    </w:p>
    <w:p>
      <w:pPr>
        <w:pStyle w:val="FirstParagraph"/>
      </w:pPr>
      <w:r>
        <w:t xml:space="preserve">The idea that learning should be error-free and effortless, while intuitive, runs counter to decades of research at the interface of cognitive science and education. Making learning more effortful, and even more error-prone, can be highly beneficial for long-term retention</w:t>
      </w:r>
      <w:r>
        <w:t xml:space="preserve"> </w:t>
      </w:r>
      <w:r>
        <w:t xml:space="preserve">(</w:t>
      </w:r>
      <w:hyperlink w:anchor="ref-bjork1994">
        <w:r>
          <w:rPr>
            <w:rStyle w:val="Hyperlink"/>
          </w:rPr>
          <w:t xml:space="preserve">Bjork, 1994</w:t>
        </w:r>
      </w:hyperlink>
      <w:r>
        <w:t xml:space="preserve">)</w:t>
      </w:r>
      <w:r>
        <w:t xml:space="preserve">. This concept of</w:t>
      </w:r>
      <w:r>
        <w:t xml:space="preserve"> </w:t>
      </w:r>
      <w:r>
        <w:rPr>
          <w:i/>
          <w:iCs/>
        </w:rPr>
        <w:t xml:space="preserve">desirable difficulties</w:t>
      </w:r>
      <w:r>
        <w:t xml:space="preserve"> </w:t>
      </w:r>
      <w:r>
        <w:t xml:space="preserve">has inspired a large literature examining which learning techniques enhance memory and the mechanisms that underlie their benefits.</w:t>
      </w:r>
    </w:p>
    <w:p>
      <w:pPr>
        <w:pStyle w:val="BodyText"/>
      </w:pPr>
      <w:r>
        <w:t xml:space="preserve">One of the most widely studied techniques is testing. Testing not only reveals gaps in knowledge to students and teachers, it also potentiates learning: retrieving studied information improves later memory more than restudying it does</w:t>
      </w:r>
      <w:r>
        <w:t xml:space="preserve"> </w:t>
      </w:r>
      <w:r>
        <w:t xml:space="preserve">(</w:t>
      </w:r>
      <w:hyperlink w:anchor="ref-carpenter2012">
        <w:r>
          <w:rPr>
            <w:rStyle w:val="Hyperlink"/>
          </w:rPr>
          <w:t xml:space="preserve">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This</w:t>
      </w:r>
      <w:r>
        <w:t xml:space="preserve"> </w:t>
      </w:r>
      <w:r>
        <w:rPr>
          <w:i/>
          <w:iCs/>
        </w:rPr>
        <w:t xml:space="preserve">testing effect</w:t>
      </w:r>
      <w:r>
        <w:t xml:space="preserve">, or retrieval practice effect, is robust and has been found across many types of materials and contexts.</w:t>
      </w:r>
    </w:p>
    <w:p>
      <w:pPr>
        <w:pStyle w:val="BodyText"/>
      </w:pPr>
      <w:r>
        <w:t xml:space="preserve">Attempting to retrieve information can also help</w:t>
      </w:r>
      <w:r>
        <w:t xml:space="preserve"> </w:t>
      </w:r>
      <w:r>
        <w:rPr>
          <w:i/>
          <w:iCs/>
        </w:rPr>
        <w:t xml:space="preserve">before</w:t>
      </w:r>
      <w:r>
        <w:t xml:space="preserve"> </w:t>
      </w:r>
      <w:r>
        <w:t xml:space="preserve">that information has been studied. In a typical prequestion study</w:t>
      </w:r>
      <w:r>
        <w:t xml:space="preserve"> </w:t>
      </w:r>
      <w:r>
        <w:t xml:space="preserve">(e.g.,</w:t>
      </w:r>
      <w:r>
        <w:t xml:space="preserve"> </w:t>
      </w:r>
      <w:hyperlink w:anchor="ref-richland2009">
        <w:r>
          <w:rPr>
            <w:rStyle w:val="Hyperlink"/>
          </w:rPr>
          <w:t xml:space="preserve">Richland et al., 2009</w:t>
        </w:r>
      </w:hyperlink>
      <w:r>
        <w:t xml:space="preserve">)</w:t>
      </w:r>
      <w:r>
        <w:t xml:space="preserve">, learners are assigned to a prequestion group or a control group. The prequestion group first answers questions about the to-be-learned material and is encouraged to give its best guess even when the answers are unknown; the control group begins learning without answering any questions. Both groups then study the material and take a final test. The typical finding is that the prequestion group remembers the prequestioned information better than the control group does—the</w:t>
      </w:r>
      <w:r>
        <w:t xml:space="preserve"> </w:t>
      </w:r>
      <w:r>
        <w:rPr>
          <w:i/>
          <w:iCs/>
        </w:rPr>
        <w:t xml:space="preserve">prequestion effect</w:t>
      </w:r>
      <w:r>
        <w:t xml:space="preserve">, also called the pretrieval effect.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Carpenter &amp; Toftness, 2017</w:t>
        </w:r>
      </w:hyperlink>
      <w:r>
        <w:t xml:space="preserve">)</w:t>
      </w:r>
      <w:r>
        <w:t xml:space="preserve">, on the kinds of questions used,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Carpenter &amp; Toftness, 2017</w:t>
        </w:r>
      </w:hyperlink>
      <w:r>
        <w:t xml:space="preserve">;</w:t>
      </w:r>
      <w:r>
        <w:t xml:space="preserve"> </w:t>
      </w:r>
      <w:hyperlink w:anchor="ref-sthilaire2020">
        <w:r>
          <w:rPr>
            <w:rStyle w:val="Hyperlink"/>
          </w:rPr>
          <w:t xml:space="preserve">K. J. St. Hilaire &amp; Carpenter, 2020</w:t>
        </w:r>
      </w:hyperlink>
      <w:r>
        <w:t xml:space="preserve">)</w:t>
      </w:r>
      <w:r>
        <w:t xml:space="preserve">, and has been examined in classroom settings, with mixed results</w:t>
      </w:r>
      <w:r>
        <w:t xml:space="preserve"> </w:t>
      </w:r>
      <w:r>
        <w:t xml:space="preserve">(</w:t>
      </w:r>
      <w:hyperlink w:anchor="ref-carpenter2018">
        <w:r>
          <w:rPr>
            <w:rStyle w:val="Hyperlink"/>
          </w:rPr>
          <w:t xml:space="preserve">Carpenter et al., 2018</w:t>
        </w:r>
      </w:hyperlink>
      <w:r>
        <w:t xml:space="preserve">;</w:t>
      </w:r>
      <w:r>
        <w:t xml:space="preserve"> </w:t>
      </w:r>
      <w:hyperlink w:anchor="ref-geller2017">
        <w:r>
          <w:rPr>
            <w:rStyle w:val="Hyperlink"/>
          </w:rPr>
          <w:t xml:space="preserve">Geller et al., 2017</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do prequestions benefit learning? One possibility is that they focus attention. Prequestions signal what is likely to be important on an upcoming test, so learners may invest more processing in information related to the prequestions—for example, by searching for and dwelling on the answers when they encounter them. On this</w:t>
      </w:r>
      <w:r>
        <w:t xml:space="preserve"> </w:t>
      </w:r>
      <w:r>
        <w:rPr>
          <w:i/>
          <w:iCs/>
        </w:rPr>
        <w:t xml:space="preserve">selective-attention</w:t>
      </w:r>
      <w:r>
        <w:t xml:space="preserve"> </w:t>
      </w:r>
      <w:r>
        <w:t xml:space="preserve">account, prequestioned information is remembered better because it receives more attention during learning, a view consistent with answer-search and attentional accounts of prequestion effects reviewed by</w:t>
      </w:r>
      <w:r>
        <w:t xml:space="preserve"> </w:t>
      </w:r>
      <w:r>
        <w:t xml:space="preserve">Pan and Carpenter (</w:t>
      </w:r>
      <w:hyperlink w:anchor="ref-pan2023">
        <w:r>
          <w:rPr>
            <w:rStyle w:val="Hyperlink"/>
          </w:rPr>
          <w:t xml:space="preserve">2023</w:t>
        </w:r>
      </w:hyperlink>
      <w:r>
        <w:t xml:space="preserve">)</w:t>
      </w:r>
      <w:r>
        <w:t xml:space="preserve">. On the attentional-window account, for example, prequestions heighten attention until their answers are found</w:t>
      </w:r>
      <w:r>
        <w:t xml:space="preserve"> </w:t>
      </w:r>
      <w:r>
        <w:t xml:space="preserve">(</w:t>
      </w:r>
      <w:hyperlink w:anchor="ref-sana2023">
        <w:r>
          <w:rPr>
            <w:rStyle w:val="Hyperlink"/>
          </w:rPr>
          <w:t xml:space="preserve">Sana &amp; Carpenter, 2023</w:t>
        </w:r>
      </w:hyperlink>
      <w:r>
        <w:t xml:space="preserve">)</w:t>
      </w:r>
      <w:r>
        <w:t xml:space="preserve">, and in video lectures, prequestions have been found to lengthen fixations on question-relevant content, at least for highly motivated learners</w:t>
      </w:r>
      <w:r>
        <w:t xml:space="preserve"> </w:t>
      </w:r>
      <w:r>
        <w:t xml:space="preserve">(</w:t>
      </w:r>
      <w:hyperlink w:anchor="ref-yang2021">
        <w:r>
          <w:rPr>
            <w:rStyle w:val="Hyperlink"/>
          </w:rPr>
          <w:t xml:space="preserve">Yang et al., 2021</w:t>
        </w:r>
      </w:hyperlink>
      <w:r>
        <w:t xml:space="preserve">)</w:t>
      </w:r>
      <w:r>
        <w:t xml:space="preserve">.</w:t>
      </w:r>
    </w:p>
    <w:p>
      <w:pPr>
        <w:pStyle w:val="BodyText"/>
      </w:pPr>
      <w:r>
        <w:t xml:space="preserve">Eye tracking offers a direct way to test this account, and measures of real-time processing such as eye tracking have been identified as a key direction for prequestion research</w:t>
      </w:r>
      <w:r>
        <w:t xml:space="preserve"> </w:t>
      </w:r>
      <w:r>
        <w:t xml:space="preserve">(</w:t>
      </w:r>
      <w:hyperlink w:anchor="ref-pan2023">
        <w:r>
          <w:rPr>
            <w:rStyle w:val="Hyperlink"/>
          </w:rPr>
          <w:t xml:space="preserve">Pan &amp; Carpenter, 2023</w:t>
        </w:r>
      </w:hyperlink>
      <w:r>
        <w:t xml:space="preserve">)</w:t>
      </w:r>
      <w:r>
        <w:t xml:space="preserve">, because where and how long readers look indicates where they allocate attention while reading. Few studies have used eye tracking to examine prequestions during reading.</w:t>
      </w:r>
      <w:r>
        <w:t xml:space="preserve"> </w:t>
      </w:r>
      <w:r>
        <w:t xml:space="preserve">Lewis and Mensink (</w:t>
      </w:r>
      <w:hyperlink w:anchor="ref-lewis2012">
        <w:r>
          <w:rPr>
            <w:rStyle w:val="Hyperlink"/>
          </w:rPr>
          <w:t xml:space="preserve">2012</w:t>
        </w:r>
      </w:hyperlink>
      <w:r>
        <w:t xml:space="preserve">, Experiment 2)</w:t>
      </w:r>
      <w:r>
        <w:t xml:space="preserve"> </w:t>
      </w:r>
      <w:r>
        <w:t xml:space="preserve">had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Because only TB was prequestioned, however, prequestioned and non-prequestioned information always came from different sentences, and the comparisons were between two groups of about 21 readers.</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attentional account, but with 24 participants the estimates are imprecise, and because the comparison was between groups of readers, differences in reading the same sentences cannot be separated from differences between the readers themselves.</w:t>
      </w:r>
    </w:p>
    <w:p>
      <w:pPr>
        <w:pStyle w:val="BodyText"/>
      </w:pPr>
      <w:r>
        <w:t xml:space="preserve">Whether attention is the main mechanism is not settled, however. In a large classroom study, prequestions before online lecture videos improved learning even though students did not watch more of the videos afterwards</w:t>
      </w:r>
      <w:r>
        <w:t xml:space="preserve"> </w:t>
      </w:r>
      <w:r>
        <w:t xml:space="preserve">(</w:t>
      </w:r>
      <w:hyperlink w:anchor="ref-motz2026">
        <w:r>
          <w:rPr>
            <w:rStyle w:val="Hyperlink"/>
          </w:rPr>
          <w:t xml:space="preserve">Motz et al., 2026</w:t>
        </w:r>
      </w:hyperlink>
      <w:r>
        <w:t xml:space="preserve">)</w:t>
      </w:r>
      <w:r>
        <w:t xml:space="preserve">, suggesting that prequestions can improve learning without increasing the time spent on the material.</w:t>
      </w:r>
    </w:p>
    <w:bookmarkStart w:id="27" w:name="the-current-study"/>
    <w:p>
      <w:pPr>
        <w:pStyle w:val="Heading2"/>
      </w:pPr>
      <w:r>
        <w:t xml:space="preserve">The Current Study</w:t>
      </w:r>
    </w:p>
    <w:p>
      <w:pPr>
        <w:pStyle w:val="FirstParagraph"/>
      </w:pPr>
      <w:r>
        <w:t xml:space="preserve">The current study tested the selective-attention account with a substantially larger sample and a design that separates the effect of prequestions from properties of the sentences themselves.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Before reading, participants answered five prequestions about polio, five prequestions about TB, or no prequestions (Control).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Prequestioned and non-prequestioned reading could therefore be compared on the very same sentences, and the Control condition provided a baseline for reading the two topics without prequestions.</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second-pass regressions—reflect all processing a sentence receives, including later returns to it. The</w:t>
      </w:r>
      <w:r>
        <w:t xml:space="preserve"> </w:t>
      </w:r>
      <w:r>
        <w:rPr>
          <w:i/>
          <w:iCs/>
        </w:rPr>
        <w:t xml:space="preserve">local</w:t>
      </w:r>
      <w:r>
        <w:t xml:space="preserve"> </w:t>
      </w:r>
      <w:r>
        <w:t xml:space="preserve">measure—first-pass duration—reflects processing when a sentence is first encountered. Distinguishing the two indicates</w:t>
      </w:r>
      <w:r>
        <w:t xml:space="preserve"> </w:t>
      </w:r>
      <w:r>
        <w:rPr>
          <w:i/>
          <w:iCs/>
        </w:rPr>
        <w:t xml:space="preserve">when</w:t>
      </w:r>
      <w:r>
        <w:t xml:space="preserve"> </w:t>
      </w:r>
      <w:r>
        <w:t xml:space="preserve">prequestions change processing: as readers first encounter the answer, or when they return to it later.</w:t>
      </w:r>
    </w:p>
    <w:bookmarkStart w:id="26" w:name="hypotheses"/>
    <w:p>
      <w:pPr>
        <w:pStyle w:val="Heading3"/>
      </w:pPr>
      <w:r>
        <w:t xml:space="preserve">Hypotheses</w:t>
      </w:r>
    </w:p>
    <w:p>
      <w:pPr>
        <w:pStyle w:val="FirstParagraph"/>
      </w:pPr>
      <w:r>
        <w:t xml:space="preserve">For final test performance, we compared each prequestion condition with the Control condition on each topic. We predicted a specific benefit—better performance than Control on the prequestioned topic—but no general benefit on the non-prequestioned topic.</w:t>
      </w:r>
    </w:p>
    <w:p>
      <w:pPr>
        <w:pStyle w:val="BodyText"/>
      </w:pPr>
      <w:r>
        <w:t xml:space="preserve">For eye movements, we predicted that prequestioned information would receive longer gaze durations and longer re-reading than non-prequestioned information. Specifically, readers given Polio prequestions should spend longer on Polio than on TB sentences, readers given TB prequestions should show the reverse pattern, and Control readers should show no difference between the two topics.</w:t>
      </w:r>
    </w:p>
    <w:bookmarkEnd w:id="26"/>
    <w:bookmarkEnd w:id="27"/>
    <w:bookmarkEnd w:id="28"/>
    <w:bookmarkStart w:id="48"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w:t>
      </w:r>
    </w:p>
    <w:bookmarkStart w:id="29"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K. St. Hilaire et al. (</w:t>
      </w:r>
      <w:hyperlink w:anchor="ref-sthilaire2023">
        <w:r>
          <w:rPr>
            <w:rStyle w:val="Hyperlink"/>
          </w:rPr>
          <w:t xml:space="preserve">2023</w:t>
        </w:r>
      </w:hyperlink>
      <w:r>
        <w:t xml:space="preserve">)</w:t>
      </w:r>
      <w:r>
        <w:t xml:space="preserve">), corresponding to an odds ratio of 2.66. A power simulation 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Boston College SONA subject pool and received course credit. Eye-tracking data were recorded from 160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137 participants (Control: 47; Polio prequestions: 44; TB prequestions: 46). Calibration validation data were available for 134 of the 137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 [CHECK: report the prior-knowledge question and any exclusions here].</w:t>
      </w:r>
    </w:p>
    <w:bookmarkEnd w:id="29"/>
    <w:bookmarkStart w:id="30"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and five about TB (4–35 words long).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Control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30"/>
    <w:bookmarkStart w:id="31"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31"/>
    <w:bookmarkStart w:id="32" w:name="procedure"/>
    <w:p>
      <w:pPr>
        <w:pStyle w:val="Heading2"/>
      </w:pPr>
      <w:r>
        <w:t xml:space="preserve">Procedure</w:t>
      </w:r>
    </w:p>
    <w:p>
      <w:pPr>
        <w:pStyle w:val="FirstParagraph"/>
      </w:pPr>
      <w:r>
        <w:t xml:space="preserve">At the start of the experiment, each participant was randomly assigned to one of three conditions (Polio prequestions, TB prequestions, or Control). Prior to the text being shown, participants in the prequestion conditions answered five short-answer questions on their topic, presented in a random order (https://run.pavlovia.org/Jgeller112/preq). Participants were informed that although they may not know the correct answers to these questions, they should give their best guess. Responses were typed into a box on the computer screen while the question was presented directly above it. Participants had unlimited time to enter their responses and pressed a triangle at the bottom of the screen when they were finished. Feedback was not provided after the prequestions. Before the reading task, the eye tracker was calibrated with Tobii Pro Lab’s 9-point calibration procedure (white targets on a grey background), and calibration accuracy and precision were validated and recorded before reading began. The Control condition followed the same procedure, without answering prequestions.</w:t>
      </w:r>
    </w:p>
    <w:p>
      <w:pPr>
        <w:pStyle w:val="BodyText"/>
      </w:pPr>
      <w:r>
        <w:t xml:space="preserve">After reading the passage, all participants completed a distractor task, the president recognition task (https://run.pavlovia.org/Jgeller112/preq_president), lasting approximately 3 minutes. After the distractor task, participants answered all ten questions on the final test, in a random order (https://run.pavlovia.org/Jgeller112/preQ_test). For participants in the prequestion conditions, five of the questions were the prequestions seen before, and five were new. Participants had unlimited time to respond, using the same format as for the prequestions, and no feedback was provided. Following the final test, participants were thanked and debriefed.</w:t>
      </w:r>
    </w:p>
    <w:bookmarkEnd w:id="32"/>
    <w:bookmarkStart w:id="33"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w:t>
      </w:r>
    </w:p>
    <w:bookmarkEnd w:id="33"/>
    <w:bookmarkStart w:id="42"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I-VT (velocity-threshold identification) fixation filter.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97.0%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8.3%.</w:t>
      </w:r>
    </w:p>
    <w:bookmarkStart w:id="37"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38574"/>
            <wp:effectExtent b="0" l="0" r="0" t="0"/>
            <wp:docPr descr="" title="" id="35" name="Picture"/>
            <a:graphic>
              <a:graphicData uri="http://schemas.openxmlformats.org/drawingml/2006/picture">
                <pic:pic>
                  <pic:nvPicPr>
                    <pic:cNvPr descr="manuscript_files/figure-docx/fig-aois-1.png" id="36" name="Picture"/>
                    <pic:cNvPicPr>
                      <a:picLocks noChangeArrowheads="1" noChangeAspect="1"/>
                    </pic:cNvPicPr>
                  </pic:nvPicPr>
                  <pic:blipFill>
                    <a:blip r:embed="rId34"/>
                    <a:stretch>
                      <a:fillRect/>
                    </a:stretch>
                  </pic:blipFill>
                  <pic:spPr bwMode="auto">
                    <a:xfrm>
                      <a:off x="0" y="0"/>
                      <a:ext cx="5943600" cy="3838574"/>
                    </a:xfrm>
                    <a:prstGeom prst="rect">
                      <a:avLst/>
                    </a:prstGeom>
                    <a:noFill/>
                    <a:ln w="9525">
                      <a:noFill/>
                      <a:headEnd/>
                      <a:tailEnd/>
                    </a:ln>
                  </pic:spPr>
                </pic:pic>
              </a:graphicData>
            </a:graphic>
          </wp:inline>
        </w:drawing>
      </w:r>
    </w:p>
    <w:bookmarkEnd w:id="37"/>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1"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1775"/>
            <wp:effectExtent b="0" l="0" r="0" t="0"/>
            <wp:docPr descr="" title="" id="39" name="Picture"/>
            <a:graphic>
              <a:graphicData uri="http://schemas.openxmlformats.org/drawingml/2006/picture">
                <pic:pic>
                  <pic:nvPicPr>
                    <pic:cNvPr descr="manuscript_files/figure-docx/fig-scanpath-1.png" id="40" name="Picture"/>
                    <pic:cNvPicPr>
                      <a:picLocks noChangeArrowheads="1" noChangeAspect="1"/>
                    </pic:cNvPicPr>
                  </pic:nvPicPr>
                  <pic:blipFill>
                    <a:blip r:embed="rId38"/>
                    <a:stretch>
                      <a:fillRect/>
                    </a:stretch>
                  </pic:blipFill>
                  <pic:spPr bwMode="auto">
                    <a:xfrm>
                      <a:off x="0" y="0"/>
                      <a:ext cx="5943600" cy="6581775"/>
                    </a:xfrm>
                    <a:prstGeom prst="rect">
                      <a:avLst/>
                    </a:prstGeom>
                    <a:noFill/>
                    <a:ln w="9525">
                      <a:noFill/>
                      <a:headEnd/>
                      <a:tailEnd/>
                    </a:ln>
                  </pic:spPr>
                </pic:pic>
              </a:graphicData>
            </a:graphic>
          </wp:inline>
        </w:drawing>
      </w:r>
    </w:p>
    <w:bookmarkEnd w:id="41"/>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Eye-Movement Data Processing),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2"/>
    <w:bookmarkStart w:id="44"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1370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tbl-measures">
        <w:r>
          <w:rPr>
            <w:rStyle w:val="Hyperlink"/>
          </w:rPr>
          <w:t xml:space="preserve">Table 1</w:t>
        </w:r>
      </w:hyperlink>
      <w:r>
        <w:t xml:space="preserve">).</w:t>
      </w:r>
    </w:p>
    <w:bookmarkStart w:id="43" w:name="tbl-measures"/>
    <w:p>
      <w:pPr>
        <w:pStyle w:val="FigureTitle"/>
      </w:pPr>
      <w:r>
        <w:t xml:space="preserve">Table 1</w:t>
      </w:r>
    </w:p>
    <w:p>
      <w:pPr>
        <w:pStyle w:val="Caption"/>
      </w:pPr>
      <w:r>
        <w:t xml:space="preserve">Eye-Movement Measures</w:t>
      </w:r>
    </w:p>
    <w:tbl>
      <w:tblPr>
        <w:tblStyle w:val="Table"/>
        <w:tblW w:type="pct" w:w="5000"/>
        <w:tblLayout w:type="fixed"/>
        <w:tblLook w:firstRow="1" w:lastRow="0" w:firstColumn="0" w:lastColumn="0" w:noHBand="0" w:noVBand="0" w:val="0020"/>
      </w:tblPr>
      <w:tblGrid>
        <w:gridCol w:w="1900"/>
        <w:gridCol w:w="1267"/>
        <w:gridCol w:w="4752"/>
      </w:tblGrid>
      <w:tr>
        <w:trPr>
          <w:tblHeader w:val="on"/>
        </w:trPr>
        <w:tc>
          <w:tcPr/>
          <w:p>
            <w:pPr>
              <w:pStyle w:val="Compact"/>
              <w:jc w:val="left"/>
            </w:pPr>
            <w:r>
              <w:t xml:space="preserve">Measure</w:t>
            </w:r>
          </w:p>
        </w:tc>
        <w:tc>
          <w:tcPr/>
          <w:p>
            <w:pPr>
              <w:pStyle w:val="Compact"/>
              <w:jc w:val="left"/>
            </w:pPr>
            <w:r>
              <w:t xml:space="preserve">Type</w:t>
            </w:r>
          </w:p>
        </w:tc>
        <w:tc>
          <w:tcPr/>
          <w:p>
            <w:pPr>
              <w:pStyle w:val="Compact"/>
              <w:jc w:val="left"/>
            </w:pPr>
            <w:r>
              <w:t xml:space="preserve">Definition</w:t>
            </w:r>
          </w:p>
        </w:tc>
      </w:tr>
      <w:tr>
        <w:tc>
          <w:tcPr/>
          <w:p>
            <w:pPr>
              <w:pStyle w:val="Compact"/>
              <w:jc w:val="left"/>
            </w:pPr>
            <w:r>
              <w:t xml:space="preserve">Total gaze duration</w:t>
            </w:r>
          </w:p>
        </w:tc>
        <w:tc>
          <w:tcPr/>
          <w:p>
            <w:pPr>
              <w:pStyle w:val="Compact"/>
              <w:jc w:val="left"/>
            </w:pPr>
            <w:r>
              <w:t xml:space="preserve">Global</w:t>
            </w:r>
          </w:p>
        </w:tc>
        <w:tc>
          <w:tcPr/>
          <w:p>
            <w:pPr>
              <w:pStyle w:val="Compact"/>
              <w:jc w:val="left"/>
            </w:pPr>
            <w:r>
              <w:t xml:space="preserve">Summed duration of all fixations on the sentence.</w:t>
            </w:r>
          </w:p>
        </w:tc>
      </w:tr>
      <w:tr>
        <w:tc>
          <w:tcPr/>
          <w:p>
            <w:pPr>
              <w:pStyle w:val="Compact"/>
              <w:jc w:val="left"/>
            </w:pPr>
            <w:r>
              <w:t xml:space="preserve">Re-reading (second-pass) time</w:t>
            </w:r>
          </w:p>
        </w:tc>
        <w:tc>
          <w:tcPr/>
          <w:p>
            <w:pPr>
              <w:pStyle w:val="Compact"/>
              <w:jc w:val="left"/>
            </w:pPr>
            <w:r>
              <w:t xml:space="preserve">Global</w:t>
            </w:r>
          </w:p>
        </w:tc>
        <w:tc>
          <w:tcPr/>
          <w:p>
            <w:pPr>
              <w:pStyle w:val="Compact"/>
              <w:jc w:val="left"/>
            </w:pPr>
            <w:r>
              <w:t xml:space="preserve">Summed duration of fixations on the sentence after its first pass, i.e., returns to it after first-pass reading (total gaze duration minus first-pass duration, excluding fixations before reading started). Operationalizes the preregistered re-reading measure. Analysed in two parts: whether the sentence was re-read, and re-reading time when it was.</w:t>
            </w:r>
          </w:p>
        </w:tc>
      </w:tr>
      <w:tr>
        <w:tc>
          <w:tcPr/>
          <w:p>
            <w:pPr>
              <w:pStyle w:val="Compact"/>
              <w:jc w:val="left"/>
            </w:pPr>
            <w:r>
              <w:t xml:space="preserve">Second-pass regression</w:t>
            </w:r>
          </w:p>
        </w:tc>
        <w:tc>
          <w:tcPr/>
          <w:p>
            <w:pPr>
              <w:pStyle w:val="Compact"/>
              <w:jc w:val="left"/>
            </w:pPr>
            <w:r>
              <w:t xml:space="preserve">Global</w:t>
            </w:r>
          </w:p>
        </w:tc>
        <w:tc>
          <w:tcPr/>
          <w:p>
            <w:pPr>
              <w:pStyle w:val="Compact"/>
              <w:jc w:val="left"/>
            </w:pPr>
            <w:r>
              <w:t xml:space="preserve">Whether the reader returned to the sentence from later text after first-pass reading had moved past it (0/1).</w:t>
            </w:r>
          </w:p>
        </w:tc>
      </w:tr>
      <w:tr>
        <w:tc>
          <w:tcPr/>
          <w:p>
            <w:pPr>
              <w:pStyle w:val="Compact"/>
              <w:jc w:val="left"/>
            </w:pPr>
            <w:r>
              <w:t xml:space="preserve">First-pass duration</w:t>
            </w:r>
          </w:p>
        </w:tc>
        <w:tc>
          <w:tcPr/>
          <w:p>
            <w:pPr>
              <w:pStyle w:val="Compact"/>
              <w:jc w:val="left"/>
            </w:pPr>
            <w:r>
              <w:t xml:space="preserve">Local</w:t>
            </w:r>
          </w:p>
        </w:tc>
        <w:tc>
          <w:tcPr/>
          <w:p>
            <w:pPr>
              <w:pStyle w:val="Compact"/>
              <w:jc w:val="left"/>
            </w:pPr>
            <w:r>
              <w:t xml:space="preserve">Summed duration of fixations from first entering the sentence until first leaving it, provided no later sentence had been read.</w:t>
            </w:r>
          </w:p>
        </w:tc>
      </w:tr>
    </w:tbl>
    <w:bookmarkEnd w:id="43"/>
    <w:p>
      <w:pPr>
        <w:pStyle w:val="FigureNote"/>
      </w:pPr>
      <w:r>
        <w:rPr>
          <w:i/>
          <w:iCs/>
        </w:rPr>
        <w:t xml:space="preserve">Note</w:t>
      </w:r>
      <w:r>
        <w:t xml:space="preserve">. Durations are in milliseconds per word. A</w:t>
      </w:r>
      <w:r>
        <w:t xml:space="preserve"> </w:t>
      </w:r>
      <w:r>
        <w:rPr>
          <w:i/>
          <w:iCs/>
        </w:rPr>
        <w:t xml:space="preserve">pass</w:t>
      </w:r>
      <w:r>
        <w:t xml:space="preserve"> </w:t>
      </w:r>
      <w:r>
        <w:t xml:space="preserve">is a sequence of consecutive fixations on the same sentence. First-pass duration is defined only for sentences read during first-pass reading (not skipped).</w:t>
      </w:r>
    </w:p>
    <w:bookmarkEnd w:id="44"/>
    <w:bookmarkStart w:id="47" w:name="statistical-analysis"/>
    <w:p>
      <w:pPr>
        <w:pStyle w:val="Heading2"/>
      </w:pPr>
      <w:r>
        <w:t xml:space="preserve">Statistical Analysis</w:t>
      </w:r>
    </w:p>
    <w:p>
      <w:pPr>
        <w:pStyle w:val="FirstParagraph"/>
      </w:pPr>
      <w:r>
        <w:t xml:space="preserve">All analyses were conducted in R (4.6.1).</w:t>
      </w:r>
      <w:r>
        <w:rPr>
          <w:rStyle w:val="FootnoteReference"/>
        </w:rPr>
        <w:footnoteReference w:id="45"/>
      </w:r>
      <w:r>
        <w:t xml:space="preserve"> </w:t>
      </w:r>
      <w:r>
        <w:t xml:space="preserve">No duration measure was analysed with a linear mixed model, because reading times are strongly right-skewed. The preregistration specified that heavily skewed durations would be analysed with an ex-Gaussian distribution, focusing on its μ parameter. Total gaze duration was heavily right-skewed (skewness = 1.71), so it was analysed with an ex-Gaussian distributional model (gamlss 5.5.5). The ex-Gaussian describes a duration as the sum of a Gaussian component, whose mean μ reflects typical reading time, and an exponential component, whose mean τ reflects the tail of unusually long readings; the overall mean equals μ + τ. Condition, Topic, and their interaction predicted both μ and τ (log link), with by-participant random intercepts on μ; σ was constant. Contrasts were computed with the delta method, and the Condition × Topic interaction was tested with Wald χ² tests, separately for μ and τ.</w:t>
      </w:r>
    </w:p>
    <w:p>
      <w:pPr>
        <w:pStyle w:val="BodyText"/>
      </w:pPr>
      <w:r>
        <w:t xml:space="preserve">The ex-Gaussian model could not be estimated for first-pass duration and re-reading time: in both gamlss and a Bayesian implementation (brms), the spread σ of the Gaussian component collapsed to zero, because both measures include a large cluster of very brief readings (single short fixations on a sentence), so their distributions have no Gaussian component. These measures were therefore analysed with Gamma generalized linear mixed models with a log link (glmmTMB 1.1.14), which model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Re-reading time was zero for 38.2% of sentences, which were never re-read; because a Gamma distribution cannot produce zeros, re-reading was analysed as a hurdle (zero-inflated) Gamma model with two parts: a logistic mixed model for</w:t>
      </w:r>
      <w:r>
        <w:t xml:space="preserve"> </w:t>
      </w:r>
      <w:r>
        <w:rPr>
          <w:i/>
          <w:iCs/>
        </w:rPr>
        <w:t xml:space="preserve">whether</w:t>
      </w:r>
      <w:r>
        <w:t xml:space="preserve"> </w:t>
      </w:r>
      <w:r>
        <w:t xml:space="preserve">a sentence was re-read, and a Gamma mixed model for</w:t>
      </w:r>
      <w:r>
        <w:t xml:space="preserve"> </w:t>
      </w:r>
      <w:r>
        <w:rPr>
          <w:i/>
          <w:iCs/>
        </w:rPr>
        <w:t xml:space="preserve">how long</w:t>
      </w:r>
      <w:r>
        <w:t xml:space="preserve"> </w:t>
      </w:r>
      <w:r>
        <w:t xml:space="preserve">it was re-read when it was. The two parts share no parameters and were therefore fitted separately. The Gamma models included Condition (Control, Polio, TB; between participants), Topic (Polio, TB sentences; within participants), and their interaction as effect-coded fixed effects. Whether a sentence was re-read was analysed with a logistic mixed model with the same fixed effects. Random effects were selected by model comparison</w:t>
      </w:r>
      <w:r>
        <w:t xml:space="preserve"> </w:t>
      </w:r>
      <w:r>
        <w:t xml:space="preserve">(</w:t>
      </w:r>
      <w:hyperlink w:anchor="ref-matuschek2017">
        <w:r>
          <w:rPr>
            <w:rStyle w:val="Hyperlink"/>
          </w:rPr>
          <w:t xml:space="preserve">Matuschek et al., 2017</w:t>
        </w:r>
      </w:hyperlink>
      <w:r>
        <w:t xml:space="preserve">)</w:t>
      </w:r>
      <w:r>
        <w:t xml:space="preserve">. Each mixed model started from the maximal structure justified by the design</w:t>
      </w:r>
      <w:r>
        <w:t xml:space="preserve"> </w:t>
      </w:r>
      <w:r>
        <w:t xml:space="preserve">(</w:t>
      </w:r>
      <w:hyperlink w:anchor="ref-barr2013">
        <w:r>
          <w:rPr>
            <w:rStyle w:val="Hyperlink"/>
          </w:rPr>
          <w:t xml:space="preserve">Barr et al., 2013</w:t>
        </w:r>
      </w:hyperlink>
      <w:r>
        <w:t xml:space="preserve">)</w:t>
      </w:r>
      <w:r>
        <w:t xml:space="preserve">: random intercepts for participants and sentences, by-participant slopes for Topic (which varied within participants), and by-sentence slopes for Condition (every sentence was read in all three conditions). If the maximal model was singular or did not converge, the random-effect correlations were removed. Random slopes were then removed one at a time by backward selection: at each step, the slope whose removal reduced model fit least, according to a likelihood-ratio test, was removed if</w:t>
      </w:r>
      <w:r>
        <w:t xml:space="preserve"> </w:t>
      </w:r>
      <w:r>
        <w:rPr>
          <w:i/>
          <w:iCs/>
        </w:rPr>
        <w:t xml:space="preserve">p</w:t>
      </w:r>
      <w:r>
        <w:t xml:space="preserve"> </w:t>
      </w:r>
      <w:r>
        <w:t xml:space="preserve">&gt; .20 or if the model was still singular. The random intercepts were always kept. The final structures are listed in</w:t>
      </w:r>
      <w:r>
        <w:t xml:space="preserve"> </w:t>
      </w:r>
      <w:hyperlink w:anchor="tbl-re">
        <w:r>
          <w:rPr>
            <w:rStyle w:val="Hyperlink"/>
          </w:rPr>
          <w:t xml:space="preserve">Table B1</w:t>
        </w:r>
      </w:hyperlink>
      <w:r>
        <w:t xml:space="preserve">. For the mixed models, omnibus effects were tested with type-III Wald χ² tests. For the mixed models, means and contrasts were obtained by averaging model predictions over the observed sample (modelbased 0.16.0 with the marginaleffects 0.32.0 backend and</w:t>
      </w:r>
      <w:r>
        <w:t xml:space="preserve"> </w:t>
      </w:r>
      <w:r>
        <w:rPr>
          <w:rStyle w:val="VerbatimChar"/>
        </w:rPr>
        <w:t xml:space="preserve">estimate = "average"</w:t>
      </w:r>
      <w:r>
        <w:t xml:space="preserve">), which incorporates the variation due to the random effects. All effects on durations are reported on the original scale, in ms per word: contrasts are differences between model-predicted durations rather than log-scale coefficients. The preregistered predictions were directional, so the Polio − TB contrasts in the Polio condition (predicted positive) and the TB condition (predicted negative) were tested one-tailed for durations and re-reading (for total gaze duration, for both μ and τ); the Control contrast was tested two-tailed. For one-tailed tests, we report 90% confidence intervals, which correspond to a one-tailed test at α = .05, together with both the one-tailed and the two-tailed</w:t>
      </w:r>
      <w:r>
        <w:t xml:space="preserve"> </w:t>
      </w:r>
      <w:r>
        <w:rPr>
          <w:i/>
          <w:iCs/>
        </w:rPr>
        <w:t xml:space="preserve">p</w:t>
      </w:r>
      <w:r>
        <w:t xml:space="preserve"> </w:t>
      </w:r>
      <w:r>
        <w:t xml:space="preserve">value; all other confidence intervals are 95% intervals. Main-effect and interaction follow-up contrasts were tested two-tailed and Holm-adjusted within each family.</w:t>
      </w:r>
    </w:p>
    <w:p>
      <w:pPr>
        <w:pStyle w:val="BodyText"/>
      </w:pPr>
      <w:r>
        <w:t xml:space="preserve">The preregistered hypothesis that prequestioned information receives more processing than non-prequestioned information was also tested directly, within the two prequestion conditions, by coding each target sentence as prequestioned or non-prequestioned for the reader. Because this coding varied within participants and within sentences, these models started from by-participant and by-sentence random intercepts and slopes, selected in the same way. Final test performance was analysed with the preregistered binomial mixed model of points earned out of 12 per topic, with Condition, Topic, and their interaction as fixed effects and random effects selected in the same way from the preregistered structure (by-participant intercepts and Topic slopes); the specific benefit (prequestion condition vs. Control on the prequestioned topic) was tested one-tailed and the general benefit (on the non-prequestioned topic) two-tailed.</w:t>
      </w:r>
    </w:p>
    <w:bookmarkStart w:id="46" w:name="deviations-from-the-preregistration"/>
    <w:p>
      <w:pPr>
        <w:pStyle w:val="Heading3"/>
      </w:pPr>
      <w:r>
        <w:t xml:space="preserve">Deviations From the Preregistration</w:t>
      </w:r>
    </w:p>
    <w:p>
      <w:pPr>
        <w:pStyle w:val="Compact"/>
        <w:numPr>
          <w:ilvl w:val="0"/>
          <w:numId w:val="1001"/>
        </w:numPr>
      </w:pPr>
      <w:r>
        <w:t xml:space="preserve">The preregistered re-reading measure was operationalized as second-pass time, because Tobii Pro Lab’s re-reading duration (go-past time minus first-pass time) mostly reflects time spent on earlier text rather than on the target sentence. (b) Measures were computed from the fixation data rather than taken from Tobii Pro Lab (see Eye-Movement Data Processing). (c) Durations were standardized by sentence length. (d) The preregistration specified by-participant random intercepts and Topic slopes. The eye-movement models started from a maximal structure that also included by-sentence random intercepts and slopes, and all random-effects structures were reduced by likelihood-ratio tests (</w:t>
      </w:r>
      <w:hyperlink w:anchor="tbl-re">
        <w:r>
          <w:rPr>
            <w:rStyle w:val="Hyperlink"/>
          </w:rPr>
          <w:t xml:space="preserve">Table B1</w:t>
        </w:r>
      </w:hyperlink>
      <w:r>
        <w:t xml:space="preserve">). (e) The preregistered ex-Gaussian model was fitted with gamlss rather than brms, to obtain frequentist tests, and with a simpler structure: random intercepts on μ only and a constant σ, because models with predictors or random effects on σ and τ could not be estimated. (f) First-pass duration and re-reading time were analysed with Gamma and hurdle Gamma models rather than the preregistered linear mixed model, because the preregistered alternative for skewed durations, the ex-Gaussian, could not be estimated for them. (g) The mediation analyses are exploratory. (h) The preregistration listed first-pass regressions as a measure; this was an error for second-pass regressions (whether readers returned to a sentence from later text), the measure we intended and report. First-pass regression is therefore not reported; its analysis is included in the analysis code.</w:t>
      </w:r>
    </w:p>
    <w:bookmarkEnd w:id="46"/>
    <w:bookmarkEnd w:id="47"/>
    <w:bookmarkEnd w:id="48"/>
    <w:bookmarkStart w:id="73" w:name="results"/>
    <w:p>
      <w:pPr>
        <w:pStyle w:val="Heading1"/>
      </w:pPr>
      <w:r>
        <w:t xml:space="preserve">Results</w:t>
      </w:r>
    </w:p>
    <w:bookmarkStart w:id="49"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4.2%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42.3% (Polio) and 39.6% (TB) of the prequestions; the rest were left blank or answered</w:t>
      </w:r>
      <w:r>
        <w:t xml:space="preserve"> </w:t>
      </w:r>
      <w:r>
        <w:t xml:space="preserve">“I don’t know”</w:t>
      </w:r>
      <w:r>
        <w:t xml:space="preserve">. Prequestion scores did not differ reliably between the conditions in a binomial mixed model of the points earned on each prequestion, with random intercepts for participants and questions (model-estimated scores, averaged over all ten questions: 10.3% in the TB and 8.4% in the Polio condition), a difference of 1.9 percentage points, 95% CI [-16.7, 20.5],</w:t>
      </w:r>
      <w:r>
        <w:t xml:space="preserve"> </w:t>
      </w:r>
      <w:r>
        <w:rPr>
          <w:i/>
          <w:iCs/>
        </w:rPr>
        <w:t xml:space="preserve">z</w:t>
      </w:r>
      <w:r>
        <w:t xml:space="preserve"> </w:t>
      </w:r>
      <w:r>
        <w:t xml:space="preserve">= 0.20,</w:t>
      </w:r>
      <w:r>
        <w:t xml:space="preserve"> </w:t>
      </w:r>
      <w:r>
        <w:rPr>
          <w:i/>
          <w:iCs/>
        </w:rPr>
        <w:t xml:space="preserve">p</w:t>
      </w:r>
      <w:r>
        <w:t xml:space="preserve"> </w:t>
      </w:r>
      <w:r>
        <w:t xml:space="preserve">= .840.</w:t>
      </w:r>
    </w:p>
    <w:bookmarkEnd w:id="49"/>
    <w:bookmarkStart w:id="54" w:name="final-test-performance"/>
    <w:p>
      <w:pPr>
        <w:pStyle w:val="Heading2"/>
      </w:pPr>
      <w:r>
        <w:t xml:space="preserve">Final Test Performance</w:t>
      </w:r>
    </w:p>
    <w:p>
      <w:pPr>
        <w:pStyle w:val="FirstParagraph"/>
      </w:pPr>
      <w:r>
        <w:t xml:space="preserve">Final test performance was analysed as the proportion of points earned on each topic. The Condition × Topic interaction on final test scores was significant, χ²(2) = 82.43,</w:t>
      </w:r>
      <w:r>
        <w:t xml:space="preserve"> </w:t>
      </w:r>
      <w:r>
        <w:rPr>
          <w:i/>
          <w:iCs/>
        </w:rPr>
        <w:t xml:space="preserve">p</w:t>
      </w:r>
      <w:r>
        <w:t xml:space="preserve"> </w:t>
      </w:r>
      <w:r>
        <w:t xml:space="preserve">&lt; .001 (</w:t>
      </w:r>
      <w:hyperlink w:anchor="fig-test">
        <w:r>
          <w:rPr>
            <w:rStyle w:val="Hyperlink"/>
          </w:rPr>
          <w:t xml:space="preserve">Figure 3</w:t>
        </w:r>
      </w:hyperlink>
      <w:r>
        <w:t xml:space="preserve">). Both prequestion conditions showed a specific benefit: on Polio questions, the Polio prequestion condition scored higher than Control, 21.9 percentage points, 90% CI [15.6, 28.2],</w:t>
      </w:r>
      <w:r>
        <w:t xml:space="preserve"> </w:t>
      </w:r>
      <w:r>
        <w:rPr>
          <w:i/>
          <w:iCs/>
        </w:rPr>
        <w:t xml:space="preserve">z</w:t>
      </w:r>
      <w:r>
        <w:t xml:space="preserve"> </w:t>
      </w:r>
      <w:r>
        <w:t xml:space="preserve">= 5.71,</w:t>
      </w:r>
      <w:r>
        <w:t xml:space="preserve"> </w:t>
      </w:r>
      <w:r>
        <w:rPr>
          <w:i/>
          <w:iCs/>
        </w:rPr>
        <w:t xml:space="preserve">p</w:t>
      </w:r>
      <w:r>
        <w:t xml:space="preserve"> </w:t>
      </w:r>
      <w:r>
        <w:t xml:space="preserve">&lt; .001 (one-tailed; two-tailed</w:t>
      </w:r>
      <w:r>
        <w:t xml:space="preserve"> </w:t>
      </w:r>
      <w:r>
        <w:rPr>
          <w:i/>
          <w:iCs/>
        </w:rPr>
        <w:t xml:space="preserve">p</w:t>
      </w:r>
      <w:r>
        <w:t xml:space="preserve"> </w:t>
      </w:r>
      <w:r>
        <w:t xml:space="preserve">&lt; .001), and on TB questions, the TB prequestion condition scored higher than Control, 12.9 percentage points, 90% CI [6.5, 19.3],</w:t>
      </w:r>
      <w:r>
        <w:t xml:space="preserve"> </w:t>
      </w:r>
      <w:r>
        <w:rPr>
          <w:i/>
          <w:iCs/>
        </w:rPr>
        <w:t xml:space="preserve">z</w:t>
      </w:r>
      <w:r>
        <w:t xml:space="preserve"> </w:t>
      </w:r>
      <w:r>
        <w:t xml:space="preserve">= 3.31,</w:t>
      </w:r>
      <w:r>
        <w:t xml:space="preserve"> </w:t>
      </w:r>
      <w:r>
        <w:rPr>
          <w:i/>
          <w:iCs/>
        </w:rPr>
        <w:t xml:space="preserve">p</w:t>
      </w:r>
      <w:r>
        <w:t xml:space="preserve"> </w:t>
      </w:r>
      <w:r>
        <w:t xml:space="preserve">&lt; .001 (one-tailed; two-tailed</w:t>
      </w:r>
      <w:r>
        <w:t xml:space="preserve"> </w:t>
      </w:r>
      <w:r>
        <w:rPr>
          <w:i/>
          <w:iCs/>
        </w:rPr>
        <w:t xml:space="preserve">p</w:t>
      </w:r>
      <w:r>
        <w:t xml:space="preserve"> </w:t>
      </w:r>
      <w:r>
        <w:t xml:space="preserve">&lt; .001). Neither showed a general benefit: on the non-prequestioned topic, the Polio condition did not differ from Control on TB questions, -0.7 percentage points, 95% CI [-8.4, 7.0],</w:t>
      </w:r>
      <w:r>
        <w:t xml:space="preserve"> </w:t>
      </w:r>
      <w:r>
        <w:rPr>
          <w:i/>
          <w:iCs/>
        </w:rPr>
        <w:t xml:space="preserve">z</w:t>
      </w:r>
      <w:r>
        <w:t xml:space="preserve"> </w:t>
      </w:r>
      <w:r>
        <w:t xml:space="preserve">= -0.19,</w:t>
      </w:r>
      <w:r>
        <w:t xml:space="preserve"> </w:t>
      </w:r>
      <w:r>
        <w:rPr>
          <w:i/>
          <w:iCs/>
        </w:rPr>
        <w:t xml:space="preserve">p</w:t>
      </w:r>
      <w:r>
        <w:t xml:space="preserve"> </w:t>
      </w:r>
      <w:r>
        <w:t xml:space="preserve">= .852, and the TB condition did not differ from Control on Polio questions, -2.9 percentage points, 95% CI [-9.8, 4.1],</w:t>
      </w:r>
      <w:r>
        <w:t xml:space="preserve"> </w:t>
      </w:r>
      <w:r>
        <w:rPr>
          <w:i/>
          <w:iCs/>
        </w:rPr>
        <w:t xml:space="preserve">z</w:t>
      </w:r>
      <w:r>
        <w:t xml:space="preserve"> </w:t>
      </w:r>
      <w:r>
        <w:t xml:space="preserve">= -0.81,</w:t>
      </w:r>
      <w:r>
        <w:t xml:space="preserve"> </w:t>
      </w:r>
      <w:r>
        <w:rPr>
          <w:i/>
          <w:iCs/>
        </w:rPr>
        <w:t xml:space="preserve">p</w:t>
      </w:r>
      <w:r>
        <w:t xml:space="preserve"> </w:t>
      </w:r>
      <w:r>
        <w:t xml:space="preserve">= .418.</w:t>
      </w:r>
    </w:p>
    <w:bookmarkStart w:id="53" w:name="fig-test"/>
    <w:p>
      <w:pPr>
        <w:pStyle w:val="FigureTitle"/>
      </w:pPr>
      <w:r>
        <w:t xml:space="preserve">Figure 3</w:t>
      </w:r>
    </w:p>
    <w:p>
      <w:pPr>
        <w:pStyle w:val="Caption"/>
      </w:pPr>
      <w:r>
        <w:t xml:space="preserve">Final Test Performance by Condition and Question Topic</w:t>
      </w:r>
    </w:p>
    <w:p>
      <w:pPr>
        <w:pStyle w:val="FigureWithNote"/>
      </w:pPr>
      <w:r>
        <w:drawing>
          <wp:inline>
            <wp:extent cx="5544151" cy="3503595"/>
            <wp:effectExtent b="0" l="0" r="0" t="0"/>
            <wp:docPr descr="" title="" id="51" name="Picture"/>
            <a:graphic>
              <a:graphicData uri="http://schemas.openxmlformats.org/drawingml/2006/picture">
                <pic:pic>
                  <pic:nvPicPr>
                    <pic:cNvPr descr="manuscript_files/figure-docx/fig-test-1.png" id="52" name="Picture"/>
                    <pic:cNvPicPr>
                      <a:picLocks noChangeArrowheads="1" noChangeAspect="1"/>
                    </pic:cNvPicPr>
                  </pic:nvPicPr>
                  <pic:blipFill>
                    <a:blip r:embed="rId50"/>
                    <a:stretch>
                      <a:fillRect/>
                    </a:stretch>
                  </pic:blipFill>
                  <pic:spPr bwMode="auto">
                    <a:xfrm>
                      <a:off x="0" y="0"/>
                      <a:ext cx="5544151" cy="3503595"/>
                    </a:xfrm>
                    <a:prstGeom prst="rect">
                      <a:avLst/>
                    </a:prstGeom>
                    <a:noFill/>
                    <a:ln w="9525">
                      <a:noFill/>
                      <a:headEnd/>
                      <a:tailEnd/>
                    </a:ln>
                  </pic:spPr>
                </pic:pic>
              </a:graphicData>
            </a:graphic>
          </wp:inline>
        </w:drawing>
      </w:r>
    </w:p>
    <w:bookmarkEnd w:id="53"/>
    <w:p>
      <w:pPr>
        <w:pStyle w:val="FigureNote"/>
      </w:pPr>
      <w:r>
        <w:rPr>
          <w:i/>
          <w:iCs/>
        </w:rPr>
        <w:t xml:space="preserve">Note</w:t>
      </w:r>
      <w:r>
        <w:t xml:space="preserve">. Large points with error bars are model-estimated means (the proportion of points earned predicted by the binomial mixed model for each Condition × Topic cell, averaged over the observed sample) with 95% confidence intervals. Small points are individual participants’ observed proportions of points earned on each topic; thin grey lines connect each participant’s two topics.</w:t>
      </w:r>
    </w:p>
    <w:bookmarkEnd w:id="54"/>
    <w:bookmarkStart w:id="67" w:name="eye-movements"/>
    <w:p>
      <w:pPr>
        <w:pStyle w:val="Heading2"/>
      </w:pPr>
      <w:r>
        <w:t xml:space="preserve">Eye Movements</w:t>
      </w:r>
    </w:p>
    <w:p>
      <w:pPr>
        <w:pStyle w:val="FirstParagraph"/>
      </w:pPr>
      <w:r>
        <w:t xml:space="preserve">We first report the preregistered Condition × Topic analyses for each measure (</w:t>
      </w:r>
      <w:hyperlink w:anchor="tbl-eye">
        <w:r>
          <w:rPr>
            <w:rStyle w:val="Hyperlink"/>
          </w:rPr>
          <w:t xml:space="preserve">Table 2</w:t>
        </w:r>
      </w:hyperlink>
      <w:r>
        <w:t xml:space="preserve">,</w:t>
      </w:r>
      <w:r>
        <w:t xml:space="preserve"> </w:t>
      </w:r>
      <w:hyperlink w:anchor="fig-eye">
        <w:r>
          <w:rPr>
            <w:rStyle w:val="Hyperlink"/>
          </w:rPr>
          <w:t xml:space="preserve">Figure 4</w:t>
        </w:r>
      </w:hyperlink>
      <w:r>
        <w:t xml:space="preserve">), separately for global and local measures, and then the direct comparison of prequestioned and non-prequestioned sentences.</w:t>
      </w:r>
    </w:p>
    <w:bookmarkStart w:id="55" w:name="global-measures"/>
    <w:p>
      <w:pPr>
        <w:pStyle w:val="Heading3"/>
      </w:pPr>
      <w:r>
        <w:t xml:space="preserve">Global Measures</w:t>
      </w:r>
    </w:p>
    <w:p>
      <w:pPr>
        <w:pStyle w:val="FirstParagraph"/>
      </w:pPr>
      <w:r>
        <w:rPr>
          <w:b/>
          <w:bCs/>
        </w:rPr>
        <w:t xml:space="preserve">Total gaze duration.</w:t>
      </w:r>
      <w:r>
        <w:t xml:space="preserve"> </w:t>
      </w:r>
      <w:r>
        <w:t xml:space="preserve">As preregistered for heavily skewed durations, total gaze duration (skewness = 1.71) was analysed with an ex-Gaussian model (</w:t>
      </w:r>
      <w:hyperlink w:anchor="tbl-eye">
        <w:r>
          <w:rPr>
            <w:rStyle w:val="Hyperlink"/>
          </w:rPr>
          <w:t xml:space="preserve">Table 2</w:t>
        </w:r>
      </w:hyperlink>
      <w:r>
        <w:t xml:space="preserve">,</w:t>
      </w:r>
      <w:r>
        <w:t xml:space="preserve"> </w:t>
      </w:r>
      <w:hyperlink w:anchor="fig-eye">
        <w:r>
          <w:rPr>
            <w:rStyle w:val="Hyperlink"/>
          </w:rPr>
          <w:t xml:space="preserve">Figure 4</w:t>
        </w:r>
      </w:hyperlink>
      <w:r>
        <w:t xml:space="preserve">). The Condition × Topic interaction was not significant for μ, χ²(2) = 3.00,</w:t>
      </w:r>
      <w:r>
        <w:t xml:space="preserve"> </w:t>
      </w:r>
      <w:r>
        <w:rPr>
          <w:i/>
          <w:iCs/>
        </w:rPr>
        <w:t xml:space="preserve">p</w:t>
      </w:r>
      <w:r>
        <w:t xml:space="preserve"> </w:t>
      </w:r>
      <w:r>
        <w:t xml:space="preserve">= .224, and significant for τ, χ²(2) = 11.64,</w:t>
      </w:r>
      <w:r>
        <w:t xml:space="preserve"> </w:t>
      </w:r>
      <w:r>
        <w:rPr>
          <w:i/>
          <w:iCs/>
        </w:rPr>
        <w:t xml:space="preserve">p</w:t>
      </w:r>
      <w:r>
        <w:t xml:space="preserve"> </w:t>
      </w:r>
      <w:r>
        <w:t xml:space="preserve">= .003. For μ, the preregistered focus, the Polio − TB difference was not significant in the Polio condition,</w:t>
      </w:r>
      <w:r>
        <w:t xml:space="preserve"> </w:t>
      </w:r>
      <w:r>
        <w:rPr>
          <w:i/>
          <w:iCs/>
        </w:rPr>
        <w:t xml:space="preserve">b</w:t>
      </w:r>
      <w:r>
        <w:t xml:space="preserve"> </w:t>
      </w:r>
      <w:r>
        <w:t xml:space="preserve">= -1.4 ms/word, 90% CI [-15.3, 12.5],</w:t>
      </w:r>
      <w:r>
        <w:t xml:space="preserve"> </w:t>
      </w:r>
      <w:r>
        <w:rPr>
          <w:i/>
          <w:iCs/>
        </w:rPr>
        <w:t xml:space="preserve">z</w:t>
      </w:r>
      <w:r>
        <w:t xml:space="preserve"> </w:t>
      </w:r>
      <w:r>
        <w:t xml:space="preserve">= -0.17,</w:t>
      </w:r>
      <w:r>
        <w:t xml:space="preserve"> </w:t>
      </w:r>
      <w:r>
        <w:rPr>
          <w:i/>
          <w:iCs/>
        </w:rPr>
        <w:t xml:space="preserve">p</w:t>
      </w:r>
      <w:r>
        <w:t xml:space="preserve"> </w:t>
      </w:r>
      <w:r>
        <w:t xml:space="preserve">= .566 (one-tailed; two-tailed</w:t>
      </w:r>
      <w:r>
        <w:t xml:space="preserve"> </w:t>
      </w:r>
      <w:r>
        <w:rPr>
          <w:i/>
          <w:iCs/>
        </w:rPr>
        <w:t xml:space="preserve">p</w:t>
      </w:r>
      <w:r>
        <w:t xml:space="preserve"> </w:t>
      </w:r>
      <w:r>
        <w:t xml:space="preserve">= .868), not significant in the TB condition,</w:t>
      </w:r>
      <w:r>
        <w:t xml:space="preserve"> </w:t>
      </w:r>
      <w:r>
        <w:rPr>
          <w:i/>
          <w:iCs/>
        </w:rPr>
        <w:t xml:space="preserve">b</w:t>
      </w:r>
      <w:r>
        <w:t xml:space="preserve"> </w:t>
      </w:r>
      <w:r>
        <w:t xml:space="preserve">= -8.4 ms/word, 90% CI [-22.5, 5.8],</w:t>
      </w:r>
      <w:r>
        <w:t xml:space="preserve"> </w:t>
      </w:r>
      <w:r>
        <w:rPr>
          <w:i/>
          <w:iCs/>
        </w:rPr>
        <w:t xml:space="preserve">z</w:t>
      </w:r>
      <w:r>
        <w:t xml:space="preserve"> </w:t>
      </w:r>
      <w:r>
        <w:t xml:space="preserve">= -0.97,</w:t>
      </w:r>
      <w:r>
        <w:t xml:space="preserve"> </w:t>
      </w:r>
      <w:r>
        <w:rPr>
          <w:i/>
          <w:iCs/>
        </w:rPr>
        <w:t xml:space="preserve">p</w:t>
      </w:r>
      <w:r>
        <w:t xml:space="preserve"> </w:t>
      </w:r>
      <w:r>
        <w:t xml:space="preserve">= .166 (one-tailed; two-tailed</w:t>
      </w:r>
      <w:r>
        <w:t xml:space="preserve"> </w:t>
      </w:r>
      <w:r>
        <w:rPr>
          <w:i/>
          <w:iCs/>
        </w:rPr>
        <w:t xml:space="preserve">p</w:t>
      </w:r>
      <w:r>
        <w:t xml:space="preserve"> </w:t>
      </w:r>
      <w:r>
        <w:t xml:space="preserve">= .331), and not significant in the Control condition,</w:t>
      </w:r>
      <w:r>
        <w:t xml:space="preserve"> </w:t>
      </w:r>
      <w:r>
        <w:rPr>
          <w:i/>
          <w:iCs/>
        </w:rPr>
        <w:t xml:space="preserve">b</w:t>
      </w:r>
      <w:r>
        <w:t xml:space="preserve"> </w:t>
      </w:r>
      <w:r>
        <w:t xml:space="preserve">= 11.7 ms/word, 95% CI [-4.3, 27.6],</w:t>
      </w:r>
      <w:r>
        <w:t xml:space="preserve"> </w:t>
      </w:r>
      <w:r>
        <w:rPr>
          <w:i/>
          <w:iCs/>
        </w:rPr>
        <w:t xml:space="preserve">z</w:t>
      </w:r>
      <w:r>
        <w:t xml:space="preserve"> </w:t>
      </w:r>
      <w:r>
        <w:t xml:space="preserve">= 1.44,</w:t>
      </w:r>
      <w:r>
        <w:t xml:space="preserve"> </w:t>
      </w:r>
      <w:r>
        <w:rPr>
          <w:i/>
          <w:iCs/>
        </w:rPr>
        <w:t xml:space="preserve">p</w:t>
      </w:r>
      <w:r>
        <w:t xml:space="preserve"> </w:t>
      </w:r>
      <w:r>
        <w:t xml:space="preserve">= .151. For τ, the difference was significant in the Polio condition,</w:t>
      </w:r>
      <w:r>
        <w:t xml:space="preserve"> </w:t>
      </w:r>
      <w:r>
        <w:rPr>
          <w:i/>
          <w:iCs/>
        </w:rPr>
        <w:t xml:space="preserve">b</w:t>
      </w:r>
      <w:r>
        <w:t xml:space="preserve"> </w:t>
      </w:r>
      <w:r>
        <w:t xml:space="preserve">= 44.8 ms/word, 90% CI [20.8, 68.8],</w:t>
      </w:r>
      <w:r>
        <w:t xml:space="preserve"> </w:t>
      </w:r>
      <w:r>
        <w:rPr>
          <w:i/>
          <w:iCs/>
        </w:rPr>
        <w:t xml:space="preserve">z</w:t>
      </w:r>
      <w:r>
        <w:t xml:space="preserve"> </w:t>
      </w:r>
      <w:r>
        <w:t xml:space="preserve">= 3.07,</w:t>
      </w:r>
      <w:r>
        <w:t xml:space="preserve"> </w:t>
      </w:r>
      <w:r>
        <w:rPr>
          <w:i/>
          <w:iCs/>
        </w:rPr>
        <w:t xml:space="preserve">p</w:t>
      </w:r>
      <w:r>
        <w:t xml:space="preserve"> </w:t>
      </w:r>
      <w:r>
        <w:t xml:space="preserve">= .001 (one-tailed; two-tailed</w:t>
      </w:r>
      <w:r>
        <w:t xml:space="preserve"> </w:t>
      </w:r>
      <w:r>
        <w:rPr>
          <w:i/>
          <w:iCs/>
        </w:rPr>
        <w:t xml:space="preserve">p</w:t>
      </w:r>
      <w:r>
        <w:t xml:space="preserve"> </w:t>
      </w:r>
      <w:r>
        <w:t xml:space="preserve">= .002), not significant in the TB condition,</w:t>
      </w:r>
      <w:r>
        <w:t xml:space="preserve"> </w:t>
      </w:r>
      <w:r>
        <w:rPr>
          <w:i/>
          <w:iCs/>
        </w:rPr>
        <w:t xml:space="preserve">b</w:t>
      </w:r>
      <w:r>
        <w:t xml:space="preserve"> </w:t>
      </w:r>
      <w:r>
        <w:t xml:space="preserve">= -22.3 ms/word, 90% CI [-48.0, 3.4],</w:t>
      </w:r>
      <w:r>
        <w:t xml:space="preserve"> </w:t>
      </w:r>
      <w:r>
        <w:rPr>
          <w:i/>
          <w:iCs/>
        </w:rPr>
        <w:t xml:space="preserve">z</w:t>
      </w:r>
      <w:r>
        <w:t xml:space="preserve"> </w:t>
      </w:r>
      <w:r>
        <w:t xml:space="preserve">= -1.43,</w:t>
      </w:r>
      <w:r>
        <w:t xml:space="preserve"> </w:t>
      </w:r>
      <w:r>
        <w:rPr>
          <w:i/>
          <w:iCs/>
        </w:rPr>
        <w:t xml:space="preserve">p</w:t>
      </w:r>
      <w:r>
        <w:t xml:space="preserve"> </w:t>
      </w:r>
      <w:r>
        <w:t xml:space="preserve">= .077 (one-tailed; two-tailed</w:t>
      </w:r>
      <w:r>
        <w:t xml:space="preserve"> </w:t>
      </w:r>
      <w:r>
        <w:rPr>
          <w:i/>
          <w:iCs/>
        </w:rPr>
        <w:t xml:space="preserve">p</w:t>
      </w:r>
      <w:r>
        <w:t xml:space="preserve"> </w:t>
      </w:r>
      <w:r>
        <w:t xml:space="preserve">= .153), and not significant in the Control condition,</w:t>
      </w:r>
      <w:r>
        <w:t xml:space="preserve"> </w:t>
      </w:r>
      <w:r>
        <w:rPr>
          <w:i/>
          <w:iCs/>
        </w:rPr>
        <w:t xml:space="preserve">b</w:t>
      </w:r>
      <w:r>
        <w:t xml:space="preserve"> </w:t>
      </w:r>
      <w:r>
        <w:t xml:space="preserve">= -7.1 ms/word, 95% CI [-34.0, 19.7],</w:t>
      </w:r>
      <w:r>
        <w:t xml:space="preserve"> </w:t>
      </w:r>
      <w:r>
        <w:rPr>
          <w:i/>
          <w:iCs/>
        </w:rPr>
        <w:t xml:space="preserve">z</w:t>
      </w:r>
      <w:r>
        <w:t xml:space="preserve"> </w:t>
      </w:r>
      <w:r>
        <w:t xml:space="preserve">= -0.52,</w:t>
      </w:r>
      <w:r>
        <w:t xml:space="preserve"> </w:t>
      </w:r>
      <w:r>
        <w:rPr>
          <w:i/>
          <w:iCs/>
        </w:rPr>
        <w:t xml:space="preserve">p</w:t>
      </w:r>
      <w:r>
        <w:t xml:space="preserve"> </w:t>
      </w:r>
      <w:r>
        <w:t xml:space="preserve">= .602. Polio prequestions therefore increased the number of unusually long readings of Polio sentences; TB prequestions lengthened total gaze duration on TB sentences overall, but neither typical reading time (μ) nor the tail (τ) differed reliably on its own. Control readers showed no reliable difference between the topics.</w:t>
      </w:r>
    </w:p>
    <w:p>
      <w:pPr>
        <w:pStyle w:val="BodyText"/>
      </w:pPr>
      <w:r>
        <w:rPr>
          <w:b/>
          <w:bCs/>
        </w:rPr>
        <w:t xml:space="preserve">Re-reading (second-pass) time.</w:t>
      </w:r>
      <w:r>
        <w:t xml:space="preserve"> </w:t>
      </w:r>
      <w:r>
        <w:t xml:space="preserve">Readers re-read 61.8% of the target sentences. For</w:t>
      </w:r>
      <w:r>
        <w:t xml:space="preserve"> </w:t>
      </w:r>
      <w:r>
        <w:rPr>
          <w:i/>
          <w:iCs/>
        </w:rPr>
        <w:t xml:space="preserve">whether</w:t>
      </w:r>
      <w:r>
        <w:t xml:space="preserve"> </w:t>
      </w:r>
      <w:r>
        <w:t xml:space="preserve">a sentence was re-read, the Condition × Topic interaction was not significant, χ²(2) = 2.68,</w:t>
      </w:r>
      <w:r>
        <w:t xml:space="preserve"> </w:t>
      </w:r>
      <w:r>
        <w:rPr>
          <w:i/>
          <w:iCs/>
        </w:rPr>
        <w:t xml:space="preserve">p</w:t>
      </w:r>
      <w:r>
        <w:t xml:space="preserve"> </w:t>
      </w:r>
      <w:r>
        <w:t xml:space="preserve">= .262. As for the other probability measures, the within-condition Polio − TB differences carry between-sentence variability and none was reliable (Polio condition: Δ = 0.4 percentage points, 90% CI [-16.0, 16.8],</w:t>
      </w:r>
      <w:r>
        <w:t xml:space="preserve"> </w:t>
      </w:r>
      <w:r>
        <w:rPr>
          <w:i/>
          <w:iCs/>
        </w:rPr>
        <w:t xml:space="preserve">z</w:t>
      </w:r>
      <w:r>
        <w:t xml:space="preserve"> </w:t>
      </w:r>
      <w:r>
        <w:t xml:space="preserve">= 0.04,</w:t>
      </w:r>
      <w:r>
        <w:t xml:space="preserve"> </w:t>
      </w:r>
      <w:r>
        <w:rPr>
          <w:i/>
          <w:iCs/>
        </w:rPr>
        <w:t xml:space="preserve">p</w:t>
      </w:r>
      <w:r>
        <w:t xml:space="preserve"> </w:t>
      </w:r>
      <w:r>
        <w:t xml:space="preserve">= .485 (one-tailed; two-tailed</w:t>
      </w:r>
      <w:r>
        <w:t xml:space="preserve"> </w:t>
      </w:r>
      <w:r>
        <w:rPr>
          <w:i/>
          <w:iCs/>
        </w:rPr>
        <w:t xml:space="preserve">p</w:t>
      </w:r>
      <w:r>
        <w:t xml:space="preserve"> </w:t>
      </w:r>
      <w:r>
        <w:t xml:space="preserve">= .971); TB condition: Δ = -5.9 percentage points, 90% CI [-22.5, 10.7],</w:t>
      </w:r>
      <w:r>
        <w:t xml:space="preserve"> </w:t>
      </w:r>
      <w:r>
        <w:rPr>
          <w:i/>
          <w:iCs/>
        </w:rPr>
        <w:t xml:space="preserve">z</w:t>
      </w:r>
      <w:r>
        <w:t xml:space="preserve"> </w:t>
      </w:r>
      <w:r>
        <w:t xml:space="preserve">= -0.58,</w:t>
      </w:r>
      <w:r>
        <w:t xml:space="preserve"> </w:t>
      </w:r>
      <w:r>
        <w:rPr>
          <w:i/>
          <w:iCs/>
        </w:rPr>
        <w:t xml:space="preserve">p</w:t>
      </w:r>
      <w:r>
        <w:t xml:space="preserve"> </w:t>
      </w:r>
      <w:r>
        <w:t xml:space="preserve">= .280 (one-tailed; two-tailed</w:t>
      </w:r>
      <w:r>
        <w:t xml:space="preserve"> </w:t>
      </w:r>
      <w:r>
        <w:rPr>
          <w:i/>
          <w:iCs/>
        </w:rPr>
        <w:t xml:space="preserve">p</w:t>
      </w:r>
      <w:r>
        <w:t xml:space="preserve"> </w:t>
      </w:r>
      <w:r>
        <w:t xml:space="preserve">= .560); Control: Δ = 3.6 percentage points, 95% CI [-17.1, 24.3],</w:t>
      </w:r>
      <w:r>
        <w:t xml:space="preserve"> </w:t>
      </w:r>
      <w:r>
        <w:rPr>
          <w:i/>
          <w:iCs/>
        </w:rPr>
        <w:t xml:space="preserve">z</w:t>
      </w:r>
      <w:r>
        <w:t xml:space="preserve"> </w:t>
      </w:r>
      <w:r>
        <w:t xml:space="preserve">= 0.34,</w:t>
      </w:r>
      <w:r>
        <w:t xml:space="preserve"> </w:t>
      </w:r>
      <w:r>
        <w:rPr>
          <w:i/>
          <w:iCs/>
        </w:rPr>
        <w:t xml:space="preserve">p</w:t>
      </w:r>
      <w:r>
        <w:t xml:space="preserve"> </w:t>
      </w:r>
      <w:r>
        <w:t xml:space="preserve">= .734). Neither the main effect of Condition, χ²(2) = 4.58,</w:t>
      </w:r>
      <w:r>
        <w:t xml:space="preserve"> </w:t>
      </w:r>
      <w:r>
        <w:rPr>
          <w:i/>
          <w:iCs/>
        </w:rPr>
        <w:t xml:space="preserve">p</w:t>
      </w:r>
      <w:r>
        <w:t xml:space="preserve"> </w:t>
      </w:r>
      <w:r>
        <w:t xml:space="preserve">= .101, nor the main effect of Topic, χ²(1) = 0.01,</w:t>
      </w:r>
      <w:r>
        <w:t xml:space="preserve"> </w:t>
      </w:r>
      <w:r>
        <w:rPr>
          <w:i/>
          <w:iCs/>
        </w:rPr>
        <w:t xml:space="preserve">p</w:t>
      </w:r>
      <w:r>
        <w:t xml:space="preserve"> </w:t>
      </w:r>
      <w:r>
        <w:t xml:space="preserve">= .942, was significant. For</w:t>
      </w:r>
      <w:r>
        <w:t xml:space="preserve"> </w:t>
      </w:r>
      <w:r>
        <w:rPr>
          <w:i/>
          <w:iCs/>
        </w:rPr>
        <w:t xml:space="preserve">how long</w:t>
      </w:r>
      <w:r>
        <w:t xml:space="preserve"> </w:t>
      </w:r>
      <w:r>
        <w:t xml:space="preserve">re-read sentences were re-read, the Condition × Topic interaction was not significant, χ²(2) = 1.94,</w:t>
      </w:r>
      <w:r>
        <w:t xml:space="preserve"> </w:t>
      </w:r>
      <w:r>
        <w:rPr>
          <w:i/>
          <w:iCs/>
        </w:rPr>
        <w:t xml:space="preserve">p</w:t>
      </w:r>
      <w:r>
        <w:t xml:space="preserve"> </w:t>
      </w:r>
      <w:r>
        <w:t xml:space="preserve">= .379; the Polio − TB difference was not significant in the Polio condition,</w:t>
      </w:r>
      <w:r>
        <w:t xml:space="preserve"> </w:t>
      </w:r>
      <w:r>
        <w:rPr>
          <w:i/>
          <w:iCs/>
        </w:rPr>
        <w:t xml:space="preserve">b</w:t>
      </w:r>
      <w:r>
        <w:t xml:space="preserve"> </w:t>
      </w:r>
      <w:r>
        <w:t xml:space="preserve">= 29.8 ms/word, 90% CI [-16.4, 75.9],</w:t>
      </w:r>
      <w:r>
        <w:t xml:space="preserve"> </w:t>
      </w:r>
      <w:r>
        <w:rPr>
          <w:i/>
          <w:iCs/>
        </w:rPr>
        <w:t xml:space="preserve">z</w:t>
      </w:r>
      <w:r>
        <w:t xml:space="preserve"> </w:t>
      </w:r>
      <w:r>
        <w:t xml:space="preserve">= 1.06,</w:t>
      </w:r>
      <w:r>
        <w:t xml:space="preserve"> </w:t>
      </w:r>
      <w:r>
        <w:rPr>
          <w:i/>
          <w:iCs/>
        </w:rPr>
        <w:t xml:space="preserve">p</w:t>
      </w:r>
      <w:r>
        <w:t xml:space="preserve"> </w:t>
      </w:r>
      <w:r>
        <w:t xml:space="preserve">= .144 (one-tailed; two-tailed</w:t>
      </w:r>
      <w:r>
        <w:t xml:space="preserve"> </w:t>
      </w:r>
      <w:r>
        <w:rPr>
          <w:i/>
          <w:iCs/>
        </w:rPr>
        <w:t xml:space="preserve">p</w:t>
      </w:r>
      <w:r>
        <w:t xml:space="preserve"> </w:t>
      </w:r>
      <w:r>
        <w:t xml:space="preserve">= .289), not significant in the TB condition,</w:t>
      </w:r>
      <w:r>
        <w:t xml:space="preserve"> </w:t>
      </w:r>
      <w:r>
        <w:rPr>
          <w:i/>
          <w:iCs/>
        </w:rPr>
        <w:t xml:space="preserve">b</w:t>
      </w:r>
      <w:r>
        <w:t xml:space="preserve"> </w:t>
      </w:r>
      <w:r>
        <w:t xml:space="preserve">= 6.4 ms/word, 90% CI [-47.0, 59.7],</w:t>
      </w:r>
      <w:r>
        <w:t xml:space="preserve"> </w:t>
      </w:r>
      <w:r>
        <w:rPr>
          <w:i/>
          <w:iCs/>
        </w:rPr>
        <w:t xml:space="preserve">z</w:t>
      </w:r>
      <w:r>
        <w:t xml:space="preserve"> </w:t>
      </w:r>
      <w:r>
        <w:t xml:space="preserve">= 0.20,</w:t>
      </w:r>
      <w:r>
        <w:t xml:space="preserve"> </w:t>
      </w:r>
      <w:r>
        <w:rPr>
          <w:i/>
          <w:iCs/>
        </w:rPr>
        <w:t xml:space="preserve">p</w:t>
      </w:r>
      <w:r>
        <w:t xml:space="preserve"> </w:t>
      </w:r>
      <w:r>
        <w:t xml:space="preserve">= .578 (one-tailed; two-tailed</w:t>
      </w:r>
      <w:r>
        <w:t xml:space="preserve"> </w:t>
      </w:r>
      <w:r>
        <w:rPr>
          <w:i/>
          <w:iCs/>
        </w:rPr>
        <w:t xml:space="preserve">p</w:t>
      </w:r>
      <w:r>
        <w:t xml:space="preserve"> </w:t>
      </w:r>
      <w:r>
        <w:t xml:space="preserve">= .844), and not significant in the Control condition,</w:t>
      </w:r>
      <w:r>
        <w:t xml:space="preserve"> </w:t>
      </w:r>
      <w:r>
        <w:rPr>
          <w:i/>
          <w:iCs/>
        </w:rPr>
        <w:t xml:space="preserve">b</w:t>
      </w:r>
      <w:r>
        <w:t xml:space="preserve"> </w:t>
      </w:r>
      <w:r>
        <w:t xml:space="preserve">= 14.0 ms/word, 95% CI [-45.1, 73.1],</w:t>
      </w:r>
      <w:r>
        <w:t xml:space="preserve"> </w:t>
      </w:r>
      <w:r>
        <w:rPr>
          <w:i/>
          <w:iCs/>
        </w:rPr>
        <w:t xml:space="preserve">z</w:t>
      </w:r>
      <w:r>
        <w:t xml:space="preserve"> </w:t>
      </w:r>
      <w:r>
        <w:t xml:space="preserve">= 0.47,</w:t>
      </w:r>
      <w:r>
        <w:t xml:space="preserve"> </w:t>
      </w:r>
      <w:r>
        <w:rPr>
          <w:i/>
          <w:iCs/>
        </w:rPr>
        <w:t xml:space="preserve">p</w:t>
      </w:r>
      <w:r>
        <w:t xml:space="preserve"> </w:t>
      </w:r>
      <w:r>
        <w:t xml:space="preserve">= .642. Neither the main effect of Condition, χ²(2) = 2.55,</w:t>
      </w:r>
      <w:r>
        <w:t xml:space="preserve"> </w:t>
      </w:r>
      <w:r>
        <w:rPr>
          <w:i/>
          <w:iCs/>
        </w:rPr>
        <w:t xml:space="preserve">p</w:t>
      </w:r>
      <w:r>
        <w:t xml:space="preserve"> </w:t>
      </w:r>
      <w:r>
        <w:t xml:space="preserve">= .279, nor the main effect of Topic, χ²(1) = 0.94,</w:t>
      </w:r>
      <w:r>
        <w:t xml:space="preserve"> </w:t>
      </w:r>
      <w:r>
        <w:rPr>
          <w:i/>
          <w:iCs/>
        </w:rPr>
        <w:t xml:space="preserve">p</w:t>
      </w:r>
      <w:r>
        <w:t xml:space="preserve"> </w:t>
      </w:r>
      <w:r>
        <w:t xml:space="preserve">= .332, was significant.</w:t>
      </w:r>
    </w:p>
    <w:p>
      <w:pPr>
        <w:pStyle w:val="BodyText"/>
      </w:pPr>
      <w:r>
        <w:rPr>
          <w:b/>
          <w:bCs/>
        </w:rPr>
        <w:t xml:space="preserve">Second-pass regressions.</w:t>
      </w:r>
      <w:r>
        <w:t xml:space="preserve"> </w:t>
      </w:r>
      <w:r>
        <w:t xml:space="preserve">Readers returned to 32.3% of the target sentences from later text. The Condition × Topic interaction was significant, χ²(2) = 14.74,</w:t>
      </w:r>
      <w:r>
        <w:t xml:space="preserve"> </w:t>
      </w:r>
      <w:r>
        <w:rPr>
          <w:i/>
          <w:iCs/>
        </w:rPr>
        <w:t xml:space="preserve">p</w:t>
      </w:r>
      <w:r>
        <w:t xml:space="preserve"> </w:t>
      </w:r>
      <w:r>
        <w:t xml:space="preserve">&lt; .001. Because topic is a property of the sentences, the within-condition Polio − TB differences carry between-sentence variability and had wide intervals (Polio condition: Δ = -10.6 percentage points, 95% CI [-60.3, 39.1],</w:t>
      </w:r>
      <w:r>
        <w:t xml:space="preserve"> </w:t>
      </w:r>
      <w:r>
        <w:rPr>
          <w:i/>
          <w:iCs/>
        </w:rPr>
        <w:t xml:space="preserve">z</w:t>
      </w:r>
      <w:r>
        <w:t xml:space="preserve"> </w:t>
      </w:r>
      <w:r>
        <w:t xml:space="preserve">= -0.42,</w:t>
      </w:r>
      <w:r>
        <w:t xml:space="preserve"> </w:t>
      </w:r>
      <w:r>
        <w:rPr>
          <w:i/>
          <w:iCs/>
        </w:rPr>
        <w:t xml:space="preserve">p</w:t>
      </w:r>
      <w:r>
        <w:t xml:space="preserve"> </w:t>
      </w:r>
      <w:r>
        <w:t xml:space="preserve">= .677; TB condition: Δ = -28.5 percentage points, 95% CI [-73.4, 16.3],</w:t>
      </w:r>
      <w:r>
        <w:t xml:space="preserve"> </w:t>
      </w:r>
      <w:r>
        <w:rPr>
          <w:i/>
          <w:iCs/>
        </w:rPr>
        <w:t xml:space="preserve">z</w:t>
      </w:r>
      <w:r>
        <w:t xml:space="preserve"> </w:t>
      </w:r>
      <w:r>
        <w:t xml:space="preserve">= -1.25,</w:t>
      </w:r>
      <w:r>
        <w:t xml:space="preserve"> </w:t>
      </w:r>
      <w:r>
        <w:rPr>
          <w:i/>
          <w:iCs/>
        </w:rPr>
        <w:t xml:space="preserve">p</w:t>
      </w:r>
      <w:r>
        <w:t xml:space="preserve"> </w:t>
      </w:r>
      <w:r>
        <w:t xml:space="preserve">= .212; Control: Δ = -11.4 percentage points, 95% CI [-59.2, 36.4],</w:t>
      </w:r>
      <w:r>
        <w:t xml:space="preserve"> </w:t>
      </w:r>
      <w:r>
        <w:rPr>
          <w:i/>
          <w:iCs/>
        </w:rPr>
        <w:t xml:space="preserve">z</w:t>
      </w:r>
      <w:r>
        <w:t xml:space="preserve"> </w:t>
      </w:r>
      <w:r>
        <w:t xml:space="preserve">= -0.47,</w:t>
      </w:r>
      <w:r>
        <w:t xml:space="preserve"> </w:t>
      </w:r>
      <w:r>
        <w:rPr>
          <w:i/>
          <w:iCs/>
        </w:rPr>
        <w:t xml:space="preserve">p</w:t>
      </w:r>
      <w:r>
        <w:t xml:space="preserve"> </w:t>
      </w:r>
      <w:r>
        <w:t xml:space="preserve">= .639).</w:t>
      </w:r>
    </w:p>
    <w:bookmarkEnd w:id="55"/>
    <w:bookmarkStart w:id="61" w:name="local-measures"/>
    <w:p>
      <w:pPr>
        <w:pStyle w:val="Heading3"/>
      </w:pPr>
      <w:r>
        <w:t xml:space="preserve">Local Measures</w:t>
      </w:r>
    </w:p>
    <w:p>
      <w:pPr>
        <w:pStyle w:val="FirstParagraph"/>
      </w:pPr>
      <w:r>
        <w:rPr>
          <w:b/>
          <w:bCs/>
        </w:rPr>
        <w:t xml:space="preserve">First-pass duration.</w:t>
      </w:r>
      <w:r>
        <w:t xml:space="preserve"> </w:t>
      </w:r>
      <w:r>
        <w:t xml:space="preserve">The Condition × Topic interaction was not significant, χ²(2) = 5.27,</w:t>
      </w:r>
      <w:r>
        <w:t xml:space="preserve"> </w:t>
      </w:r>
      <w:r>
        <w:rPr>
          <w:i/>
          <w:iCs/>
        </w:rPr>
        <w:t xml:space="preserve">p</w:t>
      </w:r>
      <w:r>
        <w:t xml:space="preserve"> </w:t>
      </w:r>
      <w:r>
        <w:t xml:space="preserve">= .072. The Polio − TB difference was not significant in the Polio condition,</w:t>
      </w:r>
      <w:r>
        <w:t xml:space="preserve"> </w:t>
      </w:r>
      <w:r>
        <w:rPr>
          <w:i/>
          <w:iCs/>
        </w:rPr>
        <w:t xml:space="preserve">b</w:t>
      </w:r>
      <w:r>
        <w:t xml:space="preserve"> </w:t>
      </w:r>
      <w:r>
        <w:t xml:space="preserve">= 25.6 ms/word, 90% CI [-17.9, 69.0],</w:t>
      </w:r>
      <w:r>
        <w:t xml:space="preserve"> </w:t>
      </w:r>
      <w:r>
        <w:rPr>
          <w:i/>
          <w:iCs/>
        </w:rPr>
        <w:t xml:space="preserve">z</w:t>
      </w:r>
      <w:r>
        <w:t xml:space="preserve"> </w:t>
      </w:r>
      <w:r>
        <w:t xml:space="preserve">= 0.97,</w:t>
      </w:r>
      <w:r>
        <w:t xml:space="preserve"> </w:t>
      </w:r>
      <w:r>
        <w:rPr>
          <w:i/>
          <w:iCs/>
        </w:rPr>
        <w:t xml:space="preserve">p</w:t>
      </w:r>
      <w:r>
        <w:t xml:space="preserve"> </w:t>
      </w:r>
      <w:r>
        <w:t xml:space="preserve">= .166 (one-tailed; two-tailed</w:t>
      </w:r>
      <w:r>
        <w:t xml:space="preserve"> </w:t>
      </w:r>
      <w:r>
        <w:rPr>
          <w:i/>
          <w:iCs/>
        </w:rPr>
        <w:t xml:space="preserve">p</w:t>
      </w:r>
      <w:r>
        <w:t xml:space="preserve"> </w:t>
      </w:r>
      <w:r>
        <w:t xml:space="preserve">= .333), not significant in the TB condition,</w:t>
      </w:r>
      <w:r>
        <w:t xml:space="preserve"> </w:t>
      </w:r>
      <w:r>
        <w:rPr>
          <w:i/>
          <w:iCs/>
        </w:rPr>
        <w:t xml:space="preserve">b</w:t>
      </w:r>
      <w:r>
        <w:t xml:space="preserve"> </w:t>
      </w:r>
      <w:r>
        <w:t xml:space="preserve">= -13.0 ms/word, 90% CI [-61.8, 35.8],</w:t>
      </w:r>
      <w:r>
        <w:t xml:space="preserve"> </w:t>
      </w:r>
      <w:r>
        <w:rPr>
          <w:i/>
          <w:iCs/>
        </w:rPr>
        <w:t xml:space="preserve">z</w:t>
      </w:r>
      <w:r>
        <w:t xml:space="preserve"> </w:t>
      </w:r>
      <w:r>
        <w:t xml:space="preserve">= -0.44,</w:t>
      </w:r>
      <w:r>
        <w:t xml:space="preserve"> </w:t>
      </w:r>
      <w:r>
        <w:rPr>
          <w:i/>
          <w:iCs/>
        </w:rPr>
        <w:t xml:space="preserve">p</w:t>
      </w:r>
      <w:r>
        <w:t xml:space="preserve"> </w:t>
      </w:r>
      <w:r>
        <w:t xml:space="preserve">= .331 (one-tailed; two-tailed</w:t>
      </w:r>
      <w:r>
        <w:t xml:space="preserve"> </w:t>
      </w:r>
      <w:r>
        <w:rPr>
          <w:i/>
          <w:iCs/>
        </w:rPr>
        <w:t xml:space="preserve">p</w:t>
      </w:r>
      <w:r>
        <w:t xml:space="preserve"> </w:t>
      </w:r>
      <w:r>
        <w:t xml:space="preserve">= .661), and not significant in the Control condition,</w:t>
      </w:r>
      <w:r>
        <w:t xml:space="preserve"> </w:t>
      </w:r>
      <w:r>
        <w:rPr>
          <w:i/>
          <w:iCs/>
        </w:rPr>
        <w:t xml:space="preserve">b</w:t>
      </w:r>
      <w:r>
        <w:t xml:space="preserve"> </w:t>
      </w:r>
      <w:r>
        <w:t xml:space="preserve">= -5.3 ms/word, 95% CI [-59.0, 48.4],</w:t>
      </w:r>
      <w:r>
        <w:t xml:space="preserve"> </w:t>
      </w:r>
      <w:r>
        <w:rPr>
          <w:i/>
          <w:iCs/>
        </w:rPr>
        <w:t xml:space="preserve">z</w:t>
      </w:r>
      <w:r>
        <w:t xml:space="preserve"> </w:t>
      </w:r>
      <w:r>
        <w:t xml:space="preserve">= -0.19,</w:t>
      </w:r>
      <w:r>
        <w:t xml:space="preserve"> </w:t>
      </w:r>
      <w:r>
        <w:rPr>
          <w:i/>
          <w:iCs/>
        </w:rPr>
        <w:t xml:space="preserve">p</w:t>
      </w:r>
      <w:r>
        <w:t xml:space="preserve"> </w:t>
      </w:r>
      <w:r>
        <w:t xml:space="preserve">= .846. Neither the main effect of Condition, χ²(2) = 2.77,</w:t>
      </w:r>
      <w:r>
        <w:t xml:space="preserve"> </w:t>
      </w:r>
      <w:r>
        <w:rPr>
          <w:i/>
          <w:iCs/>
        </w:rPr>
        <w:t xml:space="preserve">p</w:t>
      </w:r>
      <w:r>
        <w:t xml:space="preserve"> </w:t>
      </w:r>
      <w:r>
        <w:t xml:space="preserve">= .251, nor the main effect of Topic, χ²(1) = 0.03,</w:t>
      </w:r>
      <w:r>
        <w:t xml:space="preserve"> </w:t>
      </w:r>
      <w:r>
        <w:rPr>
          <w:i/>
          <w:iCs/>
        </w:rPr>
        <w:t xml:space="preserve">p</w:t>
      </w:r>
      <w:r>
        <w:t xml:space="preserve"> </w:t>
      </w:r>
      <w:r>
        <w:t xml:space="preserve">= .860, was significant.</w:t>
      </w:r>
    </w:p>
    <w:bookmarkStart w:id="56" w:name="tbl-eye"/>
    <w:p>
      <w:pPr>
        <w:pStyle w:val="FigureTitle"/>
      </w:pPr>
      <w:r>
        <w:t xml:space="preserve">Table 2</w:t>
      </w:r>
    </w:p>
    <w:p>
      <w:pPr>
        <w:pStyle w:val="Caption"/>
      </w:pPr>
      <w:r>
        <w:t xml:space="preserve">Condition × Topic Effects on Each Eye-Movement Measure</w:t>
      </w:r>
    </w:p>
    <w:tbl>
      <w:tblPr>
        <w:tblStyle w:val="Table"/>
        <w:tblW w:type="pct" w:w="5000"/>
        <w:tblLayout w:type="fixed"/>
        <w:tblLook w:firstRow="1" w:lastRow="0" w:firstColumn="0" w:lastColumn="0" w:noHBand="0" w:noVBand="0" w:val="0020"/>
      </w:tblPr>
      <w:tblGrid>
        <w:gridCol w:w="2059"/>
        <w:gridCol w:w="1821"/>
        <w:gridCol w:w="1346"/>
        <w:gridCol w:w="1346"/>
        <w:gridCol w:w="1346"/>
      </w:tblGrid>
      <w:tr>
        <w:trPr>
          <w:tblHeader w:val="on"/>
        </w:trPr>
        <w:tc>
          <w:tcPr/>
          <w:p>
            <w:pPr>
              <w:pStyle w:val="Compact"/>
              <w:jc w:val="left"/>
            </w:pPr>
            <w:r>
              <w:t xml:space="preserve">Measure</w:t>
            </w:r>
          </w:p>
        </w:tc>
        <w:tc>
          <w:tcPr/>
          <w:p>
            <w:pPr>
              <w:pStyle w:val="Compact"/>
              <w:jc w:val="left"/>
            </w:pPr>
            <w:r>
              <w:t xml:space="preserve">Condition × Topic</w:t>
            </w:r>
          </w:p>
        </w:tc>
        <w:tc>
          <w:tcPr/>
          <w:p>
            <w:pPr>
              <w:pStyle w:val="Compact"/>
              <w:jc w:val="left"/>
            </w:pPr>
            <w:r>
              <w:t xml:space="preserve">Polio condition</w:t>
            </w:r>
          </w:p>
        </w:tc>
        <w:tc>
          <w:tcPr/>
          <w:p>
            <w:pPr>
              <w:pStyle w:val="Compact"/>
              <w:jc w:val="left"/>
            </w:pPr>
            <w:r>
              <w:t xml:space="preserve">TB condition</w:t>
            </w:r>
          </w:p>
        </w:tc>
        <w:tc>
          <w:tcPr/>
          <w:p>
            <w:pPr>
              <w:pStyle w:val="Compact"/>
              <w:jc w:val="left"/>
            </w:pPr>
            <w:r>
              <w:t xml:space="preserve">Control</w:t>
            </w:r>
          </w:p>
        </w:tc>
      </w:tr>
      <w:tr>
        <w:tc>
          <w:tcPr/>
          <w:p>
            <w:pPr>
              <w:pStyle w:val="Compact"/>
              <w:jc w:val="left"/>
            </w:pPr>
            <w:r>
              <w:t xml:space="preserve">Total gaze duration: μ (global; ex-gaussian)</w:t>
            </w:r>
          </w:p>
        </w:tc>
        <w:tc>
          <w:tcPr/>
          <w:p>
            <w:pPr>
              <w:pStyle w:val="Compact"/>
              <w:jc w:val="left"/>
            </w:pPr>
            <w:r>
              <w:t xml:space="preserve">χ²(2) = 3.00,</w:t>
            </w:r>
            <w:r>
              <w:t xml:space="preserve"> </w:t>
            </w:r>
            <w:r>
              <w:rPr>
                <w:i/>
                <w:iCs/>
              </w:rPr>
              <w:t xml:space="preserve">p</w:t>
            </w:r>
            <w:r>
              <w:t xml:space="preserve"> </w:t>
            </w:r>
            <w:r>
              <w:t xml:space="preserve">= .224</w:t>
            </w:r>
          </w:p>
        </w:tc>
        <w:tc>
          <w:tcPr/>
          <w:p>
            <w:pPr>
              <w:pStyle w:val="Compact"/>
              <w:jc w:val="left"/>
            </w:pPr>
            <w:r>
              <w:t xml:space="preserve">-1.4,</w:t>
            </w:r>
            <w:r>
              <w:t xml:space="preserve"> </w:t>
            </w:r>
            <w:r>
              <w:rPr>
                <w:i/>
                <w:iCs/>
              </w:rPr>
              <w:t xml:space="preserve">p</w:t>
            </w:r>
            <w:r>
              <w:t xml:space="preserve"> </w:t>
            </w:r>
            <w:r>
              <w:t xml:space="preserve">= .566† (</w:t>
            </w:r>
            <w:r>
              <w:rPr>
                <w:i/>
                <w:iCs/>
              </w:rPr>
              <w:t xml:space="preserve">p</w:t>
            </w:r>
            <w:r>
              <w:t xml:space="preserve"> </w:t>
            </w:r>
            <w:r>
              <w:t xml:space="preserve">= .868)</w:t>
            </w:r>
          </w:p>
        </w:tc>
        <w:tc>
          <w:tcPr/>
          <w:p>
            <w:pPr>
              <w:pStyle w:val="Compact"/>
              <w:jc w:val="left"/>
            </w:pPr>
            <w:r>
              <w:t xml:space="preserve">-8.4,</w:t>
            </w:r>
            <w:r>
              <w:t xml:space="preserve"> </w:t>
            </w:r>
            <w:r>
              <w:rPr>
                <w:i/>
                <w:iCs/>
              </w:rPr>
              <w:t xml:space="preserve">p</w:t>
            </w:r>
            <w:r>
              <w:t xml:space="preserve"> </w:t>
            </w:r>
            <w:r>
              <w:t xml:space="preserve">= .166† (</w:t>
            </w:r>
            <w:r>
              <w:rPr>
                <w:i/>
                <w:iCs/>
              </w:rPr>
              <w:t xml:space="preserve">p</w:t>
            </w:r>
            <w:r>
              <w:t xml:space="preserve"> </w:t>
            </w:r>
            <w:r>
              <w:t xml:space="preserve">= .331)</w:t>
            </w:r>
          </w:p>
        </w:tc>
        <w:tc>
          <w:tcPr/>
          <w:p>
            <w:pPr>
              <w:pStyle w:val="Compact"/>
              <w:jc w:val="left"/>
            </w:pPr>
            <w:r>
              <w:t xml:space="preserve">11.7,</w:t>
            </w:r>
            <w:r>
              <w:t xml:space="preserve"> </w:t>
            </w:r>
            <w:r>
              <w:rPr>
                <w:i/>
                <w:iCs/>
              </w:rPr>
              <w:t xml:space="preserve">p</w:t>
            </w:r>
            <w:r>
              <w:t xml:space="preserve"> </w:t>
            </w:r>
            <w:r>
              <w:t xml:space="preserve">= .151</w:t>
            </w:r>
          </w:p>
        </w:tc>
      </w:tr>
      <w:tr>
        <w:tc>
          <w:tcPr/>
          <w:p>
            <w:pPr>
              <w:pStyle w:val="Compact"/>
              <w:jc w:val="left"/>
            </w:pPr>
            <w:r>
              <w:t xml:space="preserve">Total gaze duration: τ (global; ex-gaussian)</w:t>
            </w:r>
          </w:p>
        </w:tc>
        <w:tc>
          <w:tcPr/>
          <w:p>
            <w:pPr>
              <w:pStyle w:val="Compact"/>
              <w:jc w:val="left"/>
            </w:pPr>
            <w:r>
              <w:t xml:space="preserve">χ²(2) = 11.64,</w:t>
            </w:r>
            <w:r>
              <w:t xml:space="preserve"> </w:t>
            </w:r>
            <w:r>
              <w:rPr>
                <w:i/>
                <w:iCs/>
              </w:rPr>
              <w:t xml:space="preserve">p</w:t>
            </w:r>
            <w:r>
              <w:t xml:space="preserve"> </w:t>
            </w:r>
            <w:r>
              <w:t xml:space="preserve">= .003</w:t>
            </w:r>
          </w:p>
        </w:tc>
        <w:tc>
          <w:tcPr/>
          <w:p>
            <w:pPr>
              <w:pStyle w:val="Compact"/>
              <w:jc w:val="left"/>
            </w:pPr>
            <w:r>
              <w:t xml:space="preserve">44.8,</w:t>
            </w:r>
            <w:r>
              <w:t xml:space="preserve"> </w:t>
            </w:r>
            <w:r>
              <w:rPr>
                <w:i/>
                <w:iCs/>
              </w:rPr>
              <w:t xml:space="preserve">p</w:t>
            </w:r>
            <w:r>
              <w:t xml:space="preserve"> </w:t>
            </w:r>
            <w:r>
              <w:t xml:space="preserve">= .001† (</w:t>
            </w:r>
            <w:r>
              <w:rPr>
                <w:i/>
                <w:iCs/>
              </w:rPr>
              <w:t xml:space="preserve">p</w:t>
            </w:r>
            <w:r>
              <w:t xml:space="preserve"> </w:t>
            </w:r>
            <w:r>
              <w:t xml:space="preserve">= .002)</w:t>
            </w:r>
          </w:p>
        </w:tc>
        <w:tc>
          <w:tcPr/>
          <w:p>
            <w:pPr>
              <w:pStyle w:val="Compact"/>
              <w:jc w:val="left"/>
            </w:pPr>
            <w:r>
              <w:t xml:space="preserve">-22.3,</w:t>
            </w:r>
            <w:r>
              <w:t xml:space="preserve"> </w:t>
            </w:r>
            <w:r>
              <w:rPr>
                <w:i/>
                <w:iCs/>
              </w:rPr>
              <w:t xml:space="preserve">p</w:t>
            </w:r>
            <w:r>
              <w:t xml:space="preserve"> </w:t>
            </w:r>
            <w:r>
              <w:t xml:space="preserve">= .077† (</w:t>
            </w:r>
            <w:r>
              <w:rPr>
                <w:i/>
                <w:iCs/>
              </w:rPr>
              <w:t xml:space="preserve">p</w:t>
            </w:r>
            <w:r>
              <w:t xml:space="preserve"> </w:t>
            </w:r>
            <w:r>
              <w:t xml:space="preserve">= .153)</w:t>
            </w:r>
          </w:p>
        </w:tc>
        <w:tc>
          <w:tcPr/>
          <w:p>
            <w:pPr>
              <w:pStyle w:val="Compact"/>
              <w:jc w:val="left"/>
            </w:pPr>
            <w:r>
              <w:t xml:space="preserve">-7.1,</w:t>
            </w:r>
            <w:r>
              <w:t xml:space="preserve"> </w:t>
            </w:r>
            <w:r>
              <w:rPr>
                <w:i/>
                <w:iCs/>
              </w:rPr>
              <w:t xml:space="preserve">p</w:t>
            </w:r>
            <w:r>
              <w:t xml:space="preserve"> </w:t>
            </w:r>
            <w:r>
              <w:t xml:space="preserve">= .602</w:t>
            </w:r>
          </w:p>
        </w:tc>
      </w:tr>
      <w:tr>
        <w:tc>
          <w:tcPr/>
          <w:p>
            <w:pPr>
              <w:pStyle w:val="Compact"/>
              <w:jc w:val="left"/>
            </w:pPr>
            <w:r>
              <w:t xml:space="preserve">Re-reading: probability of re-reading (global)</w:t>
            </w:r>
          </w:p>
        </w:tc>
        <w:tc>
          <w:tcPr/>
          <w:p>
            <w:pPr>
              <w:pStyle w:val="Compact"/>
              <w:jc w:val="left"/>
            </w:pPr>
            <w:r>
              <w:t xml:space="preserve">χ²(2) = 2.68,</w:t>
            </w:r>
            <w:r>
              <w:t xml:space="preserve"> </w:t>
            </w:r>
            <w:r>
              <w:rPr>
                <w:i/>
                <w:iCs/>
              </w:rPr>
              <w:t xml:space="preserve">p</w:t>
            </w:r>
            <w:r>
              <w:t xml:space="preserve"> </w:t>
            </w:r>
            <w:r>
              <w:t xml:space="preserve">= .262</w:t>
            </w:r>
          </w:p>
        </w:tc>
        <w:tc>
          <w:tcPr/>
          <w:p>
            <w:pPr>
              <w:pStyle w:val="Compact"/>
              <w:jc w:val="left"/>
            </w:pPr>
            <w:r>
              <w:t xml:space="preserve">0.4,</w:t>
            </w:r>
            <w:r>
              <w:t xml:space="preserve"> </w:t>
            </w:r>
            <w:r>
              <w:rPr>
                <w:i/>
                <w:iCs/>
              </w:rPr>
              <w:t xml:space="preserve">p</w:t>
            </w:r>
            <w:r>
              <w:t xml:space="preserve"> </w:t>
            </w:r>
            <w:r>
              <w:t xml:space="preserve">= .485† (</w:t>
            </w:r>
            <w:r>
              <w:rPr>
                <w:i/>
                <w:iCs/>
              </w:rPr>
              <w:t xml:space="preserve">p</w:t>
            </w:r>
            <w:r>
              <w:t xml:space="preserve"> </w:t>
            </w:r>
            <w:r>
              <w:t xml:space="preserve">= .971)</w:t>
            </w:r>
          </w:p>
        </w:tc>
        <w:tc>
          <w:tcPr/>
          <w:p>
            <w:pPr>
              <w:pStyle w:val="Compact"/>
              <w:jc w:val="left"/>
            </w:pPr>
            <w:r>
              <w:t xml:space="preserve">-5.9,</w:t>
            </w:r>
            <w:r>
              <w:t xml:space="preserve"> </w:t>
            </w:r>
            <w:r>
              <w:rPr>
                <w:i/>
                <w:iCs/>
              </w:rPr>
              <w:t xml:space="preserve">p</w:t>
            </w:r>
            <w:r>
              <w:t xml:space="preserve"> </w:t>
            </w:r>
            <w:r>
              <w:t xml:space="preserve">= .280† (</w:t>
            </w:r>
            <w:r>
              <w:rPr>
                <w:i/>
                <w:iCs/>
              </w:rPr>
              <w:t xml:space="preserve">p</w:t>
            </w:r>
            <w:r>
              <w:t xml:space="preserve"> </w:t>
            </w:r>
            <w:r>
              <w:t xml:space="preserve">= .560)</w:t>
            </w:r>
          </w:p>
        </w:tc>
        <w:tc>
          <w:tcPr/>
          <w:p>
            <w:pPr>
              <w:pStyle w:val="Compact"/>
              <w:jc w:val="left"/>
            </w:pPr>
            <w:r>
              <w:t xml:space="preserve">3.6,</w:t>
            </w:r>
            <w:r>
              <w:t xml:space="preserve"> </w:t>
            </w:r>
            <w:r>
              <w:rPr>
                <w:i/>
                <w:iCs/>
              </w:rPr>
              <w:t xml:space="preserve">p</w:t>
            </w:r>
            <w:r>
              <w:t xml:space="preserve"> </w:t>
            </w:r>
            <w:r>
              <w:t xml:space="preserve">= .734</w:t>
            </w:r>
          </w:p>
        </w:tc>
      </w:tr>
      <w:tr>
        <w:tc>
          <w:tcPr/>
          <w:p>
            <w:pPr>
              <w:pStyle w:val="Compact"/>
              <w:jc w:val="left"/>
            </w:pPr>
            <w:r>
              <w:t xml:space="preserve">Re-reading: duration when re-read (global)</w:t>
            </w:r>
          </w:p>
        </w:tc>
        <w:tc>
          <w:tcPr/>
          <w:p>
            <w:pPr>
              <w:pStyle w:val="Compact"/>
              <w:jc w:val="left"/>
            </w:pPr>
            <w:r>
              <w:t xml:space="preserve">χ²(2) = 1.94,</w:t>
            </w:r>
            <w:r>
              <w:t xml:space="preserve"> </w:t>
            </w:r>
            <w:r>
              <w:rPr>
                <w:i/>
                <w:iCs/>
              </w:rPr>
              <w:t xml:space="preserve">p</w:t>
            </w:r>
            <w:r>
              <w:t xml:space="preserve"> </w:t>
            </w:r>
            <w:r>
              <w:t xml:space="preserve">= .379</w:t>
            </w:r>
          </w:p>
        </w:tc>
        <w:tc>
          <w:tcPr/>
          <w:p>
            <w:pPr>
              <w:pStyle w:val="Compact"/>
              <w:jc w:val="left"/>
            </w:pPr>
            <w:r>
              <w:t xml:space="preserve">29.8,</w:t>
            </w:r>
            <w:r>
              <w:t xml:space="preserve"> </w:t>
            </w:r>
            <w:r>
              <w:rPr>
                <w:i/>
                <w:iCs/>
              </w:rPr>
              <w:t xml:space="preserve">p</w:t>
            </w:r>
            <w:r>
              <w:t xml:space="preserve"> </w:t>
            </w:r>
            <w:r>
              <w:t xml:space="preserve">= .144† (</w:t>
            </w:r>
            <w:r>
              <w:rPr>
                <w:i/>
                <w:iCs/>
              </w:rPr>
              <w:t xml:space="preserve">p</w:t>
            </w:r>
            <w:r>
              <w:t xml:space="preserve"> </w:t>
            </w:r>
            <w:r>
              <w:t xml:space="preserve">= .289)</w:t>
            </w:r>
          </w:p>
        </w:tc>
        <w:tc>
          <w:tcPr/>
          <w:p>
            <w:pPr>
              <w:pStyle w:val="Compact"/>
              <w:jc w:val="left"/>
            </w:pPr>
            <w:r>
              <w:t xml:space="preserve">6.4,</w:t>
            </w:r>
            <w:r>
              <w:t xml:space="preserve"> </w:t>
            </w:r>
            <w:r>
              <w:rPr>
                <w:i/>
                <w:iCs/>
              </w:rPr>
              <w:t xml:space="preserve">p</w:t>
            </w:r>
            <w:r>
              <w:t xml:space="preserve"> </w:t>
            </w:r>
            <w:r>
              <w:t xml:space="preserve">= .578† (</w:t>
            </w:r>
            <w:r>
              <w:rPr>
                <w:i/>
                <w:iCs/>
              </w:rPr>
              <w:t xml:space="preserve">p</w:t>
            </w:r>
            <w:r>
              <w:t xml:space="preserve"> </w:t>
            </w:r>
            <w:r>
              <w:t xml:space="preserve">= .844)</w:t>
            </w:r>
          </w:p>
        </w:tc>
        <w:tc>
          <w:tcPr/>
          <w:p>
            <w:pPr>
              <w:pStyle w:val="Compact"/>
              <w:jc w:val="left"/>
            </w:pPr>
            <w:r>
              <w:t xml:space="preserve">14.0,</w:t>
            </w:r>
            <w:r>
              <w:t xml:space="preserve"> </w:t>
            </w:r>
            <w:r>
              <w:rPr>
                <w:i/>
                <w:iCs/>
              </w:rPr>
              <w:t xml:space="preserve">p</w:t>
            </w:r>
            <w:r>
              <w:t xml:space="preserve"> </w:t>
            </w:r>
            <w:r>
              <w:t xml:space="preserve">= .642</w:t>
            </w:r>
          </w:p>
        </w:tc>
      </w:tr>
      <w:tr>
        <w:tc>
          <w:tcPr/>
          <w:p>
            <w:pPr>
              <w:pStyle w:val="Compact"/>
              <w:jc w:val="left"/>
            </w:pPr>
            <w:r>
              <w:t xml:space="preserve">First-pass duration (local)</w:t>
            </w:r>
          </w:p>
        </w:tc>
        <w:tc>
          <w:tcPr/>
          <w:p>
            <w:pPr>
              <w:pStyle w:val="Compact"/>
              <w:jc w:val="left"/>
            </w:pPr>
            <w:r>
              <w:t xml:space="preserve">χ²(2) = 5.27,</w:t>
            </w:r>
            <w:r>
              <w:t xml:space="preserve"> </w:t>
            </w:r>
            <w:r>
              <w:rPr>
                <w:i/>
                <w:iCs/>
              </w:rPr>
              <w:t xml:space="preserve">p</w:t>
            </w:r>
            <w:r>
              <w:t xml:space="preserve"> </w:t>
            </w:r>
            <w:r>
              <w:t xml:space="preserve">= .072</w:t>
            </w:r>
          </w:p>
        </w:tc>
        <w:tc>
          <w:tcPr/>
          <w:p>
            <w:pPr>
              <w:pStyle w:val="Compact"/>
              <w:jc w:val="left"/>
            </w:pPr>
            <w:r>
              <w:t xml:space="preserve">25.6,</w:t>
            </w:r>
            <w:r>
              <w:t xml:space="preserve"> </w:t>
            </w:r>
            <w:r>
              <w:rPr>
                <w:i/>
                <w:iCs/>
              </w:rPr>
              <w:t xml:space="preserve">p</w:t>
            </w:r>
            <w:r>
              <w:t xml:space="preserve"> </w:t>
            </w:r>
            <w:r>
              <w:t xml:space="preserve">= .166† (</w:t>
            </w:r>
            <w:r>
              <w:rPr>
                <w:i/>
                <w:iCs/>
              </w:rPr>
              <w:t xml:space="preserve">p</w:t>
            </w:r>
            <w:r>
              <w:t xml:space="preserve"> </w:t>
            </w:r>
            <w:r>
              <w:t xml:space="preserve">= .333)</w:t>
            </w:r>
          </w:p>
        </w:tc>
        <w:tc>
          <w:tcPr/>
          <w:p>
            <w:pPr>
              <w:pStyle w:val="Compact"/>
              <w:jc w:val="left"/>
            </w:pPr>
            <w:r>
              <w:t xml:space="preserve">-13.0,</w:t>
            </w:r>
            <w:r>
              <w:t xml:space="preserve"> </w:t>
            </w:r>
            <w:r>
              <w:rPr>
                <w:i/>
                <w:iCs/>
              </w:rPr>
              <w:t xml:space="preserve">p</w:t>
            </w:r>
            <w:r>
              <w:t xml:space="preserve"> </w:t>
            </w:r>
            <w:r>
              <w:t xml:space="preserve">= .331† (</w:t>
            </w:r>
            <w:r>
              <w:rPr>
                <w:i/>
                <w:iCs/>
              </w:rPr>
              <w:t xml:space="preserve">p</w:t>
            </w:r>
            <w:r>
              <w:t xml:space="preserve"> </w:t>
            </w:r>
            <w:r>
              <w:t xml:space="preserve">= .661)</w:t>
            </w:r>
          </w:p>
        </w:tc>
        <w:tc>
          <w:tcPr/>
          <w:p>
            <w:pPr>
              <w:pStyle w:val="Compact"/>
              <w:jc w:val="left"/>
            </w:pPr>
            <w:r>
              <w:t xml:space="preserve">-5.3,</w:t>
            </w:r>
            <w:r>
              <w:t xml:space="preserve"> </w:t>
            </w:r>
            <w:r>
              <w:rPr>
                <w:i/>
                <w:iCs/>
              </w:rPr>
              <w:t xml:space="preserve">p</w:t>
            </w:r>
            <w:r>
              <w:t xml:space="preserve"> </w:t>
            </w:r>
            <w:r>
              <w:t xml:space="preserve">= .846</w:t>
            </w:r>
          </w:p>
        </w:tc>
      </w:tr>
      <w:tr>
        <w:tc>
          <w:tcPr/>
          <w:p>
            <w:pPr>
              <w:pStyle w:val="Compact"/>
              <w:jc w:val="left"/>
            </w:pPr>
            <w:r>
              <w:t xml:space="preserve">Second-pass regression (global)</w:t>
            </w:r>
          </w:p>
        </w:tc>
        <w:tc>
          <w:tcPr/>
          <w:p>
            <w:pPr>
              <w:pStyle w:val="Compact"/>
              <w:jc w:val="left"/>
            </w:pPr>
            <w:r>
              <w:t xml:space="preserve">χ²(2) = 14.74,</w:t>
            </w:r>
            <w:r>
              <w:t xml:space="preserve"> </w:t>
            </w:r>
            <w:r>
              <w:rPr>
                <w:i/>
                <w:iCs/>
              </w:rPr>
              <w:t xml:space="preserve">p</w:t>
            </w:r>
            <w:r>
              <w:t xml:space="preserve"> </w:t>
            </w:r>
            <w:r>
              <w:t xml:space="preserve">&lt; .001</w:t>
            </w:r>
          </w:p>
        </w:tc>
        <w:tc>
          <w:tcPr/>
          <w:p>
            <w:pPr>
              <w:pStyle w:val="Compact"/>
              <w:jc w:val="left"/>
            </w:pPr>
            <w:r>
              <w:t xml:space="preserve">-10.6,</w:t>
            </w:r>
            <w:r>
              <w:t xml:space="preserve"> </w:t>
            </w:r>
            <w:r>
              <w:rPr>
                <w:i/>
                <w:iCs/>
              </w:rPr>
              <w:t xml:space="preserve">p</w:t>
            </w:r>
            <w:r>
              <w:t xml:space="preserve"> </w:t>
            </w:r>
            <w:r>
              <w:t xml:space="preserve">= .677</w:t>
            </w:r>
          </w:p>
        </w:tc>
        <w:tc>
          <w:tcPr/>
          <w:p>
            <w:pPr>
              <w:pStyle w:val="Compact"/>
              <w:jc w:val="left"/>
            </w:pPr>
            <w:r>
              <w:t xml:space="preserve">-28.5,</w:t>
            </w:r>
            <w:r>
              <w:t xml:space="preserve"> </w:t>
            </w:r>
            <w:r>
              <w:rPr>
                <w:i/>
                <w:iCs/>
              </w:rPr>
              <w:t xml:space="preserve">p</w:t>
            </w:r>
            <w:r>
              <w:t xml:space="preserve"> </w:t>
            </w:r>
            <w:r>
              <w:t xml:space="preserve">= .212</w:t>
            </w:r>
          </w:p>
        </w:tc>
        <w:tc>
          <w:tcPr/>
          <w:p>
            <w:pPr>
              <w:pStyle w:val="Compact"/>
              <w:jc w:val="left"/>
            </w:pPr>
            <w:r>
              <w:t xml:space="preserve">-11.4,</w:t>
            </w:r>
            <w:r>
              <w:t xml:space="preserve"> </w:t>
            </w:r>
            <w:r>
              <w:rPr>
                <w:i/>
                <w:iCs/>
              </w:rPr>
              <w:t xml:space="preserve">p</w:t>
            </w:r>
            <w:r>
              <w:t xml:space="preserve"> </w:t>
            </w:r>
            <w:r>
              <w:t xml:space="preserve">= .639</w:t>
            </w:r>
          </w:p>
        </w:tc>
      </w:tr>
    </w:tbl>
    <w:bookmarkEnd w:id="56"/>
    <w:p>
      <w:pPr>
        <w:pStyle w:val="FigureNote"/>
      </w:pPr>
      <w:r>
        <w:rPr>
          <w:i/>
          <w:iCs/>
        </w:rPr>
        <w:t xml:space="preserve">Note</w:t>
      </w:r>
      <w:r>
        <w:t xml:space="preserve">. Total gaze duration was analysed with the preregistered ex-Gaussian model; its rows give the Gaussian mean μ (typical reading time; the preregistered focus) and the tail mean τ. Condition × Topic gives the omnibus interaction test. The last three columns give the Polio − TB difference within each condition and its</w:t>
      </w:r>
      <w:r>
        <w:t xml:space="preserve"> </w:t>
      </w:r>
      <w:r>
        <w:rPr>
          <w:i/>
          <w:iCs/>
        </w:rPr>
        <w:t xml:space="preserve">p</w:t>
      </w:r>
      <w:r>
        <w:t xml:space="preserve"> </w:t>
      </w:r>
      <w:r>
        <w:t xml:space="preserve">value, in ms per word (durations) or percentage points (regressions); confidence intervals are reported in the text (90% for one-tailed tests, 95% otherwise). First-pass duration and re-reading duration were analysed with Gamma mixed models, and re-reading probability and second-pass regression with logistic mixed models; all differences are on the original scale. Duration and re-reading contrasts in the Polio and TB conditions are one-tailed in the predicted direction (marked †, with the two-tailed</w:t>
      </w:r>
      <w:r>
        <w:t xml:space="preserve"> </w:t>
      </w:r>
      <w:r>
        <w:rPr>
          <w:i/>
          <w:iCs/>
        </w:rPr>
        <w:t xml:space="preserve">p</w:t>
      </w:r>
      <w:r>
        <w:t xml:space="preserve"> </w:t>
      </w:r>
      <w:r>
        <w:t xml:space="preserve">value in parentheses); all other tests are two-tailed.</w:t>
      </w:r>
    </w:p>
    <w:bookmarkStart w:id="60" w:name="fig-eye"/>
    <w:p>
      <w:pPr>
        <w:pStyle w:val="FigureTitle"/>
      </w:pPr>
      <w:r>
        <w:t xml:space="preserve">Figure 4</w:t>
      </w:r>
    </w:p>
    <w:p>
      <w:pPr>
        <w:pStyle w:val="Caption"/>
      </w:pPr>
      <w:r>
        <w:t xml:space="preserve">Eye-Movement Measures by Condition and Sentence Topic</w:t>
      </w:r>
    </w:p>
    <w:p>
      <w:pPr>
        <w:pStyle w:val="FigureWithNote"/>
      </w:pPr>
      <w:r>
        <w:drawing>
          <wp:inline>
            <wp:extent cx="5943600" cy="7124700"/>
            <wp:effectExtent b="0" l="0" r="0" t="0"/>
            <wp:docPr descr="" title="" id="58" name="Picture"/>
            <a:graphic>
              <a:graphicData uri="http://schemas.openxmlformats.org/drawingml/2006/picture">
                <pic:pic>
                  <pic:nvPicPr>
                    <pic:cNvPr descr="manuscript_files/figure-docx/fig-eye-1.png" id="59" name="Picture"/>
                    <pic:cNvPicPr>
                      <a:picLocks noChangeArrowheads="1" noChangeAspect="1"/>
                    </pic:cNvPicPr>
                  </pic:nvPicPr>
                  <pic:blipFill>
                    <a:blip r:embed="rId57"/>
                    <a:stretch>
                      <a:fillRect/>
                    </a:stretch>
                  </pic:blipFill>
                  <pic:spPr bwMode="auto">
                    <a:xfrm>
                      <a:off x="0" y="0"/>
                      <a:ext cx="5943600" cy="7124700"/>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Points are model-estimated means for each Condition × Topic cell, with 95% confidence intervals. For total gaze duration, the two panels show the ex-Gaussian parameters μ (typical reading time) and τ (mean of the tail of unusually long readings) for an average participant. For the other measures, points are estimated marginal means from the mixed model of each measure, averaged over the observed sample. Durations are in ms per word; regressions are the estimated percentage of sentences.</w:t>
      </w:r>
    </w:p>
    <w:bookmarkEnd w:id="61"/>
    <w:bookmarkStart w:id="66" w:name="X8537f9c96b9677bdbee34a6e79be7fae3427de5"/>
    <w:p>
      <w:pPr>
        <w:pStyle w:val="Heading3"/>
      </w:pPr>
      <w:r>
        <w:t xml:space="preserve">Prequestioned Versus Non-Prequestioned Sentences</w:t>
      </w:r>
    </w:p>
    <w:p>
      <w:pPr>
        <w:pStyle w:val="FirstParagraph"/>
      </w:pPr>
      <w:r>
        <w:t xml:space="preserve">Within the two prequestion conditions (90 participants), the ex-Gaussian model of total gaze duration showed no reliable difference between prequestioned and non-prequestioned sentences in typical reading time, μ: 3.6 ms/word, 90% CI [-6.1, 13.3],</w:t>
      </w:r>
      <w:r>
        <w:t xml:space="preserve"> </w:t>
      </w:r>
      <w:r>
        <w:rPr>
          <w:i/>
          <w:iCs/>
        </w:rPr>
        <w:t xml:space="preserve">z</w:t>
      </w:r>
      <w:r>
        <w:t xml:space="preserve"> </w:t>
      </w:r>
      <w:r>
        <w:t xml:space="preserve">= 0.61,</w:t>
      </w:r>
      <w:r>
        <w:t xml:space="preserve"> </w:t>
      </w:r>
      <w:r>
        <w:rPr>
          <w:i/>
          <w:iCs/>
        </w:rPr>
        <w:t xml:space="preserve">p</w:t>
      </w:r>
      <w:r>
        <w:t xml:space="preserve"> </w:t>
      </w:r>
      <w:r>
        <w:t xml:space="preserve">= .270 (one-tailed; two-tailed</w:t>
      </w:r>
      <w:r>
        <w:t xml:space="preserve"> </w:t>
      </w:r>
      <w:r>
        <w:rPr>
          <w:i/>
          <w:iCs/>
        </w:rPr>
        <w:t xml:space="preserve">p</w:t>
      </w:r>
      <w:r>
        <w:t xml:space="preserve"> </w:t>
      </w:r>
      <w:r>
        <w:t xml:space="preserve">= .541), but a longer tail of unusually long readings for prequestioned sentences, τ: 33.3 ms/word, 90% CI [15.7, 50.9],</w:t>
      </w:r>
      <w:r>
        <w:t xml:space="preserve"> </w:t>
      </w:r>
      <w:r>
        <w:rPr>
          <w:i/>
          <w:iCs/>
        </w:rPr>
        <w:t xml:space="preserve">z</w:t>
      </w:r>
      <w:r>
        <w:t xml:space="preserve"> </w:t>
      </w:r>
      <w:r>
        <w:t xml:space="preserve">= 3.11,</w:t>
      </w:r>
      <w:r>
        <w:t xml:space="preserve"> </w:t>
      </w:r>
      <w:r>
        <w:rPr>
          <w:i/>
          <w:iCs/>
        </w:rPr>
        <w:t xml:space="preserve">p</w:t>
      </w:r>
      <w:r>
        <w:t xml:space="preserve"> </w:t>
      </w:r>
      <w:r>
        <w:t xml:space="preserve">&lt; .001 (one-tailed; two-tailed</w:t>
      </w:r>
      <w:r>
        <w:t xml:space="preserve"> </w:t>
      </w:r>
      <w:r>
        <w:rPr>
          <w:i/>
          <w:iCs/>
        </w:rPr>
        <w:t xml:space="preserve">p</w:t>
      </w:r>
      <w:r>
        <w:t xml:space="preserve"> </w:t>
      </w:r>
      <w:r>
        <w:t xml:space="preserve">= .002). First-pass duration was longer for prequestioned sentences,</w:t>
      </w:r>
      <w:r>
        <w:t xml:space="preserve"> </w:t>
      </w:r>
      <w:r>
        <w:rPr>
          <w:i/>
          <w:iCs/>
        </w:rPr>
        <w:t xml:space="preserve">b</w:t>
      </w:r>
      <w:r>
        <w:t xml:space="preserve"> </w:t>
      </w:r>
      <w:r>
        <w:t xml:space="preserve">= 19.1 ms/word, 90% CI [3.6, 34.5],</w:t>
      </w:r>
      <w:r>
        <w:t xml:space="preserve"> </w:t>
      </w:r>
      <w:r>
        <w:rPr>
          <w:i/>
          <w:iCs/>
        </w:rPr>
        <w:t xml:space="preserve">z</w:t>
      </w:r>
      <w:r>
        <w:t xml:space="preserve"> </w:t>
      </w:r>
      <w:r>
        <w:t xml:space="preserve">= 2.03,</w:t>
      </w:r>
      <w:r>
        <w:t xml:space="preserve"> </w:t>
      </w:r>
      <w:r>
        <w:rPr>
          <w:i/>
          <w:iCs/>
        </w:rPr>
        <w:t xml:space="preserve">p</w:t>
      </w:r>
      <w:r>
        <w:t xml:space="preserve"> </w:t>
      </w:r>
      <w:r>
        <w:t xml:space="preserve">= .021 (one-tailed; two-tailed</w:t>
      </w:r>
      <w:r>
        <w:t xml:space="preserve"> </w:t>
      </w:r>
      <w:r>
        <w:rPr>
          <w:i/>
          <w:iCs/>
        </w:rPr>
        <w:t xml:space="preserve">p</w:t>
      </w:r>
      <w:r>
        <w:t xml:space="preserve"> </w:t>
      </w:r>
      <w:r>
        <w:t xml:space="preserve">= .042). Prequestioned sentences were not reliably more likely to be re-read (66.1% vs. 62.9%), Δ = 3.2 percentage points, 90% CI [-1.9, 8.3],</w:t>
      </w:r>
      <w:r>
        <w:t xml:space="preserve"> </w:t>
      </w:r>
      <w:r>
        <w:rPr>
          <w:i/>
          <w:iCs/>
        </w:rPr>
        <w:t xml:space="preserve">z</w:t>
      </w:r>
      <w:r>
        <w:t xml:space="preserve"> </w:t>
      </w:r>
      <w:r>
        <w:t xml:space="preserve">= 1.03,</w:t>
      </w:r>
      <w:r>
        <w:t xml:space="preserve"> </w:t>
      </w:r>
      <w:r>
        <w:rPr>
          <w:i/>
          <w:iCs/>
        </w:rPr>
        <w:t xml:space="preserve">p</w:t>
      </w:r>
      <w:r>
        <w:t xml:space="preserve"> </w:t>
      </w:r>
      <w:r>
        <w:t xml:space="preserve">= .152 (one-tailed; two-tailed</w:t>
      </w:r>
      <w:r>
        <w:t xml:space="preserve"> </w:t>
      </w:r>
      <w:r>
        <w:rPr>
          <w:i/>
          <w:iCs/>
        </w:rPr>
        <w:t xml:space="preserve">p</w:t>
      </w:r>
      <w:r>
        <w:t xml:space="preserve"> </w:t>
      </w:r>
      <w:r>
        <w:t xml:space="preserve">= .304), and when they were re-read, re-reading was not reliably longer,</w:t>
      </w:r>
      <w:r>
        <w:t xml:space="preserve"> </w:t>
      </w:r>
      <w:r>
        <w:rPr>
          <w:i/>
          <w:iCs/>
        </w:rPr>
        <w:t xml:space="preserve">b</w:t>
      </w:r>
      <w:r>
        <w:t xml:space="preserve"> </w:t>
      </w:r>
      <w:r>
        <w:t xml:space="preserve">= 12.0 ms/word, 90% CI [-17.8, 41.9],</w:t>
      </w:r>
      <w:r>
        <w:t xml:space="preserve"> </w:t>
      </w:r>
      <w:r>
        <w:rPr>
          <w:i/>
          <w:iCs/>
        </w:rPr>
        <w:t xml:space="preserve">z</w:t>
      </w:r>
      <w:r>
        <w:t xml:space="preserve"> </w:t>
      </w:r>
      <w:r>
        <w:t xml:space="preserve">= 0.66,</w:t>
      </w:r>
      <w:r>
        <w:t xml:space="preserve"> </w:t>
      </w:r>
      <w:r>
        <w:rPr>
          <w:i/>
          <w:iCs/>
        </w:rPr>
        <w:t xml:space="preserve">p</w:t>
      </w:r>
      <w:r>
        <w:t xml:space="preserve"> </w:t>
      </w:r>
      <w:r>
        <w:t xml:space="preserve">= .253 (one-tailed; two-tailed</w:t>
      </w:r>
      <w:r>
        <w:t xml:space="preserve"> </w:t>
      </w:r>
      <w:r>
        <w:rPr>
          <w:i/>
          <w:iCs/>
        </w:rPr>
        <w:t xml:space="preserve">p</w:t>
      </w:r>
      <w:r>
        <w:t xml:space="preserve"> </w:t>
      </w:r>
      <w:r>
        <w:t xml:space="preserve">= .507). Readers were more likely to return to prequestioned sentences from later text (second-pass regressions: 37.9% vs. 28.9%), Δ = 9.0 percentage points, 95% CI [1.1, 16.8],</w:t>
      </w:r>
      <w:r>
        <w:t xml:space="preserve"> </w:t>
      </w:r>
      <w:r>
        <w:rPr>
          <w:i/>
          <w:iCs/>
        </w:rPr>
        <w:t xml:space="preserve">z</w:t>
      </w:r>
      <w:r>
        <w:t xml:space="preserve"> </w:t>
      </w:r>
      <w:r>
        <w:t xml:space="preserve">= 2.24,</w:t>
      </w:r>
      <w:r>
        <w:t xml:space="preserve"> </w:t>
      </w:r>
      <w:r>
        <w:rPr>
          <w:i/>
          <w:iCs/>
        </w:rPr>
        <w:t xml:space="preserve">p</w:t>
      </w:r>
      <w:r>
        <w:t xml:space="preserve"> </w:t>
      </w:r>
      <w:r>
        <w:t xml:space="preserve">= .025 (</w:t>
      </w:r>
      <w:hyperlink w:anchor="fig-relevance">
        <w:r>
          <w:rPr>
            <w:rStyle w:val="Hyperlink"/>
          </w:rPr>
          <w:t xml:space="preserve">Figure 5</w:t>
        </w:r>
      </w:hyperlink>
      <w:r>
        <w:t xml:space="preserve">).</w:t>
      </w:r>
    </w:p>
    <w:bookmarkStart w:id="65" w:name="fig-relevance"/>
    <w:p>
      <w:pPr>
        <w:pStyle w:val="FigureTitle"/>
      </w:pPr>
      <w:r>
        <w:t xml:space="preserve">Figure 5</w:t>
      </w:r>
    </w:p>
    <w:p>
      <w:pPr>
        <w:pStyle w:val="Caption"/>
      </w:pPr>
      <w:r>
        <w:t xml:space="preserve">Prequestioned Versus Non-Prequestioned Sentences</w:t>
      </w:r>
    </w:p>
    <w:p>
      <w:pPr>
        <w:pStyle w:val="FigureWithNote"/>
      </w:pPr>
      <w:r>
        <w:drawing>
          <wp:inline>
            <wp:extent cx="5943600" cy="4752975"/>
            <wp:effectExtent b="0" l="0" r="0" t="0"/>
            <wp:docPr descr="" title="" id="63" name="Picture"/>
            <a:graphic>
              <a:graphicData uri="http://schemas.openxmlformats.org/drawingml/2006/picture">
                <pic:pic>
                  <pic:nvPicPr>
                    <pic:cNvPr descr="manuscript_files/figure-docx/fig-relevance-1.png" id="64" name="Picture"/>
                    <pic:cNvPicPr>
                      <a:picLocks noChangeArrowheads="1" noChangeAspect="1"/>
                    </pic:cNvPicPr>
                  </pic:nvPicPr>
                  <pic:blipFill>
                    <a:blip r:embed="rId62"/>
                    <a:stretch>
                      <a:fillRect/>
                    </a:stretch>
                  </pic:blipFill>
                  <pic:spPr bwMode="auto">
                    <a:xfrm>
                      <a:off x="0" y="0"/>
                      <a:ext cx="5943600" cy="4752975"/>
                    </a:xfrm>
                    <a:prstGeom prst="rect">
                      <a:avLst/>
                    </a:prstGeom>
                    <a:noFill/>
                    <a:ln w="9525">
                      <a:noFill/>
                      <a:headEnd/>
                      <a:tailEnd/>
                    </a:ln>
                  </pic:spPr>
                </pic:pic>
              </a:graphicData>
            </a:graphic>
          </wp:inline>
        </w:drawing>
      </w:r>
    </w:p>
    <w:bookmarkEnd w:id="65"/>
    <w:p>
      <w:pPr>
        <w:pStyle w:val="FigureNote"/>
      </w:pPr>
      <w:r>
        <w:rPr>
          <w:i/>
          <w:iCs/>
        </w:rPr>
        <w:t xml:space="preserve">Note</w:t>
      </w:r>
      <w:r>
        <w:t xml:space="preserve">. Polio and TB prequestion conditions. Thin grey lines connect each participant’s means; small points are participant means. Large points are model-estimated means with 95% confidence intervals: for total gaze duration, the mean of the ex-Gaussian model (μ + τ); for the other measures, the mixed models described in the Statistical Analysis. Durations are in ms per word.</w:t>
      </w:r>
    </w:p>
    <w:bookmarkEnd w:id="66"/>
    <w:bookmarkEnd w:id="67"/>
    <w:bookmarkStart w:id="72" w:name="exploratory-analyses"/>
    <w:p>
      <w:pPr>
        <w:pStyle w:val="Heading2"/>
      </w:pPr>
      <w:r>
        <w:t xml:space="preserve">Exploratory Analyses</w:t>
      </w:r>
    </w:p>
    <w:p>
      <w:pPr>
        <w:pStyle w:val="FirstParagraph"/>
      </w:pPr>
      <w:r>
        <w:rPr>
          <w:b/>
          <w:bCs/>
        </w:rPr>
        <w:t xml:space="preserve">Mediation: does reading behaviour account for the memory benefit?</w:t>
      </w:r>
      <w:r>
        <w:t xml:space="preserve"> </w:t>
      </w:r>
      <w:r>
        <w:t xml:space="preserve">Each target sentence contains the answer to one test question, so how a sentence was read can be linked to recall of its answer. We estimated a path model (</w:t>
      </w:r>
      <w:hyperlink w:anchor="fig-path">
        <w:r>
          <w:rPr>
            <w:rStyle w:val="Hyperlink"/>
          </w:rPr>
          <w:t xml:space="preserve">Figure 6</w:t>
        </w:r>
      </w:hyperlink>
      <w:r>
        <w:t xml:space="preserve">) linking whether a sentence was prequestioned for the reader (X) to how it was read (M) and to recall of its answer (Y, points earned on the corresponding final-test question). The model used the two prequestion conditions, included random intercepts for participants and questions, and separated within-reader from between-reader variation in reading by including each reader’s average as a covariate, so that the</w:t>
      </w:r>
      <w:r>
        <w:t xml:space="preserve"> </w:t>
      </w:r>
      <w:r>
        <w:rPr>
          <w:i/>
          <w:iCs/>
        </w:rPr>
        <w:t xml:space="preserve">b</w:t>
      </w:r>
      <w:r>
        <w:t xml:space="preserve"> </w:t>
      </w:r>
      <w:r>
        <w:t xml:space="preserve">path reflects whether a reader recalled answers better from the sentences they read longer. The indirect effect and the proportion mediated were estimated with Monte Carlo confidence intervals (20,000 draws).</w:t>
      </w:r>
    </w:p>
    <w:p>
      <w:pPr>
        <w:pStyle w:val="BodyText"/>
      </w:pPr>
      <w:r>
        <w:t xml:space="preserve">The mediator was total gaze duration. Prequestioned sentences were read longer,</w:t>
      </w:r>
      <w:r>
        <w:t xml:space="preserve"> </w:t>
      </w:r>
      <w:r>
        <w:rPr>
          <w:i/>
          <w:iCs/>
        </w:rPr>
        <w:t xml:space="preserve">a</w:t>
      </w:r>
      <w:r>
        <w:t xml:space="preserve"> </w:t>
      </w:r>
      <w:r>
        <w:t xml:space="preserve">= 37.6 ms per word, and within readers, longer reading predicted better recall,</w:t>
      </w:r>
      <w:r>
        <w:t xml:space="preserve"> </w:t>
      </w:r>
      <w:r>
        <w:rPr>
          <w:i/>
          <w:iCs/>
        </w:rPr>
        <w:t xml:space="preserve">b</w:t>
      </w:r>
      <w:r>
        <w:t xml:space="preserve"> </w:t>
      </w:r>
      <w:r>
        <w:t xml:space="preserve">= 0.023, 95% CI [0.016, 0.031], p &lt; .001 (log-odds per 10 ms per word). The indirect effect was 0.088, 95% CI [0.045, 0.141], p &lt; .001 and the direct effect 0.852, 95% CI [0.660, 1.045], p &lt; .001, so total gaze duration accounted for 9.4% (95% CI [4.8%, 15.2%]) of the benefit of prequestions on recall; most of the benefit was direct. Reading was observed rather than manipulated, so this analysis is correlational: readers may also linger on sentences they would remember well for other reasons.</w:t>
      </w:r>
    </w:p>
    <w:bookmarkStart w:id="71" w:name="fig-path"/>
    <w:p>
      <w:pPr>
        <w:pStyle w:val="FigureTitle"/>
      </w:pPr>
      <w:r>
        <w:t xml:space="preserve">Figure 6</w:t>
      </w:r>
    </w:p>
    <w:p>
      <w:pPr>
        <w:pStyle w:val="Caption"/>
      </w:pPr>
      <w:r>
        <w:t xml:space="preserve">Path Model of the Prequestion Memory Benefit</w:t>
      </w:r>
    </w:p>
    <w:p>
      <w:pPr>
        <w:pStyle w:val="FigureWithNote"/>
      </w:pPr>
      <w:r>
        <w:drawing>
          <wp:inline>
            <wp:extent cx="5943600" cy="2647950"/>
            <wp:effectExtent b="0" l="0" r="0" t="0"/>
            <wp:docPr descr="" title="" id="69" name="Picture"/>
            <a:graphic>
              <a:graphicData uri="http://schemas.openxmlformats.org/drawingml/2006/picture">
                <pic:pic>
                  <pic:nvPicPr>
                    <pic:cNvPr descr="manuscript_files/figure-docx/fig-path-1.png" id="70" name="Picture"/>
                    <pic:cNvPicPr>
                      <a:picLocks noChangeArrowheads="1" noChangeAspect="1"/>
                    </pic:cNvPicPr>
                  </pic:nvPicPr>
                  <pic:blipFill>
                    <a:blip r:embed="rId68"/>
                    <a:stretch>
                      <a:fillRect/>
                    </a:stretch>
                  </pic:blipFill>
                  <pic:spPr bwMode="auto">
                    <a:xfrm>
                      <a:off x="0" y="0"/>
                      <a:ext cx="5943600" cy="2647950"/>
                    </a:xfrm>
                    <a:prstGeom prst="rect">
                      <a:avLst/>
                    </a:prstGeom>
                    <a:noFill/>
                    <a:ln w="9525">
                      <a:noFill/>
                      <a:headEnd/>
                      <a:tailEnd/>
                    </a:ln>
                  </pic:spPr>
                </pic:pic>
              </a:graphicData>
            </a:graphic>
          </wp:inline>
        </w:drawing>
      </w:r>
    </w:p>
    <w:bookmarkEnd w:id="71"/>
    <w:p>
      <w:pPr>
        <w:pStyle w:val="FigureNote"/>
      </w:pPr>
      <w:r>
        <w:rPr>
          <w:i/>
          <w:iCs/>
        </w:rPr>
        <w:t xml:space="preserve">Note</w:t>
      </w:r>
      <w:r>
        <w:t xml:space="preserve">. Estimates with 95% Monte Carlo confidence intervals. X = whether the sentence was prequestioned for the reader; M = total gaze duration on the sentence; Y = recall of its answer (points on the corresponding final-test question).</w:t>
      </w:r>
      <w:r>
        <w:t xml:space="preserve"> </w:t>
      </w:r>
      <w:r>
        <w:rPr>
          <w:i/>
          <w:iCs/>
        </w:rPr>
        <w:t xml:space="preserve">a</w:t>
      </w:r>
      <w:r>
        <w:t xml:space="preserve"> </w:t>
      </w:r>
      <w:r>
        <w:t xml:space="preserve">is in ms per word;</w:t>
      </w:r>
      <w:r>
        <w:t xml:space="preserve"> </w:t>
      </w:r>
      <w:r>
        <w:rPr>
          <w:i/>
          <w:iCs/>
        </w:rPr>
        <w:t xml:space="preserve">b</w:t>
      </w:r>
      <w:r>
        <w:t xml:space="preserve"> </w:t>
      </w:r>
      <w:r>
        <w:t xml:space="preserve">is in log-odds per 10 ms per word;</w:t>
      </w:r>
      <w:r>
        <w:t xml:space="preserve"> </w:t>
      </w:r>
      <w:r>
        <w:rPr>
          <w:i/>
          <w:iCs/>
        </w:rPr>
        <w:t xml:space="preserve">c</w:t>
      </w:r>
      <w:r>
        <w:t xml:space="preserve">′ and the indirect effect are in log-odds. Polio and TB prequestion conditions only.</w:t>
      </w:r>
    </w:p>
    <w:bookmarkEnd w:id="72"/>
    <w:bookmarkEnd w:id="73"/>
    <w:bookmarkStart w:id="74"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Prequestions produced the typical specific benefit: participants remembered the prequestioned topic better than the Control condition did, with no benefit for the non-prequestioned topic. Eye movements showed that prequestions did shift attention. Comparing the same sentences when they were and were not prequestioned, prequestioning increased the tail of unusually long readings in total gaze duration rather than typical reading time, lengthened first-pass reading, and made readers more likely to look back to the sentences from later text. The preregistered comparisons within each prequestion condition also showed effects of prequestions, but different ones in the two conditions: in the ex-Gaussian analysis of total gaze duration, Polio prequestions increased the number of unusually long readings of Polio sentences; TB prequestions lengthened total gaze duration on TB sentences overall, but neither typical reading time (μ) nor the tail (τ) differed reliably on its own.</w:t>
      </w:r>
    </w:p>
    <w:p>
      <w:pPr>
        <w:pStyle w:val="BodyText"/>
      </w:pPr>
      <w:r>
        <w:t xml:space="preserve">We do not think this difference between the two prequestion conditions shows that prequestions work differently for the two topics. Topic was a property of the sentences: the five Polio and five TB target sentences differed in length, content, and position on the page, so differences in how they are read can arise from the sentences themselves. Each within-condition comparison of Polio with TB sentences therefore combines the effect of the prequestions with differences between the sentences themselves, and with only five sentences per topic, these sentence differences are large relative to the effect of the prequestions. Comparing each prequestion condition with the Control condition does not remove them either, because it compares different readers. The comparison of prequestioned with non-prequestioned sentences avoids both problems. Every target sentence was prequestioned for one group of readers and not for the other, so differences between the sentences cancel out, and the comparison uses the data from both prequestion conditions. We therefore base our conclusions mainly on this comparison, and interpret the different patterns in the two prequestion conditions as reflecting differences between the Polio and TB sentences rather than between the prequestions.</w:t>
      </w:r>
    </w:p>
    <w:p>
      <w:pPr>
        <w:pStyle w:val="BodyText"/>
      </w:pPr>
      <w:r>
        <w:t xml:space="preserve">The local and global measures indicate when this extra processing occurred. Most of it occurred on first encounter: first-pass duration was longer for prequestioned sentences (in a one-tailed test), whereas the additional re-reading time was smaller and not reliable. Prequestioned sentences did not make readers leave them backwards during first-pass reading, suggesting that prequestions did not make the sentences harder to integrate. Readers were, however, more likely to look back to prequestioned sentences from later in the text. Taken together, prequestions mostly did not slow typical reading of prequestioned sentences but increased the frequency of unusually long readings. This pattern fits an account in which readers occasionally recognize information relevant to a prequestion and pause on it, rather than reading all relevant material more slowly.</w:t>
      </w:r>
    </w:p>
    <w:p>
      <w:pPr>
        <w:pStyle w:val="BodyText"/>
      </w:pPr>
      <w:r>
        <w:t xml:space="preserve">These findings agree with the two previous eye-tracking studies of prequestions in showing that prequestions shift attention toward the information they address. In</w:t>
      </w:r>
      <w:r>
        <w:t xml:space="preserve"> </w:t>
      </w:r>
      <w:r>
        <w:t xml:space="preserve">Lewis and Mensink (</w:t>
      </w:r>
      <w:hyperlink w:anchor="ref-lewis2012">
        <w:r>
          <w:rPr>
            <w:rStyle w:val="Hyperlink"/>
          </w:rPr>
          <w:t xml:space="preserve">2012</w:t>
        </w:r>
      </w:hyperlink>
      <w:r>
        <w:t xml:space="preserve">)</w:t>
      </w:r>
      <w:r>
        <w:t xml:space="preserve">, TB prequestions increased first-pass reading of the targeted sentences by increasing re-reading within those sentences before readers moved on, rather than by slowing forward reading, and increased the time spent looking back to them after moving on. We likewise found longer first-pass reading of prequestioned sentences. Readers in both studies were also more likely to look back to prequestioned sentences from later in the text. The studies differ in the time spent looking back: look-back time increased substantially for targeted sentences in their study, whereas the additional re-reading time here was small and not reliable. Several differences between the studies may contribute.</w:t>
      </w:r>
      <w:r>
        <w:t xml:space="preserve"> </w:t>
      </w:r>
      <w:r>
        <w:t xml:space="preserve">Lewis and Mensink (</w:t>
      </w:r>
      <w:hyperlink w:anchor="ref-lewis2012">
        <w:r>
          <w:rPr>
            <w:rStyle w:val="Hyperlink"/>
          </w:rPr>
          <w:t xml:space="preserve">2012</w:t>
        </w:r>
      </w:hyperlink>
      <w:r>
        <w:t xml:space="preserve">)</w:t>
      </w:r>
      <w:r>
        <w:t xml:space="preserve"> </w:t>
      </w:r>
      <w:r>
        <w:t xml:space="preserve">compared a prequestion group with a control group of about 21 readers each, so relevant sentences were compared across different readers, whereas the present design compared the same sentences when they were and were not prequestioned. Their prequestions were also formed by minimally rewording the targeted sentences, which may have made those sentences easy to find again when looking back. Re-reading is also defined differently across studies and eye-tracking software; for example, re-reading duration is sometimes computed as go-past time minus first-pass time, which mostly reflects time spent on earlier text, whereas we measured re-reading as time spent on the target sentence itself after first-pass reading. Finally, we corrected for the eyes landing partway down a page when it first appears, which otherwise misclassifies the first reading of sentences near the top of a page as re-reading.</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and longer fixation time on prequestioned sentences, corresponding to the longer total reading time observed here, and more transitions between prequestioned sentences, which parallels the look-backs we observed. Unlike the present results and most prequestion research, they also reported a general benefit. Their integrative prequestions required combining information from different parts of the text, which may have directed attention to non-prequestioned information as well, consistent with the view that general benefits arise when prequestions direct attention beyond the tested information</w:t>
      </w:r>
      <w:r>
        <w:t xml:space="preserve"> </w:t>
      </w:r>
      <w:r>
        <w:t xml:space="preserve">(</w:t>
      </w:r>
      <w:hyperlink w:anchor="ref-pan2023">
        <w:r>
          <w:rPr>
            <w:rStyle w:val="Hyperlink"/>
          </w:rPr>
          <w:t xml:space="preserve">Pan &amp; Carpenter, 2023</w:t>
        </w:r>
      </w:hyperlink>
      <w:r>
        <w:t xml:space="preserve">)</w:t>
      </w:r>
      <w:r>
        <w:t xml:space="preserve">. With 12 participants per group, however, their estimates are imprecise. Neither study estimated how much the shift of attention contributes to the memory benefit, which the present data address.</w:t>
      </w:r>
    </w:p>
    <w:p>
      <w:pPr>
        <w:pStyle w:val="BodyText"/>
      </w:pPr>
      <w:r>
        <w:t xml:space="preserve">Although prequestions redirected attention, attention accounted for only a small part of their benefit for memory. Within readers, longer reading of an answer sentence predicted better recall of that answer, but the indirect path from prequestions through reading time explained only 9.4% (95% CI [4.8%, 15.2%]) of the specific benefit (</w:t>
      </w:r>
      <w:hyperlink w:anchor="fig-path">
        <w:r>
          <w:rPr>
            <w:rStyle w:val="Hyperlink"/>
          </w:rPr>
          <w:t xml:space="preserve">Figure 6</w:t>
        </w:r>
      </w:hyperlink>
      <w:r>
        <w:t xml:space="preserve">). Most of the benefit therefore arises from processes not captured by reading time, such as how deeply the information is processed when it is read or how it is related to the earlier retrieval attempt, consistent with evidence that prequestions can improve learning without increasing the time learners spend on the material</w:t>
      </w:r>
      <w:r>
        <w:t xml:space="preserve"> </w:t>
      </w:r>
      <w:r>
        <w:t xml:space="preserve">(</w:t>
      </w:r>
      <w:hyperlink w:anchor="ref-motz2026">
        <w:r>
          <w:rPr>
            <w:rStyle w:val="Hyperlink"/>
          </w:rPr>
          <w:t xml:space="preserve">Motz et al., 2026</w:t>
        </w:r>
      </w:hyperlink>
      <w:r>
        <w:t xml:space="preserve">)</w:t>
      </w:r>
      <w:r>
        <w:t xml:space="preserve">. Because reading time was measured rather than manipulated, this analysis is correlational.</w:t>
      </w:r>
    </w:p>
    <w:p>
      <w:pPr>
        <w:pStyle w:val="BodyText"/>
      </w:pPr>
      <w:r>
        <w:t xml:space="preserve">Several limitations should be noted. Each topic was represented by only five target sentences, so, as discussed above, comparisons between topics within a condition include differences between the sentences; texts with more target sentences per topic would allow topic-specific effects of prequestions to be estimated more precisely. Eye movements were recorded without head stabilization, and recorded gaze positions drifted vertically for some readers. The measures were therefore derived from the fixation data with a drift correction bounded by the calibration accuracy criterion; drift beyond that bound was not corrected. Finally, responses were scored with an automated rubric, and the sample came from a single university.</w:t>
      </w:r>
    </w:p>
    <w:p>
      <w:pPr>
        <w:pStyle w:val="BodyText"/>
      </w:pPr>
      <w:r>
        <w:t xml:space="preserve">In sum, prequestions guide where readers look: readers more often linger on prequestioned information and are more likely to look back to it later. This shift of attention, however, explains only a small part of why prequestions improve memory.</w:t>
      </w:r>
    </w:p>
    <w:p>
      <w:r>
        <w:br w:type="page"/>
      </w:r>
    </w:p>
    <w:bookmarkEnd w:id="74"/>
    <w:p>
      <w:pPr>
        <w:pStyle w:val="Heading1"/>
      </w:pPr>
      <w:r>
        <w:t xml:space="preserve">References</w:t>
      </w:r>
    </w:p>
    <w:bookmarkStart w:id="167" w:name="refs"/>
    <w:bookmarkStart w:id="76"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75">
        <w:r>
          <w:rPr>
            <w:rStyle w:val="Hyperlink"/>
          </w:rPr>
          <w:t xml:space="preserve">https://doi.org/10.18637/jss.v111.i09</w:t>
        </w:r>
      </w:hyperlink>
    </w:p>
    <w:bookmarkEnd w:id="76"/>
    <w:bookmarkStart w:id="78"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7">
        <w:r>
          <w:rPr>
            <w:rStyle w:val="Hyperlink"/>
          </w:rPr>
          <w:t xml:space="preserve">https://doi.org/10.1016/j.jml.2012.11.001</w:t>
        </w:r>
      </w:hyperlink>
    </w:p>
    <w:bookmarkEnd w:id="78"/>
    <w:bookmarkStart w:id="80" w:name="ref-lme4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79">
        <w:r>
          <w:rPr>
            <w:rStyle w:val="Hyperlink"/>
          </w:rPr>
          <w:t xml:space="preserve">https://doi.org/10.18637/jss.v067.i01</w:t>
        </w:r>
      </w:hyperlink>
    </w:p>
    <w:bookmarkEnd w:id="80"/>
    <w:bookmarkStart w:id="82" w:name="ref-effectsize2020"/>
    <w:p>
      <w:pPr>
        <w:pStyle w:val="Bibliography"/>
      </w:pPr>
      <w:r>
        <w:t xml:space="preserve">Ben-Shachar, M. S., Lüdecke, D., &amp; Makowski, D. (2020).</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w:t>
      </w:r>
      <w:r>
        <w:t xml:space="preserve"> </w:t>
      </w:r>
      <w:r>
        <w:rPr>
          <w:i/>
          <w:iCs/>
        </w:rPr>
        <w:t xml:space="preserve">5</w:t>
      </w:r>
      <w:r>
        <w:t xml:space="preserve">(56), 2815.</w:t>
      </w:r>
      <w:r>
        <w:t xml:space="preserve"> </w:t>
      </w:r>
      <w:hyperlink r:id="rId81">
        <w:r>
          <w:rPr>
            <w:rStyle w:val="Hyperlink"/>
          </w:rPr>
          <w:t xml:space="preserve">https://doi.org/10.21105/joss.02815</w:t>
        </w:r>
      </w:hyperlink>
    </w:p>
    <w:bookmarkEnd w:id="82"/>
    <w:bookmarkStart w:id="83"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3"/>
    <w:bookmarkStart w:id="85" w:name="ref-R-reformulas"/>
    <w:p>
      <w:pPr>
        <w:pStyle w:val="Bibliography"/>
      </w:pPr>
      <w:r>
        <w:t xml:space="preserve">Bolker, B. (2026).</w:t>
      </w:r>
      <w:r>
        <w:t xml:space="preserve"> </w:t>
      </w:r>
      <w:r>
        <w:rPr>
          <w:i/>
          <w:iCs/>
        </w:rPr>
        <w:t xml:space="preserve">Reformulas: Machinery for processing random effect formulas</w:t>
      </w:r>
      <w:r>
        <w:t xml:space="preserve">.</w:t>
      </w:r>
      <w:r>
        <w:t xml:space="preserve"> </w:t>
      </w:r>
      <w:hyperlink r:id="rId84">
        <w:r>
          <w:rPr>
            <w:rStyle w:val="Hyperlink"/>
          </w:rPr>
          <w:t xml:space="preserve">https://github.com/bbolker/reformulas</w:t>
        </w:r>
      </w:hyperlink>
    </w:p>
    <w:bookmarkEnd w:id="85"/>
    <w:bookmarkStart w:id="87"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6">
        <w:r>
          <w:rPr>
            <w:rStyle w:val="Hyperlink"/>
          </w:rPr>
          <w:t xml:space="preserve">https://doi.org/10.1080/00220973.2024.2355980</w:t>
        </w:r>
      </w:hyperlink>
    </w:p>
    <w:bookmarkEnd w:id="87"/>
    <w:bookmarkStart w:id="89" w:name="ref-glmmTMB2017"/>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88">
        <w:r>
          <w:rPr>
            <w:rStyle w:val="Hyperlink"/>
          </w:rPr>
          <w:t xml:space="preserve">https://doi.org/10.32614/RJ-2017-066</w:t>
        </w:r>
      </w:hyperlink>
    </w:p>
    <w:bookmarkEnd w:id="89"/>
    <w:bookmarkStart w:id="91"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0">
        <w:r>
          <w:rPr>
            <w:rStyle w:val="Hyperlink"/>
          </w:rPr>
          <w:t xml:space="preserve">https://doi.org/10.1177/0963721412452728</w:t>
        </w:r>
      </w:hyperlink>
    </w:p>
    <w:bookmarkEnd w:id="91"/>
    <w:bookmarkStart w:id="93"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92">
        <w:r>
          <w:rPr>
            <w:rStyle w:val="Hyperlink"/>
          </w:rPr>
          <w:t xml:space="preserve">https://doi.org/10.1037/xap0000145</w:t>
        </w:r>
      </w:hyperlink>
    </w:p>
    <w:bookmarkEnd w:id="93"/>
    <w:bookmarkStart w:id="95"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94">
        <w:r>
          <w:rPr>
            <w:rStyle w:val="Hyperlink"/>
          </w:rPr>
          <w:t xml:space="preserve">https://doi.org/10.1016/j.jarmac.2016.07.014</w:t>
        </w:r>
      </w:hyperlink>
    </w:p>
    <w:bookmarkEnd w:id="95"/>
    <w:bookmarkStart w:id="97"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96">
        <w:r>
          <w:rPr>
            <w:rStyle w:val="Hyperlink"/>
          </w:rPr>
          <w:t xml:space="preserve">https://doi.org/10.3758/s13428-021-01554-0</w:t>
        </w:r>
      </w:hyperlink>
    </w:p>
    <w:bookmarkEnd w:id="97"/>
    <w:bookmarkStart w:id="99" w:name="ref-cocor2015"/>
    <w:p>
      <w:pPr>
        <w:pStyle w:val="Bibliography"/>
      </w:pPr>
      <w:r>
        <w:t xml:space="preserve">Diedenhofen, B., &amp; Musch, J. (2015). Cocor: A comprehensive solution for the statistical comparison of correlations.</w:t>
      </w:r>
      <w:r>
        <w:t xml:space="preserve"> </w:t>
      </w:r>
      <w:r>
        <w:rPr>
          <w:i/>
          <w:iCs/>
        </w:rPr>
        <w:t xml:space="preserve">PLoS ONE</w:t>
      </w:r>
      <w:r>
        <w:t xml:space="preserve">,</w:t>
      </w:r>
      <w:r>
        <w:t xml:space="preserve"> </w:t>
      </w:r>
      <w:r>
        <w:rPr>
          <w:i/>
          <w:iCs/>
        </w:rPr>
        <w:t xml:space="preserve">10</w:t>
      </w:r>
      <w:r>
        <w:t xml:space="preserve">(4), e0121945.</w:t>
      </w:r>
      <w:r>
        <w:t xml:space="preserve"> </w:t>
      </w:r>
      <w:hyperlink r:id="rId98">
        <w:r>
          <w:rPr>
            <w:rStyle w:val="Hyperlink"/>
          </w:rPr>
          <w:t xml:space="preserve">https://doi.org/10.1371/journal.pone.0121945</w:t>
        </w:r>
      </w:hyperlink>
    </w:p>
    <w:bookmarkEnd w:id="99"/>
    <w:bookmarkStart w:id="101"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00">
        <w:r>
          <w:rPr>
            <w:rStyle w:val="Hyperlink"/>
          </w:rPr>
          <w:t xml:space="preserve">https://doi.org/10.1177/1529100612453266</w:t>
        </w:r>
      </w:hyperlink>
    </w:p>
    <w:bookmarkEnd w:id="101"/>
    <w:bookmarkStart w:id="103"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02">
        <w:r>
          <w:rPr>
            <w:rStyle w:val="Hyperlink"/>
          </w:rPr>
          <w:t xml:space="preserve">https://github.com/sfirke/janitor</w:t>
        </w:r>
      </w:hyperlink>
    </w:p>
    <w:bookmarkEnd w:id="103"/>
    <w:bookmarkStart w:id="105" w:name="ref-car2019"/>
    <w:p>
      <w:pPr>
        <w:pStyle w:val="Bibliography"/>
      </w:pPr>
      <w:r>
        <w:t xml:space="preserve">Fox, J., &amp; Weisberg, S.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w:t>
      </w:r>
      <w:r>
        <w:t xml:space="preserve">(Third). Sage.</w:t>
      </w:r>
      <w:r>
        <w:t xml:space="preserve"> </w:t>
      </w:r>
      <w:hyperlink r:id="rId104">
        <w:r>
          <w:rPr>
            <w:rStyle w:val="Hyperlink"/>
          </w:rPr>
          <w:t xml:space="preserve">https://www.john-fox.ca/Companion/</w:t>
        </w:r>
      </w:hyperlink>
    </w:p>
    <w:bookmarkEnd w:id="105"/>
    <w:bookmarkStart w:id="107" w:name="ref-geller2017"/>
    <w:p>
      <w:pPr>
        <w:pStyle w:val="Bibliography"/>
      </w:pPr>
      <w:r>
        <w:t xml:space="preserve">Geller, J., Carpenter, S. K., Lamm, M. H., Rahman, S., Armstrong, P. I., &amp; Coffman, C. R. (2017). Prequestions do not enhance the benefits of retrieval in a</w:t>
      </w:r>
      <w:r>
        <w:t xml:space="preserve"> </w:t>
      </w:r>
      <w:r>
        <w:t xml:space="preserve">STEM</w:t>
      </w:r>
      <w:r>
        <w:t xml:space="preserve"> </w:t>
      </w:r>
      <w:r>
        <w:t xml:space="preserve">classroom.</w:t>
      </w:r>
      <w:r>
        <w:t xml:space="preserve"> </w:t>
      </w:r>
      <w:r>
        <w:rPr>
          <w:i/>
          <w:iCs/>
        </w:rPr>
        <w:t xml:space="preserve">Cognitive Research: Principles and Implications</w:t>
      </w:r>
      <w:r>
        <w:t xml:space="preserve">,</w:t>
      </w:r>
      <w:r>
        <w:t xml:space="preserve"> </w:t>
      </w:r>
      <w:r>
        <w:rPr>
          <w:i/>
          <w:iCs/>
        </w:rPr>
        <w:t xml:space="preserve">2</w:t>
      </w:r>
      <w:r>
        <w:t xml:space="preserve">(1), 42.</w:t>
      </w:r>
      <w:r>
        <w:t xml:space="preserve"> </w:t>
      </w:r>
      <w:hyperlink r:id="rId106">
        <w:r>
          <w:rPr>
            <w:rStyle w:val="Hyperlink"/>
          </w:rPr>
          <w:t xml:space="preserve">https://doi.org/10.1186/s41235-017-0078-z</w:t>
        </w:r>
      </w:hyperlink>
    </w:p>
    <w:bookmarkEnd w:id="107"/>
    <w:bookmarkStart w:id="109"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08">
        <w:r>
          <w:rPr>
            <w:rStyle w:val="Hyperlink"/>
          </w:rPr>
          <w:t xml:space="preserve">https://doi.org/10.1016/bs.plm.2016.03.003</w:t>
        </w:r>
      </w:hyperlink>
    </w:p>
    <w:bookmarkEnd w:id="109"/>
    <w:bookmarkStart w:id="111"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10">
        <w:r>
          <w:rPr>
            <w:rStyle w:val="Hyperlink"/>
          </w:rPr>
          <w:t xml:space="preserve">https://doi.org/10.1080/0163853X.2012.662801</w:t>
        </w:r>
      </w:hyperlink>
    </w:p>
    <w:bookmarkEnd w:id="111"/>
    <w:bookmarkStart w:id="113"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12">
        <w:r>
          <w:rPr>
            <w:rStyle w:val="Hyperlink"/>
          </w:rPr>
          <w:t xml:space="preserve">https://doi.org/10.3389/fpsyg.2015.01171</w:t>
        </w:r>
      </w:hyperlink>
    </w:p>
    <w:bookmarkEnd w:id="113"/>
    <w:bookmarkStart w:id="115" w:name="ref-parameters2020"/>
    <w:p>
      <w:pPr>
        <w:pStyle w:val="Bibliography"/>
      </w:pPr>
      <w:r>
        <w:t xml:space="preserve">Lüdecke, D., Ben-Shachar, M. S., Patil, I., &amp; Makowski, D. (2020). Extracting, computing and exploring the parameters of statistical models using</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5</w:t>
      </w:r>
      <w:r>
        <w:t xml:space="preserve">(53), 2445.</w:t>
      </w:r>
      <w:r>
        <w:t xml:space="preserve"> </w:t>
      </w:r>
      <w:hyperlink r:id="rId114">
        <w:r>
          <w:rPr>
            <w:rStyle w:val="Hyperlink"/>
          </w:rPr>
          <w:t xml:space="preserve">https://doi.org/10.21105/joss.02445</w:t>
        </w:r>
      </w:hyperlink>
    </w:p>
    <w:bookmarkEnd w:id="115"/>
    <w:bookmarkStart w:id="117" w:name="ref-performance2021"/>
    <w:p>
      <w:pPr>
        <w:pStyle w:val="Bibliography"/>
      </w:pPr>
      <w:r>
        <w:t xml:space="preserve">Lüdecke, D., Ben-Shachar, M. S., Patil, I., Waggoner, P., &amp; Makowski, D. (2021).</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 3139.</w:t>
      </w:r>
      <w:r>
        <w:t xml:space="preserve"> </w:t>
      </w:r>
      <w:hyperlink r:id="rId116">
        <w:r>
          <w:rPr>
            <w:rStyle w:val="Hyperlink"/>
          </w:rPr>
          <w:t xml:space="preserve">https://doi.org/10.21105/joss.03139</w:t>
        </w:r>
      </w:hyperlink>
    </w:p>
    <w:bookmarkEnd w:id="117"/>
    <w:bookmarkStart w:id="119"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18">
        <w:r>
          <w:rPr>
            <w:rStyle w:val="Hyperlink"/>
          </w:rPr>
          <w:t xml:space="preserve">https://doi.org/10.21105/joss.01412</w:t>
        </w:r>
      </w:hyperlink>
    </w:p>
    <w:bookmarkEnd w:id="119"/>
    <w:bookmarkStart w:id="121" w:name="ref-correlationArticle"/>
    <w:p>
      <w:pPr>
        <w:pStyle w:val="Bibliography"/>
      </w:pPr>
      <w:r>
        <w:t xml:space="preserve">Makowski, D., Ben-Shachar, M. S., Patil, I., &amp; Lüdecke, D. (2020). Methods and algorithms for correlation analysis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5</w:t>
      </w:r>
      <w:r>
        <w:t xml:space="preserve">(51), 2306.</w:t>
      </w:r>
      <w:r>
        <w:t xml:space="preserve"> </w:t>
      </w:r>
      <w:hyperlink r:id="rId120">
        <w:r>
          <w:rPr>
            <w:rStyle w:val="Hyperlink"/>
          </w:rPr>
          <w:t xml:space="preserve">https://doi.org/10.21105/joss.02306</w:t>
        </w:r>
      </w:hyperlink>
    </w:p>
    <w:bookmarkEnd w:id="121"/>
    <w:bookmarkStart w:id="123"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22">
        <w:r>
          <w:rPr>
            <w:rStyle w:val="Hyperlink"/>
          </w:rPr>
          <w:t xml:space="preserve">https://doi.org/10.21105/joss.07969</w:t>
        </w:r>
      </w:hyperlink>
    </w:p>
    <w:bookmarkEnd w:id="123"/>
    <w:bookmarkStart w:id="125" w:name="ref-matuschek2017"/>
    <w:p>
      <w:pPr>
        <w:pStyle w:val="Bibliography"/>
      </w:pPr>
      <w:r>
        <w:t xml:space="preserve">Matuschek, H., Kliegl, R., Vasishth, S., Baayen, H., &amp; Bates, D. (2017). Balancing</w:t>
      </w:r>
      <w:r>
        <w:t xml:space="preserve"> </w:t>
      </w:r>
      <w:r>
        <w:t xml:space="preserve">Type I</w:t>
      </w:r>
      <w:r>
        <w:t xml:space="preserve"> </w:t>
      </w:r>
      <w:r>
        <w:t xml:space="preserve">error and power in linear mixed models.</w:t>
      </w:r>
      <w:r>
        <w:t xml:space="preserve"> </w:t>
      </w:r>
      <w:r>
        <w:rPr>
          <w:i/>
          <w:iCs/>
        </w:rPr>
        <w:t xml:space="preserve">Journal of Memory and Language</w:t>
      </w:r>
      <w:r>
        <w:t xml:space="preserve">,</w:t>
      </w:r>
      <w:r>
        <w:t xml:space="preserve"> </w:t>
      </w:r>
      <w:r>
        <w:rPr>
          <w:i/>
          <w:iCs/>
        </w:rPr>
        <w:t xml:space="preserve">94</w:t>
      </w:r>
      <w:r>
        <w:t xml:space="preserve">, 305–315.</w:t>
      </w:r>
      <w:r>
        <w:t xml:space="preserve"> </w:t>
      </w:r>
      <w:hyperlink r:id="rId124">
        <w:r>
          <w:rPr>
            <w:rStyle w:val="Hyperlink"/>
          </w:rPr>
          <w:t xml:space="preserve">https://doi.org/10.1016/j.jml.2017.01.001</w:t>
        </w:r>
      </w:hyperlink>
    </w:p>
    <w:bookmarkEnd w:id="125"/>
    <w:bookmarkStart w:id="127"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26">
        <w:r>
          <w:rPr>
            <w:rStyle w:val="Hyperlink"/>
          </w:rPr>
          <w:t xml:space="preserve">https://doi.org/10.1037/edu0000978</w:t>
        </w:r>
      </w:hyperlink>
    </w:p>
    <w:bookmarkEnd w:id="127"/>
    <w:bookmarkStart w:id="129"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28">
        <w:r>
          <w:rPr>
            <w:rStyle w:val="Hyperlink"/>
          </w:rPr>
          <w:t xml:space="preserve">https://doi.org/10.1007/s10648-023-09814-5</w:t>
        </w:r>
      </w:hyperlink>
    </w:p>
    <w:bookmarkEnd w:id="129"/>
    <w:bookmarkStart w:id="131"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30">
        <w:r>
          <w:rPr>
            <w:rStyle w:val="Hyperlink"/>
          </w:rPr>
          <w:t xml:space="preserve">https://patchwork.data-imaginist.com</w:t>
        </w:r>
      </w:hyperlink>
    </w:p>
    <w:bookmarkEnd w:id="131"/>
    <w:bookmarkStart w:id="133"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32">
        <w:r>
          <w:rPr>
            <w:rStyle w:val="Hyperlink"/>
          </w:rPr>
          <w:t xml:space="preserve">https://doi.org/10.32614/R.manuals</w:t>
        </w:r>
      </w:hyperlink>
    </w:p>
    <w:bookmarkEnd w:id="133"/>
    <w:bookmarkStart w:id="134" w:name="ref-gamlss2005"/>
    <w:p>
      <w:pPr>
        <w:pStyle w:val="Bibliography"/>
      </w:pPr>
      <w:r>
        <w:t xml:space="preserve">R. A. Rigby, &amp; D. M. Stasinopoulos. (2005). Generalized additive models for location, scale and shape,(with discussion).</w:t>
      </w:r>
      <w:r>
        <w:t xml:space="preserve"> </w:t>
      </w:r>
      <w:r>
        <w:rPr>
          <w:i/>
          <w:iCs/>
        </w:rPr>
        <w:t xml:space="preserve">Applied Statistics</w:t>
      </w:r>
      <w:r>
        <w:t xml:space="preserve">,</w:t>
      </w:r>
      <w:r>
        <w:t xml:space="preserve"> </w:t>
      </w:r>
      <w:r>
        <w:rPr>
          <w:i/>
          <w:iCs/>
        </w:rPr>
        <w:t xml:space="preserve">54.3</w:t>
      </w:r>
      <w:r>
        <w:t xml:space="preserve">, 507–554.</w:t>
      </w:r>
    </w:p>
    <w:bookmarkEnd w:id="134"/>
    <w:bookmarkStart w:id="136"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35">
        <w:r>
          <w:rPr>
            <w:rStyle w:val="Hyperlink"/>
          </w:rPr>
          <w:t xml:space="preserve">https://doi.org/10.1037/0033-2909.124.3.372</w:t>
        </w:r>
      </w:hyperlink>
    </w:p>
    <w:bookmarkEnd w:id="136"/>
    <w:bookmarkStart w:id="138"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37">
        <w:r>
          <w:rPr>
            <w:rStyle w:val="Hyperlink"/>
          </w:rPr>
          <w:t xml:space="preserve">https://doi.org/10.1037/a0016496</w:t>
        </w:r>
      </w:hyperlink>
    </w:p>
    <w:bookmarkEnd w:id="138"/>
    <w:bookmarkStart w:id="140"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39">
        <w:r>
          <w:rPr>
            <w:rStyle w:val="Hyperlink"/>
          </w:rPr>
          <w:t xml:space="preserve">https://doi.org/10.1111/j.1745-6916.2006.00012.x</w:t>
        </w:r>
      </w:hyperlink>
    </w:p>
    <w:bookmarkEnd w:id="140"/>
    <w:bookmarkStart w:id="142"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41">
        <w:r>
          <w:rPr>
            <w:rStyle w:val="Hyperlink"/>
          </w:rPr>
          <w:t xml:space="preserve">https://doi.org/10.1037/a0037559</w:t>
        </w:r>
      </w:hyperlink>
    </w:p>
    <w:bookmarkEnd w:id="142"/>
    <w:bookmarkStart w:id="144"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43">
        <w:r>
          <w:rPr>
            <w:rStyle w:val="Hyperlink"/>
          </w:rPr>
          <w:t xml:space="preserve">https://doi.org/10.3758/s13423-023-02274-6</w:t>
        </w:r>
      </w:hyperlink>
    </w:p>
    <w:bookmarkEnd w:id="144"/>
    <w:bookmarkStart w:id="146"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45">
        <w:r>
          <w:rPr>
            <w:rStyle w:val="Hyperlink"/>
          </w:rPr>
          <w:t xml:space="preserve">https://doi.org/10.3758/s13428-024-02572-4</w:t>
        </w:r>
      </w:hyperlink>
    </w:p>
    <w:bookmarkEnd w:id="146"/>
    <w:bookmarkStart w:id="148"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47">
        <w:r>
          <w:rPr>
            <w:rStyle w:val="Hyperlink"/>
          </w:rPr>
          <w:t xml:space="preserve">https://doi.org/10.31234/osf.io/bzt2h_v1</w:t>
        </w:r>
      </w:hyperlink>
    </w:p>
    <w:bookmarkEnd w:id="148"/>
    <w:bookmarkStart w:id="150"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149">
        <w:r>
          <w:rPr>
            <w:rStyle w:val="Hyperlink"/>
          </w:rPr>
          <w:t xml:space="preserve">https://doi.org/10.1037/xap0000296</w:t>
        </w:r>
      </w:hyperlink>
    </w:p>
    <w:bookmarkEnd w:id="150"/>
    <w:bookmarkStart w:id="152" w:name="ref-sthilaire2023"/>
    <w:p>
      <w:pPr>
        <w:pStyle w:val="Bibliography"/>
      </w:pPr>
      <w:r>
        <w:t xml:space="preserve">St. Hilaire, K., Chan, J., &amp; Ahn, D. (2023). Guessing as a learning intervention: A meta-analytic review of the prequestion effect.</w:t>
      </w:r>
      <w:r>
        <w:t xml:space="preserve"> </w:t>
      </w:r>
      <w:r>
        <w:rPr>
          <w:i/>
          <w:iCs/>
        </w:rPr>
        <w:t xml:space="preserve">Psychonomic Bulletin &amp; Review</w:t>
      </w:r>
      <w:r>
        <w:t xml:space="preserve">.</w:t>
      </w:r>
      <w:r>
        <w:t xml:space="preserve"> </w:t>
      </w:r>
      <w:hyperlink r:id="rId151">
        <w:r>
          <w:rPr>
            <w:rStyle w:val="Hyperlink"/>
          </w:rPr>
          <w:t xml:space="preserve">https://doi.org/10.3758/s13423-023-02353-8</w:t>
        </w:r>
      </w:hyperlink>
    </w:p>
    <w:bookmarkEnd w:id="152"/>
    <w:bookmarkStart w:id="154" w:name="ref-R-png"/>
    <w:p>
      <w:pPr>
        <w:pStyle w:val="Bibliography"/>
      </w:pPr>
      <w:r>
        <w:t xml:space="preserve">Urbanek, S. (2026).</w:t>
      </w:r>
      <w:r>
        <w:t xml:space="preserve"> </w:t>
      </w:r>
      <w:r>
        <w:rPr>
          <w:i/>
          <w:iCs/>
        </w:rPr>
        <w:t xml:space="preserve">Png: Read and write PNG images</w:t>
      </w:r>
      <w:r>
        <w:t xml:space="preserve">.</w:t>
      </w:r>
      <w:r>
        <w:t xml:space="preserve"> </w:t>
      </w:r>
      <w:hyperlink r:id="rId153">
        <w:r>
          <w:rPr>
            <w:rStyle w:val="Hyperlink"/>
          </w:rPr>
          <w:t xml:space="preserve">https://www.rforge.net/png/</w:t>
        </w:r>
      </w:hyperlink>
    </w:p>
    <w:bookmarkEnd w:id="154"/>
    <w:bookmarkStart w:id="156" w:name="ref-MASS2002"/>
    <w:p>
      <w:pPr>
        <w:pStyle w:val="Bibliography"/>
      </w:pPr>
      <w:r>
        <w:t xml:space="preserve">Venables, W. N., &amp; Ripley, B. D. (2002).</w:t>
      </w:r>
      <w:r>
        <w:t xml:space="preserve"> </w:t>
      </w:r>
      <w:r>
        <w:rPr>
          <w:i/>
          <w:iCs/>
        </w:rPr>
        <w:t xml:space="preserve">Modern applied statistics with s</w:t>
      </w:r>
      <w:r>
        <w:t xml:space="preserve"> </w:t>
      </w:r>
      <w:r>
        <w:t xml:space="preserve">(Fourth). Springer.</w:t>
      </w:r>
      <w:r>
        <w:t xml:space="preserve"> </w:t>
      </w:r>
      <w:hyperlink r:id="rId155">
        <w:r>
          <w:rPr>
            <w:rStyle w:val="Hyperlink"/>
          </w:rPr>
          <w:t xml:space="preserve">https://www.stats.ox.ac.uk/pub/MASS4/</w:t>
        </w:r>
      </w:hyperlink>
    </w:p>
    <w:bookmarkEnd w:id="156"/>
    <w:bookmarkStart w:id="158"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57">
        <w:r>
          <w:rPr>
            <w:rStyle w:val="Hyperlink"/>
          </w:rPr>
          <w:t xml:space="preserve">https://doi.org/10.21105/joss.01686</w:t>
        </w:r>
      </w:hyperlink>
    </w:p>
    <w:bookmarkEnd w:id="158"/>
    <w:bookmarkStart w:id="160"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159">
        <w:r>
          <w:rPr>
            <w:rStyle w:val="Hyperlink"/>
          </w:rPr>
          <w:t xml:space="preserve">https://scales.r-lib.org</w:t>
        </w:r>
      </w:hyperlink>
    </w:p>
    <w:bookmarkEnd w:id="160"/>
    <w:bookmarkStart w:id="162"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161">
        <w:r>
          <w:rPr>
            <w:rStyle w:val="Hyperlink"/>
          </w:rPr>
          <w:t xml:space="preserve">https://yihui.org/knitr/</w:t>
        </w:r>
      </w:hyperlink>
    </w:p>
    <w:bookmarkEnd w:id="162"/>
    <w:bookmarkStart w:id="164"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163">
        <w:r>
          <w:rPr>
            <w:rStyle w:val="Hyperlink"/>
          </w:rPr>
          <w:t xml:space="preserve">https://github.com/yihui/xfun</w:t>
        </w:r>
      </w:hyperlink>
    </w:p>
    <w:bookmarkEnd w:id="164"/>
    <w:bookmarkStart w:id="166"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165">
        <w:r>
          <w:rPr>
            <w:rStyle w:val="Hyperlink"/>
          </w:rPr>
          <w:t xml:space="preserve">https://doi.org/10.1016/j.lindif.2021.102055</w:t>
        </w:r>
      </w:hyperlink>
    </w:p>
    <w:bookmarkEnd w:id="166"/>
    <w:bookmarkEnd w:id="167"/>
    <w:p>
      <w:pPr>
        <w:pStyle w:val="Heading1"/>
      </w:pPr>
      <w:r>
        <w:t xml:space="preserve">Appendix A</w:t>
      </w:r>
    </w:p>
    <w:bookmarkStart w:id="170"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168"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168"/>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169" w:name="tbl-scoring"/>
    <w:p>
      <w:pPr>
        <w:pStyle w:val="FigureTitle"/>
      </w:pPr>
      <w:r>
        <w:t xml:space="preserve">Table A2</w:t>
      </w:r>
    </w:p>
    <w:p>
      <w:pPr>
        <w:pStyle w:val="Caption"/>
      </w:pPr>
      <w:r>
        <w:t xml:space="preserve">Scoring Rules: Elements Credited for Each Question</w:t>
      </w:r>
    </w:p>
    <w:tbl>
      <w:tblPr>
        <w:tblStyle w:val="Table"/>
        <w:tblW w:type="pct" w:w="5000"/>
        <w:tblLayout w:type="fixed"/>
        <w:tblLook w:firstRow="1" w:lastRow="0" w:firstColumn="0" w:lastColumn="0" w:noHBand="0" w:noVBand="0" w:val="0020"/>
      </w:tblPr>
      <w:tblGrid>
        <w:gridCol w:w="475"/>
        <w:gridCol w:w="7444"/>
      </w:tblGrid>
      <w:tr>
        <w:trPr>
          <w:tblHeader w:val="on"/>
        </w:trPr>
        <w:tc>
          <w:tcPr/>
          <w:p>
            <w:pPr>
              <w:pStyle w:val="Compact"/>
              <w:jc w:val="right"/>
            </w:pPr>
            <w:r>
              <w:t xml:space="preserve">Q</w:t>
            </w:r>
          </w:p>
        </w:tc>
        <w:tc>
          <w:tcPr/>
          <w:p>
            <w:pPr>
              <w:pStyle w:val="Compact"/>
              <w:jc w:val="left"/>
            </w:pPr>
            <w:r>
              <w:t xml:space="preserve">Credited elements</w:t>
            </w:r>
          </w:p>
        </w:tc>
      </w:tr>
      <w:tr>
        <w:tc>
          <w:tcPr/>
          <w:p>
            <w:pPr>
              <w:pStyle w:val="Compact"/>
              <w:jc w:val="right"/>
            </w:pPr>
            <w:r>
              <w:t xml:space="preserve">1</w:t>
            </w:r>
          </w:p>
        </w:tc>
        <w:tc>
          <w:tcPr/>
          <w:p>
            <w:pPr>
              <w:pStyle w:val="Compact"/>
              <w:jc w:val="left"/>
            </w:pPr>
            <w:r>
              <w:t xml:space="preserve">The number 17 (as a whole number, e.g., not 170).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r>
      <w:tr>
        <w:tc>
          <w:tcPr/>
          <w:p>
            <w:pPr>
              <w:pStyle w:val="Compact"/>
              <w:jc w:val="right"/>
            </w:pPr>
            <w:r>
              <w:t xml:space="preserve">3</w:t>
            </w:r>
          </w:p>
        </w:tc>
        <w:tc>
          <w:tcPr/>
          <w:p>
            <w:pPr>
              <w:pStyle w:val="Compact"/>
              <w:jc w:val="left"/>
            </w:pPr>
            <w:r>
              <w:t xml:space="preserve">One point each for Nigeria, India, Pakistan, and Afghanistan.</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r>
      <w:tr>
        <w:tc>
          <w:tcPr/>
          <w:p>
            <w:pPr>
              <w:pStyle w:val="Compact"/>
              <w:jc w:val="right"/>
            </w:pPr>
            <w:r>
              <w:t xml:space="preserve">5</w:t>
            </w:r>
          </w:p>
        </w:tc>
        <w:tc>
          <w:tcPr/>
          <w:p>
            <w:pPr>
              <w:pStyle w:val="Compact"/>
              <w:jc w:val="left"/>
            </w:pPr>
            <w:r>
              <w:t xml:space="preserve">One point each for cough (or blood-tinged sputum/phlegm); fever (or temperature); night sweats; and weight loss.</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r>
      <w:tr>
        <w:tc>
          <w:tcPr/>
          <w:p>
            <w:pPr>
              <w:pStyle w:val="Compact"/>
              <w:jc w:val="right"/>
            </w:pPr>
            <w:r>
              <w:t xml:space="preserve">9</w:t>
            </w:r>
          </w:p>
        </w:tc>
        <w:tc>
          <w:tcPr/>
          <w:p>
            <w:pPr>
              <w:pStyle w:val="Compact"/>
              <w:jc w:val="left"/>
            </w:pPr>
            <w:r>
              <w:t xml:space="preserve">One point each for cough, sneeze, and spit (or saliva).</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r>
    </w:tbl>
    <w:bookmarkEnd w:id="169"/>
    <w:p>
      <w:pPr>
        <w:pStyle w:val="FigureNote"/>
      </w:pPr>
      <w:r>
        <w:rPr>
          <w:i/>
          <w:iCs/>
        </w:rPr>
        <w:t xml:space="preserve">Note</w:t>
      </w:r>
      <w:r>
        <w:t xml:space="preserve">. One point was awarded for each credited element present in a response, up to the question’s maximum (see Table A1).</w:t>
      </w:r>
    </w:p>
    <w:p>
      <w:r>
        <w:br w:type="page"/>
      </w:r>
    </w:p>
    <w:bookmarkEnd w:id="170"/>
    <w:p>
      <w:pPr>
        <w:pStyle w:val="Heading1"/>
      </w:pPr>
      <w:r>
        <w:t xml:space="preserve">Appendix B</w:t>
      </w:r>
    </w:p>
    <w:bookmarkStart w:id="172" w:name="apx-b"/>
    <w:p>
      <w:pPr>
        <w:pStyle w:val="Heading1"/>
      </w:pPr>
      <w:r>
        <w:t xml:space="preserve">Random-Effects Structures</w:t>
      </w:r>
    </w:p>
    <w:bookmarkStart w:id="171" w:name="tbl-re"/>
    <w:p>
      <w:pPr>
        <w:pStyle w:val="FigureTitle"/>
      </w:pPr>
      <w:r>
        <w:t xml:space="preserve">Table B1</w:t>
      </w:r>
    </w:p>
    <w:p>
      <w:pPr>
        <w:pStyle w:val="Caption"/>
      </w:pPr>
      <w:r>
        <w:t xml:space="preserve">Final Random-Effects Structure of Each Mixed Model</w:t>
      </w:r>
    </w:p>
    <w:tbl>
      <w:tblPr>
        <w:tblStyle w:val="Table"/>
        <w:tblW w:type="pct" w:w="5000"/>
        <w:tblLayout w:type="fixed"/>
        <w:tblLook w:firstRow="1" w:lastRow="0" w:firstColumn="0" w:lastColumn="0" w:noHBand="0" w:noVBand="0" w:val="0020"/>
      </w:tblPr>
      <w:tblGrid>
        <w:gridCol w:w="1742"/>
        <w:gridCol w:w="3009"/>
        <w:gridCol w:w="3168"/>
      </w:tblGrid>
      <w:tr>
        <w:trPr>
          <w:tblHeader w:val="on"/>
        </w:trPr>
        <w:tc>
          <w:tcPr/>
          <w:p>
            <w:pPr>
              <w:pStyle w:val="Compact"/>
              <w:jc w:val="left"/>
            </w:pPr>
            <w:r>
              <w:t xml:space="preserve">Design</w:t>
            </w:r>
          </w:p>
        </w:tc>
        <w:tc>
          <w:tcPr/>
          <w:p>
            <w:pPr>
              <w:pStyle w:val="Compact"/>
              <w:jc w:val="left"/>
            </w:pPr>
            <w:r>
              <w:t xml:space="preserve">Measure</w:t>
            </w:r>
          </w:p>
        </w:tc>
        <w:tc>
          <w:tcPr/>
          <w:p>
            <w:pPr>
              <w:pStyle w:val="Compact"/>
              <w:jc w:val="left"/>
            </w:pPr>
            <w:r>
              <w:t xml:space="preserve">Random effects</w:t>
            </w:r>
          </w:p>
        </w:tc>
      </w:tr>
      <w:tr>
        <w:tc>
          <w:tcPr/>
          <w:p>
            <w:pPr>
              <w:pStyle w:val="Compact"/>
              <w:jc w:val="left"/>
            </w:pPr>
            <w:r>
              <w:t xml:space="preserve">Condition × Topic</w:t>
            </w:r>
          </w:p>
        </w:tc>
        <w:tc>
          <w:tcPr/>
          <w:p>
            <w:pPr>
              <w:pStyle w:val="Compact"/>
              <w:jc w:val="left"/>
            </w:pPr>
            <w:r>
              <w:t xml:space="preserve">Re-reading: probability of re-reading</w:t>
            </w:r>
          </w:p>
        </w:tc>
        <w:tc>
          <w:tcPr/>
          <w:p>
            <w:pPr>
              <w:pStyle w:val="Compact"/>
              <w:jc w:val="left"/>
            </w:pPr>
            <w:r>
              <w:t xml:space="preserve">Participants: intercepts; Sentences: intercepts</w:t>
            </w:r>
          </w:p>
        </w:tc>
      </w:tr>
      <w:tr>
        <w:tc>
          <w:tcPr/>
          <w:p>
            <w:pPr>
              <w:pStyle w:val="Compact"/>
              <w:jc w:val="left"/>
            </w:pPr>
            <w:r>
              <w:t xml:space="preserve">Condition × Topic</w:t>
            </w:r>
          </w:p>
        </w:tc>
        <w:tc>
          <w:tcPr/>
          <w:p>
            <w:pPr>
              <w:pStyle w:val="Compact"/>
              <w:jc w:val="left"/>
            </w:pPr>
            <w:r>
              <w:t xml:space="preserve">Re-reading: duration when re-read</w:t>
            </w:r>
          </w:p>
        </w:tc>
        <w:tc>
          <w:tcPr/>
          <w:p>
            <w:pPr>
              <w:pStyle w:val="Compact"/>
              <w:jc w:val="left"/>
            </w:pPr>
            <w:r>
              <w:t xml:space="preserve">Participants: intercepts; Sentences: intercepts</w:t>
            </w:r>
          </w:p>
        </w:tc>
      </w:tr>
      <w:tr>
        <w:tc>
          <w:tcPr/>
          <w:p>
            <w:pPr>
              <w:pStyle w:val="Compact"/>
              <w:jc w:val="left"/>
            </w:pPr>
            <w:r>
              <w:t xml:space="preserve">Condition × Topic</w:t>
            </w:r>
          </w:p>
        </w:tc>
        <w:tc>
          <w:tcPr/>
          <w:p>
            <w:pPr>
              <w:pStyle w:val="Compact"/>
              <w:jc w:val="left"/>
            </w:pPr>
            <w:r>
              <w:t xml:space="preserve">First-pass duration</w:t>
            </w:r>
          </w:p>
        </w:tc>
        <w:tc>
          <w:tcPr/>
          <w:p>
            <w:pPr>
              <w:pStyle w:val="Compact"/>
              <w:jc w:val="left"/>
            </w:pPr>
            <w:r>
              <w:t xml:space="preserve">Participants: intercepts; Sentences: intercepts</w:t>
            </w:r>
          </w:p>
        </w:tc>
      </w:tr>
      <w:tr>
        <w:tc>
          <w:tcPr/>
          <w:p>
            <w:pPr>
              <w:pStyle w:val="Compact"/>
              <w:jc w:val="left"/>
            </w:pPr>
            <w:r>
              <w:t xml:space="preserve">Prequestioned vs. non</w:t>
            </w:r>
          </w:p>
        </w:tc>
        <w:tc>
          <w:tcPr/>
          <w:p>
            <w:pPr>
              <w:pStyle w:val="Compact"/>
              <w:jc w:val="left"/>
            </w:pPr>
            <w:r>
              <w:t xml:space="preserve">Re-reading: probability of re-reading</w:t>
            </w:r>
          </w:p>
        </w:tc>
        <w:tc>
          <w:tcPr/>
          <w:p>
            <w:pPr>
              <w:pStyle w:val="Compact"/>
              <w:jc w:val="left"/>
            </w:pPr>
            <w:r>
              <w:t xml:space="preserve">Participants: intercepts; Sentences: intercepts</w:t>
            </w:r>
          </w:p>
        </w:tc>
      </w:tr>
      <w:tr>
        <w:tc>
          <w:tcPr/>
          <w:p>
            <w:pPr>
              <w:pStyle w:val="Compact"/>
              <w:jc w:val="left"/>
            </w:pPr>
            <w:r>
              <w:t xml:space="preserve">Prequestioned vs. non</w:t>
            </w:r>
          </w:p>
        </w:tc>
        <w:tc>
          <w:tcPr/>
          <w:p>
            <w:pPr>
              <w:pStyle w:val="Compact"/>
              <w:jc w:val="left"/>
            </w:pPr>
            <w:r>
              <w:t xml:space="preserve">Re-reading: duration when re-read</w:t>
            </w:r>
          </w:p>
        </w:tc>
        <w:tc>
          <w:tcPr/>
          <w:p>
            <w:pPr>
              <w:pStyle w:val="Compact"/>
              <w:jc w:val="left"/>
            </w:pPr>
            <w:r>
              <w:t xml:space="preserve">Participants: intercepts; Sentences: intercepts + Prequestioned slopes (uncorrelated)</w:t>
            </w:r>
          </w:p>
        </w:tc>
      </w:tr>
      <w:tr>
        <w:tc>
          <w:tcPr/>
          <w:p>
            <w:pPr>
              <w:pStyle w:val="Compact"/>
              <w:jc w:val="left"/>
            </w:pPr>
            <w:r>
              <w:t xml:space="preserve">Prequestioned vs. non</w:t>
            </w:r>
          </w:p>
        </w:tc>
        <w:tc>
          <w:tcPr/>
          <w:p>
            <w:pPr>
              <w:pStyle w:val="Compact"/>
              <w:jc w:val="left"/>
            </w:pPr>
            <w:r>
              <w:t xml:space="preserve">First-pass duration</w:t>
            </w:r>
          </w:p>
        </w:tc>
        <w:tc>
          <w:tcPr/>
          <w:p>
            <w:pPr>
              <w:pStyle w:val="Compact"/>
              <w:jc w:val="left"/>
            </w:pPr>
            <w:r>
              <w:t xml:space="preserve">Participants: intercepts; Sentences: intercepts</w:t>
            </w:r>
          </w:p>
        </w:tc>
      </w:tr>
      <w:tr>
        <w:tc>
          <w:tcPr/>
          <w:p>
            <w:pPr>
              <w:pStyle w:val="Compact"/>
              <w:jc w:val="left"/>
            </w:pPr>
            <w:r>
              <w:t xml:space="preserve">Condition × Topic</w:t>
            </w:r>
          </w:p>
        </w:tc>
        <w:tc>
          <w:tcPr/>
          <w:p>
            <w:pPr>
              <w:pStyle w:val="Compact"/>
              <w:jc w:val="left"/>
            </w:pPr>
            <w:r>
              <w:t xml:space="preserve">Second-pass regression</w:t>
            </w:r>
          </w:p>
        </w:tc>
        <w:tc>
          <w:tcPr/>
          <w:p>
            <w:pPr>
              <w:pStyle w:val="Compact"/>
              <w:jc w:val="left"/>
            </w:pPr>
            <w:r>
              <w:t xml:space="preserve">Participants: intercepts; Sentences: intercepts</w:t>
            </w:r>
          </w:p>
        </w:tc>
      </w:tr>
      <w:tr>
        <w:tc>
          <w:tcPr/>
          <w:p>
            <w:pPr>
              <w:pStyle w:val="Compact"/>
              <w:jc w:val="left"/>
            </w:pPr>
            <w:r>
              <w:t xml:space="preserve">Prequestioned vs. non</w:t>
            </w:r>
          </w:p>
        </w:tc>
        <w:tc>
          <w:tcPr/>
          <w:p>
            <w:pPr>
              <w:pStyle w:val="Compact"/>
              <w:jc w:val="left"/>
            </w:pPr>
            <w:r>
              <w:t xml:space="preserve">Second-pass regression</w:t>
            </w:r>
          </w:p>
        </w:tc>
        <w:tc>
          <w:tcPr/>
          <w:p>
            <w:pPr>
              <w:pStyle w:val="Compact"/>
              <w:jc w:val="left"/>
            </w:pPr>
            <w:r>
              <w:t xml:space="preserve">Participants: intercepts; Sentences: intercepts + Prequestioned slopes (uncorrelated)</w:t>
            </w:r>
          </w:p>
        </w:tc>
      </w:tr>
      <w:tr>
        <w:tc>
          <w:tcPr/>
          <w:p>
            <w:pPr>
              <w:pStyle w:val="Compact"/>
              <w:jc w:val="left"/>
            </w:pPr>
            <w:r>
              <w:t xml:space="preserve">Final test</w:t>
            </w:r>
          </w:p>
        </w:tc>
        <w:tc>
          <w:tcPr/>
          <w:p>
            <w:pPr>
              <w:pStyle w:val="Compact"/>
              <w:jc w:val="left"/>
            </w:pPr>
            <w:r>
              <w:t xml:space="preserve">Points earned</w:t>
            </w:r>
          </w:p>
        </w:tc>
        <w:tc>
          <w:tcPr/>
          <w:p>
            <w:pPr>
              <w:pStyle w:val="Compact"/>
              <w:jc w:val="left"/>
            </w:pPr>
            <w:r>
              <w:t xml:space="preserve">Participants: intercepts</w:t>
            </w:r>
          </w:p>
        </w:tc>
      </w:tr>
    </w:tbl>
    <w:bookmarkEnd w:id="171"/>
    <w:p>
      <w:pPr>
        <w:pStyle w:val="FigureNote"/>
      </w:pPr>
      <w:r>
        <w:rPr>
          <w:i/>
          <w:iCs/>
        </w:rPr>
        <w:t xml:space="preserve">Note</w:t>
      </w:r>
      <w:r>
        <w:t xml:space="preserve">. Each model started from the maximal structure for its design: for the Condition × Topic models, random intercepts for participants and sentences, by-participant Topic slopes, and by-sentence Condition slopes; for the prequestioned vs. non-prequestioned models, random intercepts and prequestioned slopes for participants and sentences; for the final test, by-participant intercepts and Topic slopes. Correlations were removed when the maximal model was singular or did not converge, and slopes were then removed by backward selection with likelihood-ratio tests (</w:t>
      </w:r>
      <w:r>
        <w:rPr>
          <w:i/>
          <w:iCs/>
        </w:rPr>
        <w:t xml:space="preserve">p</w:t>
      </w:r>
      <w:r>
        <w:t xml:space="preserve"> </w:t>
      </w:r>
      <w:r>
        <w:t xml:space="preserve">&gt; .20).</w:t>
      </w:r>
      <w:r>
        <w:t xml:space="preserve"> </w:t>
      </w:r>
      <w:r>
        <w:t xml:space="preserve">“Uncorrelated”</w:t>
      </w:r>
      <w:r>
        <w:t xml:space="preserve"> </w:t>
      </w:r>
      <w:r>
        <w:t xml:space="preserve">marks structures fitted without random-effect correlations. The ex-Gaussian model of total gaze duration (by-participant random intercepts on μ) is not included.</w:t>
      </w:r>
    </w:p>
    <w:sectPr>
      <w:lnNumType w:countBy="1" w:restart="continuous"/>
    </w:sectPr>
    <w:bookmarkEnd w:id="1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lme4 2.0.6</w:t>
      </w:r>
      <w:r>
        <w:t xml:space="preserve"> </w:t>
      </w:r>
      <w:r>
        <w:t xml:space="preserve">(</w:t>
      </w:r>
      <w:hyperlink w:anchor="ref-lme42015">
        <w:r>
          <w:rPr>
            <w:rStyle w:val="Hyperlink"/>
          </w:rPr>
          <w:t xml:space="preserve">Bates et al., 2015</w:t>
        </w:r>
      </w:hyperlink>
      <w:r>
        <w:t xml:space="preserve">)</w:t>
      </w:r>
      <w:r>
        <w:t xml:space="preserve">, glmmTMB 1.1.14</w:t>
      </w:r>
      <w:r>
        <w:t xml:space="preserve"> </w:t>
      </w:r>
      <w:r>
        <w:t xml:space="preserve">(</w:t>
      </w:r>
      <w:hyperlink w:anchor="ref-glmmTMB2017">
        <w:r>
          <w:rPr>
            <w:rStyle w:val="Hyperlink"/>
          </w:rPr>
          <w:t xml:space="preserve">Brooks et al., 2017</w:t>
        </w:r>
      </w:hyperlink>
      <w:r>
        <w:t xml:space="preserve">)</w:t>
      </w:r>
      <w:r>
        <w:t xml:space="preserve">, reformulas 0.4.4</w:t>
      </w:r>
      <w:r>
        <w:t xml:space="preserve"> </w:t>
      </w:r>
      <w:r>
        <w:t xml:space="preserve">(</w:t>
      </w:r>
      <w:hyperlink w:anchor="ref-R-reformulas">
        <w:r>
          <w:rPr>
            <w:rStyle w:val="Hyperlink"/>
          </w:rPr>
          <w:t xml:space="preserve">Bolker, 2026</w:t>
        </w:r>
      </w:hyperlink>
      <w:r>
        <w:t xml:space="preserve">)</w:t>
      </w:r>
      <w:r>
        <w:t xml:space="preserve">, car 3.1.5</w:t>
      </w:r>
      <w:r>
        <w:t xml:space="preserve"> </w:t>
      </w:r>
      <w:r>
        <w:t xml:space="preserve">(</w:t>
      </w:r>
      <w:hyperlink w:anchor="ref-car2019">
        <w:r>
          <w:rPr>
            <w:rStyle w:val="Hyperlink"/>
          </w:rPr>
          <w:t xml:space="preserve">Fox &amp; Weisberg, 2019</w:t>
        </w:r>
      </w:hyperlink>
      <w:r>
        <w:t xml:space="preserve">)</w:t>
      </w:r>
      <w:r>
        <w:t xml:space="preserve">, gamlss 5.5.5</w:t>
      </w:r>
      <w:r>
        <w:t xml:space="preserve"> </w:t>
      </w:r>
      <w:r>
        <w:t xml:space="preserve">(</w:t>
      </w:r>
      <w:hyperlink w:anchor="ref-gamlss2005">
        <w:r>
          <w:rPr>
            <w:rStyle w:val="Hyperlink"/>
          </w:rPr>
          <w:t xml:space="preserve">R. A. Rigby &amp; D. M. Stasinopoulos, 2005</w:t>
        </w:r>
      </w:hyperlink>
      <w:r>
        <w:t xml:space="preserve">)</w:t>
      </w:r>
      <w:r>
        <w:t xml:space="preserve">, MASS 7.3.65</w:t>
      </w:r>
      <w:r>
        <w:t xml:space="preserve"> </w:t>
      </w:r>
      <w:r>
        <w:t xml:space="preserve">(</w:t>
      </w:r>
      <w:hyperlink w:anchor="ref-MASS2002">
        <w:r>
          <w:rPr>
            <w:rStyle w:val="Hyperlink"/>
          </w:rPr>
          <w:t xml:space="preserve">Venables &amp; Ripley, 2002</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parameters 0.29.2</w:t>
      </w:r>
      <w:r>
        <w:t xml:space="preserve"> </w:t>
      </w:r>
      <w:r>
        <w:t xml:space="preserve">(</w:t>
      </w:r>
      <w:hyperlink w:anchor="ref-parameters2020">
        <w:r>
          <w:rPr>
            <w:rStyle w:val="Hyperlink"/>
          </w:rPr>
          <w:t xml:space="preserve">Lüdecke et al., 2020</w:t>
        </w:r>
      </w:hyperlink>
      <w:r>
        <w:t xml:space="preserve">)</w:t>
      </w:r>
      <w:r>
        <w:t xml:space="preserve">, performance 0.17.1</w:t>
      </w:r>
      <w:r>
        <w:t xml:space="preserve"> </w:t>
      </w:r>
      <w:r>
        <w:t xml:space="preserve">(</w:t>
      </w:r>
      <w:hyperlink w:anchor="ref-performance2021">
        <w:r>
          <w:rPr>
            <w:rStyle w:val="Hyperlink"/>
          </w:rPr>
          <w:t xml:space="preserve">Lüdecke et al., 2021</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effectsize 1.0.3</w:t>
      </w:r>
      <w:r>
        <w:t xml:space="preserve"> </w:t>
      </w:r>
      <w:r>
        <w:t xml:space="preserve">(</w:t>
      </w:r>
      <w:hyperlink w:anchor="ref-effectsize2020">
        <w:r>
          <w:rPr>
            <w:rStyle w:val="Hyperlink"/>
          </w:rPr>
          <w:t xml:space="preserve">Ben-Shachar et al., 2020</w:t>
        </w:r>
      </w:hyperlink>
      <w:r>
        <w:t xml:space="preserve">)</w:t>
      </w:r>
      <w:r>
        <w:t xml:space="preserve">, correlation 0.8.8</w:t>
      </w:r>
      <w:r>
        <w:t xml:space="preserve"> </w:t>
      </w:r>
      <w:r>
        <w:t xml:space="preserve">(</w:t>
      </w:r>
      <w:hyperlink w:anchor="ref-correlationArticle">
        <w:r>
          <w:rPr>
            <w:rStyle w:val="Hyperlink"/>
          </w:rPr>
          <w:t xml:space="preserve">Makowski et al., 2020</w:t>
        </w:r>
      </w:hyperlink>
      <w:r>
        <w:t xml:space="preserve">)</w:t>
      </w:r>
      <w:r>
        <w:t xml:space="preserve">, cocor 1.1.4</w:t>
      </w:r>
      <w:r>
        <w:t xml:space="preserve"> </w:t>
      </w:r>
      <w:r>
        <w:t xml:space="preserve">(</w:t>
      </w:r>
      <w:hyperlink w:anchor="ref-cocor2015">
        <w:r>
          <w:rPr>
            <w:rStyle w:val="Hyperlink"/>
          </w:rPr>
          <w:t xml:space="preserve">Diedenhofen &amp; Musch, 2015</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hyperlink" Id="rId128" Target="https://doi.org/10.1007/s10648-023-09814-5" TargetMode="External" /><Relationship Type="http://schemas.openxmlformats.org/officeDocument/2006/relationships/hyperlink" Id="rId108" Target="https://doi.org/10.1016/bs.plm.2016.03.003" TargetMode="External" /><Relationship Type="http://schemas.openxmlformats.org/officeDocument/2006/relationships/hyperlink" Id="rId94" Target="https://doi.org/10.1016/j.jarmac.2016.07.014" TargetMode="External" /><Relationship Type="http://schemas.openxmlformats.org/officeDocument/2006/relationships/hyperlink" Id="rId77" Target="https://doi.org/10.1016/j.jml.2012.11.001" TargetMode="External" /><Relationship Type="http://schemas.openxmlformats.org/officeDocument/2006/relationships/hyperlink" Id="rId124" Target="https://doi.org/10.1016/j.jml.2017.01.001" TargetMode="External" /><Relationship Type="http://schemas.openxmlformats.org/officeDocument/2006/relationships/hyperlink" Id="rId165" Target="https://doi.org/10.1016/j.lindif.2021.102055" TargetMode="External" /><Relationship Type="http://schemas.openxmlformats.org/officeDocument/2006/relationships/hyperlink" Id="rId135" Target="https://doi.org/10.1037/0033-2909.124.3.372" TargetMode="External" /><Relationship Type="http://schemas.openxmlformats.org/officeDocument/2006/relationships/hyperlink" Id="rId137" Target="https://doi.org/10.1037/a0016496" TargetMode="External" /><Relationship Type="http://schemas.openxmlformats.org/officeDocument/2006/relationships/hyperlink" Id="rId141" Target="https://doi.org/10.1037/a0037559" TargetMode="External" /><Relationship Type="http://schemas.openxmlformats.org/officeDocument/2006/relationships/hyperlink" Id="rId126" Target="https://doi.org/10.1037/edu0000978" TargetMode="External" /><Relationship Type="http://schemas.openxmlformats.org/officeDocument/2006/relationships/hyperlink" Id="rId92" Target="https://doi.org/10.1037/xap0000145" TargetMode="External" /><Relationship Type="http://schemas.openxmlformats.org/officeDocument/2006/relationships/hyperlink" Id="rId149" Target="https://doi.org/10.1037/xap0000296" TargetMode="External" /><Relationship Type="http://schemas.openxmlformats.org/officeDocument/2006/relationships/hyperlink" Id="rId86" Target="https://doi.org/10.1080/00220973.2024.2355980" TargetMode="External" /><Relationship Type="http://schemas.openxmlformats.org/officeDocument/2006/relationships/hyperlink" Id="rId110" Target="https://doi.org/10.1080/0163853X.2012.662801" TargetMode="External" /><Relationship Type="http://schemas.openxmlformats.org/officeDocument/2006/relationships/hyperlink" Id="rId139" Target="https://doi.org/10.1111/j.1745-6916.2006.00012.x" TargetMode="External" /><Relationship Type="http://schemas.openxmlformats.org/officeDocument/2006/relationships/hyperlink" Id="rId90" Target="https://doi.org/10.1177/0963721412452728" TargetMode="External" /><Relationship Type="http://schemas.openxmlformats.org/officeDocument/2006/relationships/hyperlink" Id="rId100" Target="https://doi.org/10.1177/1529100612453266" TargetMode="External" /><Relationship Type="http://schemas.openxmlformats.org/officeDocument/2006/relationships/hyperlink" Id="rId106" Target="https://doi.org/10.1186/s41235-017-0078-z" TargetMode="External" /><Relationship Type="http://schemas.openxmlformats.org/officeDocument/2006/relationships/hyperlink" Id="rId98" Target="https://doi.org/10.1371/journal.pone.0121945" TargetMode="External" /><Relationship Type="http://schemas.openxmlformats.org/officeDocument/2006/relationships/hyperlink" Id="rId79" Target="https://doi.org/10.18637/jss.v067.i01" TargetMode="External" /><Relationship Type="http://schemas.openxmlformats.org/officeDocument/2006/relationships/hyperlink" Id="rId75" Target="https://doi.org/10.18637/jss.v111.i09" TargetMode="External" /><Relationship Type="http://schemas.openxmlformats.org/officeDocument/2006/relationships/hyperlink" Id="rId118" Target="https://doi.org/10.21105/joss.01412" TargetMode="External" /><Relationship Type="http://schemas.openxmlformats.org/officeDocument/2006/relationships/hyperlink" Id="rId157" Target="https://doi.org/10.21105/joss.01686" TargetMode="External" /><Relationship Type="http://schemas.openxmlformats.org/officeDocument/2006/relationships/hyperlink" Id="rId120" Target="https://doi.org/10.21105/joss.02306" TargetMode="External" /><Relationship Type="http://schemas.openxmlformats.org/officeDocument/2006/relationships/hyperlink" Id="rId114" Target="https://doi.org/10.21105/joss.02445" TargetMode="External" /><Relationship Type="http://schemas.openxmlformats.org/officeDocument/2006/relationships/hyperlink" Id="rId81" Target="https://doi.org/10.21105/joss.02815" TargetMode="External" /><Relationship Type="http://schemas.openxmlformats.org/officeDocument/2006/relationships/hyperlink" Id="rId116" Target="https://doi.org/10.21105/joss.03139" TargetMode="External" /><Relationship Type="http://schemas.openxmlformats.org/officeDocument/2006/relationships/hyperlink" Id="rId122" Target="https://doi.org/10.21105/joss.07969" TargetMode="External" /><Relationship Type="http://schemas.openxmlformats.org/officeDocument/2006/relationships/hyperlink" Id="rId147" Target="https://doi.org/10.31234/osf.io/bzt2h_v1" TargetMode="External" /><Relationship Type="http://schemas.openxmlformats.org/officeDocument/2006/relationships/hyperlink" Id="rId132" Target="https://doi.org/10.32614/R.manuals" TargetMode="External" /><Relationship Type="http://schemas.openxmlformats.org/officeDocument/2006/relationships/hyperlink" Id="rId88" Target="https://doi.org/10.32614/RJ-2017-066" TargetMode="External" /><Relationship Type="http://schemas.openxmlformats.org/officeDocument/2006/relationships/hyperlink" Id="rId112" Target="https://doi.org/10.3389/fpsyg.2015.01171" TargetMode="External" /><Relationship Type="http://schemas.openxmlformats.org/officeDocument/2006/relationships/hyperlink" Id="rId143" Target="https://doi.org/10.3758/s13423-023-02274-6" TargetMode="External" /><Relationship Type="http://schemas.openxmlformats.org/officeDocument/2006/relationships/hyperlink" Id="rId151" Target="https://doi.org/10.3758/s13423-023-02353-8" TargetMode="External" /><Relationship Type="http://schemas.openxmlformats.org/officeDocument/2006/relationships/hyperlink" Id="rId96" Target="https://doi.org/10.3758/s13428-021-01554-0" TargetMode="External" /><Relationship Type="http://schemas.openxmlformats.org/officeDocument/2006/relationships/hyperlink" Id="rId145" Target="https://doi.org/10.3758/s13428-024-02572-4" TargetMode="External" /><Relationship Type="http://schemas.openxmlformats.org/officeDocument/2006/relationships/hyperlink" Id="rId84" Target="https://github.com/bbolker/reformulas" TargetMode="External" /><Relationship Type="http://schemas.openxmlformats.org/officeDocument/2006/relationships/hyperlink" Id="rId102" Target="https://github.com/sfirke/janitor" TargetMode="External" /><Relationship Type="http://schemas.openxmlformats.org/officeDocument/2006/relationships/hyperlink" Id="rId163" Target="https://github.com/yihui/xfun" TargetMode="External" /><Relationship Type="http://schemas.openxmlformats.org/officeDocument/2006/relationships/hyperlink" Id="rId130" Target="https://patchwork.data-imaginist.com" TargetMode="External" /><Relationship Type="http://schemas.openxmlformats.org/officeDocument/2006/relationships/hyperlink" Id="rId159" Target="https://scales.r-lib.org" TargetMode="External" /><Relationship Type="http://schemas.openxmlformats.org/officeDocument/2006/relationships/hyperlink" Id="rId104" Target="https://www.john-fox.ca/Companion/" TargetMode="External" /><Relationship Type="http://schemas.openxmlformats.org/officeDocument/2006/relationships/hyperlink" Id="rId153" Target="https://www.rforge.net/png/" TargetMode="External" /><Relationship Type="http://schemas.openxmlformats.org/officeDocument/2006/relationships/hyperlink" Id="rId155" Target="https://www.stats.ox.ac.uk/pub/MASS4/" TargetMode="External" /><Relationship Type="http://schemas.openxmlformats.org/officeDocument/2006/relationships/hyperlink" Id="rId161" Target="https://yihui.org/knitr/" TargetMode="External" /><Relationship Type="http://schemas.openxmlformats.org/officeDocument/2006/relationships/hyperlink" Id="rId23"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7/s10648-023-09814-5" TargetMode="External" /><Relationship Type="http://schemas.openxmlformats.org/officeDocument/2006/relationships/hyperlink" Id="rId108" Target="https://doi.org/10.1016/bs.plm.2016.03.003" TargetMode="External" /><Relationship Type="http://schemas.openxmlformats.org/officeDocument/2006/relationships/hyperlink" Id="rId94" Target="https://doi.org/10.1016/j.jarmac.2016.07.014" TargetMode="External" /><Relationship Type="http://schemas.openxmlformats.org/officeDocument/2006/relationships/hyperlink" Id="rId77" Target="https://doi.org/10.1016/j.jml.2012.11.001" TargetMode="External" /><Relationship Type="http://schemas.openxmlformats.org/officeDocument/2006/relationships/hyperlink" Id="rId124" Target="https://doi.org/10.1016/j.jml.2017.01.001" TargetMode="External" /><Relationship Type="http://schemas.openxmlformats.org/officeDocument/2006/relationships/hyperlink" Id="rId165" Target="https://doi.org/10.1016/j.lindif.2021.102055" TargetMode="External" /><Relationship Type="http://schemas.openxmlformats.org/officeDocument/2006/relationships/hyperlink" Id="rId135" Target="https://doi.org/10.1037/0033-2909.124.3.372" TargetMode="External" /><Relationship Type="http://schemas.openxmlformats.org/officeDocument/2006/relationships/hyperlink" Id="rId137" Target="https://doi.org/10.1037/a0016496" TargetMode="External" /><Relationship Type="http://schemas.openxmlformats.org/officeDocument/2006/relationships/hyperlink" Id="rId141" Target="https://doi.org/10.1037/a0037559" TargetMode="External" /><Relationship Type="http://schemas.openxmlformats.org/officeDocument/2006/relationships/hyperlink" Id="rId126" Target="https://doi.org/10.1037/edu0000978" TargetMode="External" /><Relationship Type="http://schemas.openxmlformats.org/officeDocument/2006/relationships/hyperlink" Id="rId92" Target="https://doi.org/10.1037/xap0000145" TargetMode="External" /><Relationship Type="http://schemas.openxmlformats.org/officeDocument/2006/relationships/hyperlink" Id="rId149" Target="https://doi.org/10.1037/xap0000296" TargetMode="External" /><Relationship Type="http://schemas.openxmlformats.org/officeDocument/2006/relationships/hyperlink" Id="rId86" Target="https://doi.org/10.1080/00220973.2024.2355980" TargetMode="External" /><Relationship Type="http://schemas.openxmlformats.org/officeDocument/2006/relationships/hyperlink" Id="rId110" Target="https://doi.org/10.1080/0163853X.2012.662801" TargetMode="External" /><Relationship Type="http://schemas.openxmlformats.org/officeDocument/2006/relationships/hyperlink" Id="rId139" Target="https://doi.org/10.1111/j.1745-6916.2006.00012.x" TargetMode="External" /><Relationship Type="http://schemas.openxmlformats.org/officeDocument/2006/relationships/hyperlink" Id="rId90" Target="https://doi.org/10.1177/0963721412452728" TargetMode="External" /><Relationship Type="http://schemas.openxmlformats.org/officeDocument/2006/relationships/hyperlink" Id="rId100" Target="https://doi.org/10.1177/1529100612453266" TargetMode="External" /><Relationship Type="http://schemas.openxmlformats.org/officeDocument/2006/relationships/hyperlink" Id="rId106" Target="https://doi.org/10.1186/s41235-017-0078-z" TargetMode="External" /><Relationship Type="http://schemas.openxmlformats.org/officeDocument/2006/relationships/hyperlink" Id="rId98" Target="https://doi.org/10.1371/journal.pone.0121945" TargetMode="External" /><Relationship Type="http://schemas.openxmlformats.org/officeDocument/2006/relationships/hyperlink" Id="rId79" Target="https://doi.org/10.18637/jss.v067.i01" TargetMode="External" /><Relationship Type="http://schemas.openxmlformats.org/officeDocument/2006/relationships/hyperlink" Id="rId75" Target="https://doi.org/10.18637/jss.v111.i09" TargetMode="External" /><Relationship Type="http://schemas.openxmlformats.org/officeDocument/2006/relationships/hyperlink" Id="rId118" Target="https://doi.org/10.21105/joss.01412" TargetMode="External" /><Relationship Type="http://schemas.openxmlformats.org/officeDocument/2006/relationships/hyperlink" Id="rId157" Target="https://doi.org/10.21105/joss.01686" TargetMode="External" /><Relationship Type="http://schemas.openxmlformats.org/officeDocument/2006/relationships/hyperlink" Id="rId120" Target="https://doi.org/10.21105/joss.02306" TargetMode="External" /><Relationship Type="http://schemas.openxmlformats.org/officeDocument/2006/relationships/hyperlink" Id="rId114" Target="https://doi.org/10.21105/joss.02445" TargetMode="External" /><Relationship Type="http://schemas.openxmlformats.org/officeDocument/2006/relationships/hyperlink" Id="rId81" Target="https://doi.org/10.21105/joss.02815" TargetMode="External" /><Relationship Type="http://schemas.openxmlformats.org/officeDocument/2006/relationships/hyperlink" Id="rId116" Target="https://doi.org/10.21105/joss.03139" TargetMode="External" /><Relationship Type="http://schemas.openxmlformats.org/officeDocument/2006/relationships/hyperlink" Id="rId122" Target="https://doi.org/10.21105/joss.07969" TargetMode="External" /><Relationship Type="http://schemas.openxmlformats.org/officeDocument/2006/relationships/hyperlink" Id="rId147" Target="https://doi.org/10.31234/osf.io/bzt2h_v1" TargetMode="External" /><Relationship Type="http://schemas.openxmlformats.org/officeDocument/2006/relationships/hyperlink" Id="rId132" Target="https://doi.org/10.32614/R.manuals" TargetMode="External" /><Relationship Type="http://schemas.openxmlformats.org/officeDocument/2006/relationships/hyperlink" Id="rId88" Target="https://doi.org/10.32614/RJ-2017-066" TargetMode="External" /><Relationship Type="http://schemas.openxmlformats.org/officeDocument/2006/relationships/hyperlink" Id="rId112" Target="https://doi.org/10.3389/fpsyg.2015.01171" TargetMode="External" /><Relationship Type="http://schemas.openxmlformats.org/officeDocument/2006/relationships/hyperlink" Id="rId143" Target="https://doi.org/10.3758/s13423-023-02274-6" TargetMode="External" /><Relationship Type="http://schemas.openxmlformats.org/officeDocument/2006/relationships/hyperlink" Id="rId151" Target="https://doi.org/10.3758/s13423-023-02353-8" TargetMode="External" /><Relationship Type="http://schemas.openxmlformats.org/officeDocument/2006/relationships/hyperlink" Id="rId96" Target="https://doi.org/10.3758/s13428-021-01554-0" TargetMode="External" /><Relationship Type="http://schemas.openxmlformats.org/officeDocument/2006/relationships/hyperlink" Id="rId145" Target="https://doi.org/10.3758/s13428-024-02572-4" TargetMode="External" /><Relationship Type="http://schemas.openxmlformats.org/officeDocument/2006/relationships/hyperlink" Id="rId84" Target="https://github.com/bbolker/reformulas" TargetMode="External" /><Relationship Type="http://schemas.openxmlformats.org/officeDocument/2006/relationships/hyperlink" Id="rId102" Target="https://github.com/sfirke/janitor" TargetMode="External" /><Relationship Type="http://schemas.openxmlformats.org/officeDocument/2006/relationships/hyperlink" Id="rId163" Target="https://github.com/yihui/xfun" TargetMode="External" /><Relationship Type="http://schemas.openxmlformats.org/officeDocument/2006/relationships/hyperlink" Id="rId130" Target="https://patchwork.data-imaginist.com" TargetMode="External" /><Relationship Type="http://schemas.openxmlformats.org/officeDocument/2006/relationships/hyperlink" Id="rId159" Target="https://scales.r-lib.org" TargetMode="External" /><Relationship Type="http://schemas.openxmlformats.org/officeDocument/2006/relationships/hyperlink" Id="rId104" Target="https://www.john-fox.ca/Companion/" TargetMode="External" /><Relationship Type="http://schemas.openxmlformats.org/officeDocument/2006/relationships/hyperlink" Id="rId153" Target="https://www.rforge.net/png/" TargetMode="External" /><Relationship Type="http://schemas.openxmlformats.org/officeDocument/2006/relationships/hyperlink" Id="rId155" Target="https://www.stats.ox.ac.uk/pub/MASS4/" TargetMode="External" /><Relationship Type="http://schemas.openxmlformats.org/officeDocument/2006/relationships/hyperlink" Id="rId161" Target="https://yihui.org/knitr/" TargetMode="External" /><Relationship Type="http://schemas.openxmlformats.org/officeDocument/2006/relationships/hyperlink" Id="rId23"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2026-10-16T17:40:10Z</dcterms:created>
  <dcterms:modified xsi:type="dcterms:W3CDTF">2026-10-16T17:40:10Z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Answering questions before a learning episode (prequestions) improves memory for the information the questions address, but why it does so is not well understood. One proposal is that prequestions guide attention toward the information they address. We tested this selective-attention account by recording eye movements while participants read a passage about efforts to eradicate polio and tuberculosis (TB). Before reading, participants answered prequestions about polio, prequestions about TB, or no prequestions; afterwards, all participants took a short-answer test on both topics. Prequestions produced a specific memory benefit—better memory than the control condition for the prequestioned topic—but no general benefit for the non-prequestioned topic. Comparing the same sentences when they were and were not prequestioned showed that prequestions changed how they were read. Total gaze durations, analysed with an ex-Gaussian model, showed that prequestioned sentences received more occasional unusually long readings rather than a uniform shift in typical reading time. Readers were also more likely to look back to prequestioned sentences later. Reading time, however, accounted for only a small part of the memory benefit. Prequestions thus redirect attention during reading, but this redirection explains little of their benefit for memory.</vt:lpwstr>
  </property>
  <property fmtid="{D5CDD505-2E9C-101B-9397-08002B2CF9AE}" pid="5" name="apaauthor">
    <vt:lpwstr/>
  </property>
  <property fmtid="{D5CDD505-2E9C-101B-9397-08002B2CF9AE}" pid="6" name="apatitle">
    <vt:lpwstr>Where Do Prequestions Direct Attention? An Eye-Tracking Study of the Prequestion Effect</vt:lpwstr>
  </property>
  <property fmtid="{D5CDD505-2E9C-101B-9397-08002B2CF9AE}" pid="7" name="apatitledisplay">
    <vt:lpwstr>Where Do Prequestions Direct Attention? An Eye-Tracking Study of the Prequestion Effect</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PREQUESTIONS AND EYE-TRACKING</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6574</vt:lpwstr>
  </property>
  <property fmtid="{D5CDD505-2E9C-101B-9397-08002B2CF9AE}" pid="65" name="zerocitations">
    <vt:lpwstr>False</vt:lpwstr>
  </property>
</Properties>
</file>