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64.png" ContentType="image/png"/>
  <Override PartName="/word/media/rId47.png" ContentType="image/png"/>
  <Override PartName="/word/media/rId4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Using Eye Tracking to See How Prequestions Shape Reading</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methodology, software, validation, formal analysis, investigation, data curation, writing – original draft, writing – review &amp; editing, visualization, and project administration</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I Remember That Question: Using Eye Tracking to See How Prequestions Shape Reading</w:t>
      </w:r>
    </w:p>
    <w:p>
      <w:pPr>
        <w:pStyle w:val="FirstParagraph"/>
      </w:pPr>
      <w:r>
        <w:t xml:space="preserve">A common study habit is to test oneself, retrieving answers to questions after a learning event</w:t>
      </w:r>
      <w:r>
        <w:t xml:space="preserve"> </w:t>
      </w:r>
      <w:r>
        <w:t xml:space="preserve">(</w:t>
      </w:r>
      <w:hyperlink w:anchor="ref-hartwig2012">
        <w:r>
          <w:rPr>
            <w:rStyle w:val="Hyperlink"/>
          </w:rPr>
          <w:t xml:space="preserve">Hartwig &amp; Dunlosky, 2012</w:t>
        </w:r>
      </w:hyperlink>
      <w:r>
        <w:t xml:space="preserve">)</w:t>
      </w:r>
      <w:r>
        <w:t xml:space="preserve">. Decades of research have shown how powerful this kind of retrieval practice is, a phenomenon known as the</w:t>
      </w:r>
      <w:r>
        <w:t xml:space="preserve"> </w:t>
      </w:r>
      <w:r>
        <w:rPr>
          <w:i/>
          <w:iCs/>
        </w:rPr>
        <w:t xml:space="preserve">testing effect</w:t>
      </w:r>
      <w:r>
        <w:t xml:space="preserve">: retrieving studied information improves later memory more than restudying it does, across many types of materials and contexts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Answering questions</w:t>
      </w:r>
      <w:r>
        <w:t xml:space="preserve"> </w:t>
      </w:r>
      <w:r>
        <w:rPr>
          <w:i/>
          <w:iCs/>
        </w:rPr>
        <w:t xml:space="preserve">before</w:t>
      </w:r>
      <w:r>
        <w:t xml:space="preserve"> </w:t>
      </w:r>
      <w:r>
        <w:t xml:space="preserve">a learning event, however, can also enhance memory, even though learners usually do not know the answers and most of their guesses are wrong. Such</w:t>
      </w:r>
      <w:r>
        <w:t xml:space="preserve"> </w:t>
      </w:r>
      <w:r>
        <w:rPr>
          <w:i/>
          <w:iCs/>
        </w:rPr>
        <w:t xml:space="preserve">prequestions</w:t>
      </w:r>
      <w:r>
        <w:t xml:space="preserve">, or pretests, reliably improve memory for the information they ask about</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That they help even though there is nothing yet to retrieve fits the broader finding that making learning more effortful, and even more error-prone, can benefit long-term retention</w:t>
      </w:r>
      <w:r>
        <w:t xml:space="preserve"> </w:t>
      </w:r>
      <w:r>
        <w:t xml:space="preserve">(</w:t>
      </w:r>
      <w:hyperlink w:anchor="ref-bjork1994">
        <w:r>
          <w:rPr>
            <w:rStyle w:val="Hyperlink"/>
          </w:rPr>
          <w:t xml:space="preserve">Bjork, 1994</w:t>
        </w:r>
      </w:hyperlink>
      <w:r>
        <w:t xml:space="preserve">)</w:t>
      </w:r>
      <w:r>
        <w:t xml:space="preserve">.</w:t>
      </w:r>
    </w:p>
    <w:p>
      <w:pPr>
        <w:pStyle w:val="BodyText"/>
      </w:pPr>
      <w:r>
        <w:t xml:space="preserve">A typical prequestion experiment involves two groups: a group that receives prequestions and a control group that does not</w:t>
      </w:r>
      <w:r>
        <w:t xml:space="preserve"> </w:t>
      </w:r>
      <w:r>
        <w:t xml:space="preserve">(</w:t>
      </w:r>
      <w:hyperlink w:anchor="ref-carpenter2023">
        <w:r>
          <w:rPr>
            <w:rStyle w:val="Hyperlink"/>
          </w:rPr>
          <w:t xml:space="preserve">S. K. Carpenter et al., 2023</w:t>
        </w:r>
      </w:hyperlink>
      <w:r>
        <w:t xml:space="preserve">)</w:t>
      </w:r>
      <w:r>
        <w:t xml:space="preserve">.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geller2017">
        <w:r>
          <w:rPr>
            <w:rStyle w:val="Hyperlink"/>
          </w:rPr>
          <w:t xml:space="preserve">Geller et al., 2017</w:t>
        </w:r>
      </w:hyperlink>
      <w:r>
        <w:t xml:space="preserve">;</w:t>
      </w:r>
      <w:r>
        <w:t xml:space="preserve"> </w:t>
      </w:r>
      <w:hyperlink w:anchor="ref-soderstrom2023">
        <w:r>
          <w:rPr>
            <w:rStyle w:val="Hyperlink"/>
          </w:rPr>
          <w:t xml:space="preserve">Soderstrom &amp; Bjork, 2023</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prompt elaboration by activating related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shows learners what they do not know</w:t>
      </w:r>
      <w:r>
        <w:t xml:space="preserve"> </w:t>
      </w:r>
      <w:r>
        <w:t xml:space="preserve">(</w:t>
      </w:r>
      <w:hyperlink w:anchor="ref-bjork2013">
        <w:r>
          <w:rPr>
            <w:rStyle w:val="Hyperlink"/>
          </w:rPr>
          <w:t xml:space="preserve">Bjork et al., 2013</w:t>
        </w:r>
      </w:hyperlink>
      <w:r>
        <w:t xml:space="preserve">)</w:t>
      </w:r>
      <w:r>
        <w:t xml:space="preserve">. Each of these would lead learners to allocate more attention to the information that answers the prequestions</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attention-based</w:t>
      </w:r>
      <w:r>
        <w:t xml:space="preserve"> </w:t>
      </w:r>
      <w:r>
        <w:t xml:space="preserve">account, prequestions signal what is likely to be important on an upcoming test, so learners notice that information when it appears, process it more, and remember it better as a result</w:t>
      </w:r>
      <w:r>
        <w:t xml:space="preserve"> </w:t>
      </w:r>
      <w:r>
        <w:t xml:space="preserve">(</w:t>
      </w:r>
      <w:hyperlink w:anchor="ref-pan2023">
        <w:r>
          <w:rPr>
            <w:rStyle w:val="Hyperlink"/>
          </w:rPr>
          <w:t xml:space="preserve">Pan &amp; Carpenter, 2023</w:t>
        </w:r>
      </w:hyperlink>
      <w:r>
        <w:t xml:space="preserve">)</w:t>
      </w:r>
      <w:r>
        <w:t xml:space="preserve">. Eye-tracking studies largely agree: readers fixate prequestioned information for longer</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w:t>
      </w:r>
      <w:r>
        <w:t xml:space="preserve">and spend more time re-inspecting it and looking back to it</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 simple attention-based account, however, cannot fully explain the effects of prequestions. First, if prequestions only signalled what to attend to, telling learners what will be tested should work as well as asking them. Yet answering prequestions improved memory more than studying the material with the tested concepts emphasized or reading the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Second, prequestions reliably improve memory for the prequestioned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but some studies also find a general benefit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 account of prequestions must therefore explain why the benefit is sometimes specific and sometimes general. One such account is the attentional-window account</w:t>
      </w:r>
      <w:r>
        <w:t xml:space="preserve"> </w:t>
      </w:r>
      <w:r>
        <w:t xml:space="preserve">(</w:t>
      </w:r>
      <w:hyperlink w:anchor="ref-sana2023">
        <w:r>
          <w:rPr>
            <w:rStyle w:val="Hyperlink"/>
          </w:rPr>
          <w:t xml:space="preserve">Sana &amp; Carpenter, 2023</w:t>
        </w:r>
      </w:hyperlink>
      <w:r>
        <w:t xml:space="preserve">)</w:t>
      </w:r>
      <w:r>
        <w:t xml:space="preserve">, on which answering prequestions opens a window of heightened attention that closes once the prequestioned information has been found. Everything read while the window is open benefits, so the placement of the prequestioned information should matter.</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a text. When it came at the beginning, prequestions produced only a specific benefit;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allocation of attention and the cognitive processes that support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tracking records this behavior continuously and without interrupting the reading or viewing experience, processing can be examined as it unfolds rather than inferred afterward from a memory test</w:t>
      </w:r>
      <w:r>
        <w:t xml:space="preserve"> </w:t>
      </w:r>
      <w:r>
        <w:t xml:space="preserve">(</w:t>
      </w:r>
      <w:hyperlink w:anchor="ref-rayner1998">
        <w:r>
          <w:rPr>
            <w:rStyle w:val="Hyperlink"/>
          </w:rPr>
          <w:t xml:space="preserve">Rayner, 1998</w:t>
        </w:r>
      </w:hyperlink>
      <w:r>
        <w:t xml:space="preserve">)</w:t>
      </w:r>
      <w:r>
        <w:t xml:space="preserve">.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For these reasons, real-time measures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specifically recommended using eye tracking to observe where learners spend more or less time on passages containing prequestioned and non-prequestioned information, which is the approach taken here.</w:t>
      </w:r>
    </w:p>
    <w:p>
      <w:pPr>
        <w:pStyle w:val="BodyText"/>
      </w:pPr>
      <w:r>
        <w:t xml:space="preserve">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prequestions in two eye-tracking experiments with texts on different topics. In Experiment 1, students read a text about space travel after reading one of two sets of six prequestions, or no prequestions.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Notably, this shift appeared only after the targeted sentences had been read once: readers did not slow down on first encountering them but went back to them, as if they first recognized the sentences as relevant and then returned to process them further.</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attention-based account.</w:t>
      </w:r>
    </w:p>
    <w:p>
      <w:pPr>
        <w:pStyle w:val="BodyText"/>
      </w:pPr>
      <w:r>
        <w:t xml:space="preserve">Several studies have shown that attention to the prequestioned information increases following prequestions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Whether this increase causes the benefit of prequestions or follows from it, however, remains unclear, and several findings show that prequestions can improve learning without a corresponding increase in attention to the material. In a large multi-site classroom study, prequestions before online lecture videos improved learning even though students watched less of the videos afterwards, and some students skipped the videos entirely after seeing prequestions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 Consistent with this, the benefit of prequestions in Motz et al.’s study was larger for students who answered more of the prequestions correctly, suggesting that learners benefit most when they have relevant knowledge to activate.</w:t>
      </w:r>
    </w:p>
    <w:bookmarkStart w:id="27" w:name="the-current-study"/>
    <w:p>
      <w:pPr>
        <w:pStyle w:val="Heading2"/>
      </w:pPr>
      <w:r>
        <w:t xml:space="preserve">The Current Study</w:t>
      </w:r>
    </w:p>
    <w:p>
      <w:pPr>
        <w:pStyle w:val="FirstParagraph"/>
      </w:pPr>
      <w:r>
        <w:t xml:space="preserve">The current study tested the attention-based account with a design that addresses several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one fixed set of sentences was prequestioned, so the effect of prequestions, and the absence of a general effect, could not be separated from the content of those particular sentences.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used two sets of prequestions that targeted different sentences, but the sets targeted different numbers of sentences, and only one of them affected reading. Here, the prequestioned content was fully counterbalanced: two prequestion groups were prequestioned on different topics, so that every target sentence was read both with and without prequestions. Second, the previous studies compared small groups—about 20 readers per group in</w:t>
      </w:r>
      <w:r>
        <w:t xml:space="preserve"> </w:t>
      </w:r>
      <w:r>
        <w:t xml:space="preserve">Lewis and Mensink (</w:t>
      </w:r>
      <w:hyperlink w:anchor="ref-lewis2012">
        <w:r>
          <w:rPr>
            <w:rStyle w:val="Hyperlink"/>
          </w:rPr>
          <w:t xml:space="preserve">2012</w:t>
        </w:r>
      </w:hyperlink>
      <w:r>
        <w:t xml:space="preserve">)</w:t>
      </w:r>
      <w:r>
        <w:t xml:space="preserve">, and 12 per group with two prequestions in</w:t>
      </w:r>
      <w:r>
        <w:t xml:space="preserve"> </w:t>
      </w:r>
      <w:r>
        <w:t xml:space="preserve">Bostan and Ozcelik (</w:t>
      </w:r>
      <w:hyperlink w:anchor="ref-bostan2026">
        <w:r>
          <w:rPr>
            <w:rStyle w:val="Hyperlink"/>
          </w:rPr>
          <w:t xml:space="preserve">2026</w:t>
        </w:r>
      </w:hyperlink>
      <w:r>
        <w:t xml:space="preserve">)</w:t>
      </w:r>
      <w:r>
        <w:t xml:space="preserve">—so their estimates are imprecise.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analysed average reading or fixation times; we also modelled the distribution of reading times, which distinguishes slower reading overall from occasional unusually long readings. Fourth, in</w:t>
      </w:r>
      <w:r>
        <w:t xml:space="preserve"> </w:t>
      </w:r>
      <w:r>
        <w:t xml:space="preserve">Lewis and Mensink (</w:t>
      </w:r>
      <w:hyperlink w:anchor="ref-lewis2012">
        <w:r>
          <w:rPr>
            <w:rStyle w:val="Hyperlink"/>
          </w:rPr>
          <w:t xml:space="preserve">2012</w:t>
        </w:r>
      </w:hyperlink>
      <w:r>
        <w:t xml:space="preserve">)</w:t>
      </w:r>
      <w:r>
        <w:t xml:space="preserve">, readers were given the questions and asked to read the text to answer them, but did not answer them before reading. Readers may have answered them covertly, which can be as effective as answering prequestions overtly</w:t>
      </w:r>
      <w:r>
        <w:t xml:space="preserve"> </w:t>
      </w:r>
      <w:r>
        <w:t xml:space="preserve">(</w:t>
      </w:r>
      <w:hyperlink w:anchor="ref-rivers2026">
        <w:r>
          <w:rPr>
            <w:rStyle w:val="Hyperlink"/>
          </w:rPr>
          <w:t xml:space="preserve">Rivers et al., 2026</w:t>
        </w:r>
      </w:hyperlink>
      <w:r>
        <w:t xml:space="preserve">)</w:t>
      </w:r>
      <w:r>
        <w:t xml:space="preserve">, but whether they did is unknown. Here, as in most prequestion studies, participants answered each prequestion before reading.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regressions-in (look-backs)—reflect all processing a sentence receives, including later returns to it. The</w:t>
      </w:r>
      <w:r>
        <w:t xml:space="preserve"> </w:t>
      </w:r>
      <w:r>
        <w:rPr>
          <w:i/>
          <w:iCs/>
        </w:rPr>
        <w:t xml:space="preserve">local</w:t>
      </w:r>
      <w:r>
        <w:t xml:space="preserve"> </w:t>
      </w:r>
      <w:r>
        <w:t xml:space="preserve">measure—selective regression-path duration, our measure of first-pass reading—reflects processing when a sentence is first encountered, before the reader moves on to later text.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6"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6"/>
    <w:bookmarkEnd w:id="27"/>
    <w:bookmarkEnd w:id="28"/>
    <w:bookmarkStart w:id="55"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 The author used generative AI (Claude Opus 5.5, Anthropic) to draft and edit text and to check references; the author verified all content and citations and takes full responsibility for the article.</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6"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2"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2"/>
    <w:bookmarkStart w:id="33"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3"/>
    <w:bookmarkStart w:id="34" w:name="distractor-task"/>
    <w:p>
      <w:pPr>
        <w:pStyle w:val="Heading3"/>
      </w:pPr>
      <w:r>
        <w:t xml:space="preserve">Distractor Task</w:t>
      </w:r>
    </w:p>
    <w:p>
      <w:pPr>
        <w:pStyle w:val="FirstParagraph"/>
      </w:pPr>
      <w:r>
        <w:t xml:space="preserve">After reading, all participants completed the president recognition task (https://run.pavlovia.org/Jgeller112/preq_president), a distractor task lasting approximately 3 minutes.</w:t>
      </w:r>
    </w:p>
    <w:bookmarkEnd w:id="34"/>
    <w:bookmarkStart w:id="35" w:name="final-test"/>
    <w:p>
      <w:pPr>
        <w:pStyle w:val="Heading3"/>
      </w:pPr>
      <w:r>
        <w:t xml:space="preserve">Final Test</w:t>
      </w:r>
    </w:p>
    <w:p>
      <w:pPr>
        <w:pStyle w:val="FirstParagraph"/>
      </w:pPr>
      <w:r>
        <w:t xml:space="preserve">Participants then answered all ten final-test questions—five on Polio and five on TB—in a random order (https://run.pavlovia.org/Jgeller112/preQ_test),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5"/>
    <w:bookmarkEnd w:id="36"/>
    <w:bookmarkStart w:id="37"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1,678 responses that were not blank. The two scorings agreed exactly on 97.6% of responses, and agreement was excellent, ICC(2,1) = .99, 95% CI [.99,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computed with the irr package</w:t>
      </w:r>
      <w:r>
        <w:t xml:space="preserve"> </w:t>
      </w:r>
      <w:r>
        <w:t xml:space="preserve">(</w:t>
      </w:r>
      <w:hyperlink w:anchor="ref-R-irr">
        <w:r>
          <w:rPr>
            <w:rStyle w:val="Hyperlink"/>
          </w:rPr>
          <w:t xml:space="preserve">Gamer et al., 2026</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7"/>
    <w:bookmarkStart w:id="46"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41"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9" name="Picture"/>
            <a:graphic>
              <a:graphicData uri="http://schemas.openxmlformats.org/drawingml/2006/picture">
                <pic:pic>
                  <pic:nvPicPr>
                    <pic:cNvPr descr="manuscript_files/figure-docx/fig-aois-1.png" id="40" name="Picture"/>
                    <pic:cNvPicPr>
                      <a:picLocks noChangeArrowheads="1" noChangeAspect="1"/>
                    </pic:cNvPicPr>
                  </pic:nvPicPr>
                  <pic:blipFill>
                    <a:blip r:embed="rId38"/>
                    <a:stretch>
                      <a:fillRect/>
                    </a:stretch>
                  </pic:blipFill>
                  <pic:spPr bwMode="auto">
                    <a:xfrm>
                      <a:off x="0" y="0"/>
                      <a:ext cx="5943600" cy="3840479"/>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5"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3" name="Picture"/>
            <a:graphic>
              <a:graphicData uri="http://schemas.openxmlformats.org/drawingml/2006/picture">
                <pic:pic>
                  <pic:nvPicPr>
                    <pic:cNvPr descr="manuscript_files/figure-docx/fig-scanpath-1.png" id="44" name="Picture"/>
                    <pic:cNvPicPr>
                      <a:picLocks noChangeArrowheads="1" noChangeAspect="1"/>
                    </pic:cNvPicPr>
                  </pic:nvPicPr>
                  <pic:blipFill>
                    <a:blip r:embed="rId42"/>
                    <a:stretch>
                      <a:fillRect/>
                    </a:stretch>
                  </pic:blipFill>
                  <pic:spPr bwMode="auto">
                    <a:xfrm>
                      <a:off x="0" y="0"/>
                      <a:ext cx="5943600" cy="658367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6"/>
    <w:bookmarkStart w:id="51"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fig-measures">
        <w:r>
          <w:rPr>
            <w:rStyle w:val="Hyperlink"/>
          </w:rPr>
          <w:t xml:space="preserve">Figure 3</w:t>
        </w:r>
      </w:hyperlink>
      <w:r>
        <w:t xml:space="preserve">).</w:t>
      </w:r>
    </w:p>
    <w:bookmarkStart w:id="50" w:name="fig-measures"/>
    <w:p>
      <w:pPr>
        <w:pStyle w:val="FigureTitle"/>
      </w:pPr>
      <w:r>
        <w:t xml:space="preserve">Figure 3</w:t>
      </w:r>
    </w:p>
    <w:p>
      <w:pPr>
        <w:pStyle w:val="Caption"/>
      </w:pPr>
      <w:r>
        <w:t xml:space="preserve">Eye-Movement Measures, Illustrated With a Schematic Reading Example</w:t>
      </w:r>
    </w:p>
    <w:p>
      <w:pPr>
        <w:pStyle w:val="FigureWithNote"/>
      </w:pPr>
      <w:r>
        <w:drawing>
          <wp:inline>
            <wp:extent cx="5943600" cy="3749039"/>
            <wp:effectExtent b="0" l="0" r="0" t="0"/>
            <wp:docPr descr="" title="" id="48" name="Picture"/>
            <a:graphic>
              <a:graphicData uri="http://schemas.openxmlformats.org/drawingml/2006/picture">
                <pic:pic>
                  <pic:nvPicPr>
                    <pic:cNvPr descr="manuscript_files/figure-docx/fig-measures-1.png" id="49" name="Picture"/>
                    <pic:cNvPicPr>
                      <a:picLocks noChangeArrowheads="1" noChangeAspect="1"/>
                    </pic:cNvPicPr>
                  </pic:nvPicPr>
                  <pic:blipFill>
                    <a:blip r:embed="rId47"/>
                    <a:stretch>
                      <a:fillRect/>
                    </a:stretch>
                  </pic:blipFill>
                  <pic:spPr bwMode="auto">
                    <a:xfrm>
                      <a:off x="0" y="0"/>
                      <a:ext cx="5943600" cy="3749039"/>
                    </a:xfrm>
                    <a:prstGeom prst="rect">
                      <a:avLst/>
                    </a:prstGeom>
                    <a:noFill/>
                    <a:ln w="9525">
                      <a:noFill/>
                      <a:headEnd/>
                      <a:tailEnd/>
                    </a:ln>
                  </pic:spPr>
                </pic:pic>
              </a:graphicData>
            </a:graphic>
          </wp:inline>
        </w:drawing>
      </w:r>
    </w:p>
    <w:bookmarkEnd w:id="50"/>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The circles are fixations, numbered in time order (arrows: saccades; dashed arrows: regressions; dotted arrows: moves to the next line); the shaded sentence is the target, and each fixation is coloured by the measure it counts towards for the target.</w:t>
      </w:r>
      <w:r>
        <w:t xml:space="preserve"> </w:t>
      </w:r>
      <w:r>
        <w:rPr>
          <w:i/>
          <w:iCs/>
        </w:rPr>
        <w:t xml:space="preserve">Selective regression-path duration</w:t>
      </w:r>
      <w:r>
        <w:t xml:space="preserve"> </w:t>
      </w:r>
      <w:r>
        <w:t xml:space="preserve">(first-pass reading; also called right-bounded reading time or selective go-past time) sums the fixations on the sentence from first entering it until the eyes first move past it to later text; fixations on earlier text during this period (here, 6) are not counted and do not end it.</w:t>
      </w:r>
      <w:r>
        <w:t xml:space="preserve"> </w:t>
      </w:r>
      <w:r>
        <w:rPr>
          <w:i/>
          <w:iCs/>
        </w:rPr>
        <w:t xml:space="preserve">Total gaze duration</w:t>
      </w:r>
      <w:r>
        <w:t xml:space="preserve"> </w:t>
      </w:r>
      <w:r>
        <w:t xml:space="preserve">sums all fixations on the sentence.</w:t>
      </w:r>
      <w:r>
        <w:t xml:space="preserve"> </w:t>
      </w:r>
      <w:r>
        <w:rPr>
          <w:i/>
          <w:iCs/>
        </w:rPr>
        <w:t xml:space="preserve">Regression-in</w:t>
      </w:r>
      <w:r>
        <w:t xml:space="preserve"> </w:t>
      </w:r>
      <w:r>
        <w:t xml:space="preserve">records whether the eyes returned to the sentence from later text (0/1).</w:t>
      </w:r>
      <w:r>
        <w:t xml:space="preserve"> </w:t>
      </w:r>
      <w:r>
        <w:rPr>
          <w:i/>
          <w:iCs/>
        </w:rPr>
        <w:t xml:space="preserve">Re-reading time</w:t>
      </w:r>
      <w:r>
        <w:t xml:space="preserve"> </w:t>
      </w:r>
      <w:r>
        <w:t xml:space="preserve">sums the fixations on the sentence after the reader had first moved on to later text (operationalizing the preregistered</w:t>
      </w:r>
      <w:r>
        <w:t xml:space="preserve"> </w:t>
      </w:r>
      <w:r>
        <w:t xml:space="preserve">“re-reading durations back to the prequestioned information”</w:t>
      </w:r>
      <w:r>
        <w:t xml:space="preserve">). Selective regression-path duration is defined only for sentences fixated before any later sentence (not skipped). The duration measures do not overlap: total gaze duration is the sum of selective regression-path duration, re-reading time, and any fixations made before reading started on the page. Global measures include later returns to the sentence; the local measure reflects processing when the sentence is first encountered. The preregistered first-pass duration (fixations until the sentence is first exited) would here be 3 + 4 + 5 only, cut short by the brief return at 6; it was replaced by selective regression-path duration (see Statistical Analysis). All durations were divided by the number of words in the sentence (ms per word).</w:t>
      </w:r>
    </w:p>
    <w:bookmarkEnd w:id="51"/>
    <w:bookmarkStart w:id="54"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52"/>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fig-measures">
        <w:r>
          <w:rPr>
            <w:rStyle w:val="Hyperlink"/>
          </w:rPr>
          <w:t xml:space="preserve">Figure 3</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3"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3"/>
    <w:bookmarkEnd w:id="54"/>
    <w:bookmarkEnd w:id="55"/>
    <w:bookmarkStart w:id="70" w:name="results"/>
    <w:p>
      <w:pPr>
        <w:pStyle w:val="Heading1"/>
      </w:pPr>
      <w:r>
        <w:t xml:space="preserve">Results</w:t>
      </w:r>
    </w:p>
    <w:bookmarkStart w:id="56"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6"/>
    <w:bookmarkStart w:id="61"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4</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4</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60" w:name="fig-test"/>
    <w:p>
      <w:pPr>
        <w:pStyle w:val="FigureTitle"/>
      </w:pPr>
      <w:r>
        <w:t xml:space="preserve">Figure 4</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8" name="Picture"/>
            <a:graphic>
              <a:graphicData uri="http://schemas.openxmlformats.org/drawingml/2006/picture">
                <pic:pic>
                  <pic:nvPicPr>
                    <pic:cNvPr descr="manuscript_files/figure-docx/fig-test-1.png" id="59" name="Picture"/>
                    <pic:cNvPicPr>
                      <a:picLocks noChangeArrowheads="1" noChangeAspect="1"/>
                    </pic:cNvPicPr>
                  </pic:nvPicPr>
                  <pic:blipFill>
                    <a:blip r:embed="rId57"/>
                    <a:stretch>
                      <a:fillRect/>
                    </a:stretch>
                  </pic:blipFill>
                  <pic:spPr bwMode="auto">
                    <a:xfrm>
                      <a:off x="0" y="0"/>
                      <a:ext cx="5943600" cy="3291839"/>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61"/>
    <w:bookmarkStart w:id="69" w:name="eye-movements"/>
    <w:p>
      <w:pPr>
        <w:pStyle w:val="Heading2"/>
      </w:pPr>
      <w:r>
        <w:t xml:space="preserve">Eye Movements</w:t>
      </w:r>
    </w:p>
    <w:p>
      <w:pPr>
        <w:pStyle w:val="FirstParagraph"/>
      </w:pPr>
      <w:r>
        <w:t xml:space="preserve">We first compare prequestioned and non-prequestioned sentences with the same sentences read by no-prequestion readers (</w:t>
      </w:r>
      <w:hyperlink w:anchor="tbl-status">
        <w:r>
          <w:rPr>
            <w:rStyle w:val="Hyperlink"/>
          </w:rPr>
          <w:t xml:space="preserve">Table 1</w:t>
        </w:r>
      </w:hyperlink>
      <w:r>
        <w:t xml:space="preserve">), and then test the preregistered Group × Topic crossover (</w:t>
      </w:r>
      <w:hyperlink w:anchor="fig-eye">
        <w:r>
          <w:rPr>
            <w:rStyle w:val="Hyperlink"/>
          </w:rPr>
          <w:t xml:space="preserve">Figure 5</w:t>
        </w:r>
      </w:hyperlink>
      <w:r>
        <w:t xml:space="preserve">).</w:t>
      </w:r>
      <w:r>
        <w:t xml:space="preserve"> </w:t>
      </w:r>
      <w:hyperlink w:anchor="fig-eye">
        <w:r>
          <w:rPr>
            <w:rStyle w:val="Hyperlink"/>
          </w:rPr>
          <w:t xml:space="preserve">Figure 5</w:t>
        </w:r>
      </w:hyperlink>
      <w:r>
        <w:t xml:space="preserve"> </w:t>
      </w:r>
      <w:r>
        <w:t xml:space="preserve">shows the posterior distributions of the means for every measure, pooled and by group.</w:t>
      </w:r>
    </w:p>
    <w:bookmarkStart w:id="63"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1</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1</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62" w:name="tbl-status"/>
    <w:p>
      <w:pPr>
        <w:pStyle w:val="FigureTitle"/>
      </w:pPr>
      <w:r>
        <w:t xml:space="preserve">Table 1</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62"/>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3"/>
    <w:bookmarkStart w:id="68"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5</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7" w:name="fig-eye"/>
    <w:p>
      <w:pPr>
        <w:pStyle w:val="FigureTitle"/>
      </w:pPr>
      <w:r>
        <w:t xml:space="preserve">Figure 5</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5" name="Picture"/>
            <a:graphic>
              <a:graphicData uri="http://schemas.openxmlformats.org/drawingml/2006/picture">
                <pic:pic>
                  <pic:nvPicPr>
                    <pic:cNvPr descr="manuscript_files/figure-docx/fig-eye-1.png" id="66" name="Picture"/>
                    <pic:cNvPicPr>
                      <a:picLocks noChangeArrowheads="1" noChangeAspect="1"/>
                    </pic:cNvPicPr>
                  </pic:nvPicPr>
                  <pic:blipFill>
                    <a:blip r:embed="rId64"/>
                    <a:stretch>
                      <a:fillRect/>
                    </a:stretch>
                  </pic:blipFill>
                  <pic:spPr bwMode="auto">
                    <a:xfrm>
                      <a:off x="0" y="0"/>
                      <a:ext cx="5943600" cy="9144000"/>
                    </a:xfrm>
                    <a:prstGeom prst="rect">
                      <a:avLst/>
                    </a:prstGeom>
                    <a:noFill/>
                    <a:ln w="9525">
                      <a:noFill/>
                      <a:headEnd/>
                      <a:tailEnd/>
                    </a:ln>
                  </pic:spPr>
                </pic:pic>
              </a:graphicData>
            </a:graphic>
          </wp:inline>
        </w:drawing>
      </w:r>
    </w:p>
    <w:bookmarkEnd w:id="67"/>
    <w:p>
      <w:pPr>
        <w:pStyle w:val="FigureNote"/>
      </w:pPr>
      <w:r>
        <w:rPr>
          <w:i/>
          <w:iCs/>
        </w:rPr>
        <w:t xml:space="preserve">Note</w:t>
      </w:r>
      <w:r>
        <w:t xml:space="preserve">. Posterior distributions of the model-estimated means, averaged over the observed sample.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8"/>
    <w:bookmarkEnd w:id="69"/>
    <w:bookmarkEnd w:id="70"/>
    <w:bookmarkStart w:id="71"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On the final test, prequestions produced the typical specific benefit and no general benefit, and each prequestion group did relatively better on its own topic (interaction contrast, extreme evidence). Eye movements showed the same specificity. Compared with the same sentences read without prequestions, prequestioned sentences received more unusually long readings, already during first-pass reading, were looked back to more often from later text, and were re-read for longer when readers returned to them; non-prequestioned sentences were read as they were without prequestions on every measure. In the Group × Topic comparisons, the interaction contrast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5</w:t>
        </w:r>
      </w:hyperlink>
      <w:r>
        <w:t xml:space="preserve">).</w:t>
      </w:r>
    </w:p>
    <w:p>
      <w:pPr>
        <w:pStyle w:val="BodyText"/>
      </w:pPr>
      <w:r>
        <w:t xml:space="preserve">These effects show what kind of attention prequestions recruit. Prequestions did not slow reading of the relevant material overall: the Bayes factors favoured no difference in typical reading time (μ), both in first-pass reading and in total gaze duration. Instead, the additional processing appeared on a subset of encounters, as occasional unusually long readings (τ), and in returns to the answers. It was also confined to the prequestioned sentences, so prequestions changed how readers treated their answers, not how they read the passage. This fits the absence of both a general benefit and a general cost in the meta-analysis of</w:t>
      </w:r>
      <w:r>
        <w:t xml:space="preserve"> </w:t>
      </w:r>
      <w:r>
        <w:t xml:space="preserve">King-Shepard et al. (</w:t>
      </w:r>
      <w:hyperlink w:anchor="ref-kingshepard2025">
        <w:r>
          <w:rPr>
            <w:rStyle w:val="Hyperlink"/>
          </w:rPr>
          <w:t xml:space="preserve">2025</w:t>
        </w:r>
      </w:hyperlink>
      <w:r>
        <w:t xml:space="preserve">)</w:t>
      </w:r>
      <w:r>
        <w:t xml:space="preserve">, and it argues against accounts on which prequestions raise curiosity or monitoring for the topic as a whole.</w:t>
      </w:r>
    </w:p>
    <w:p>
      <w:pPr>
        <w:pStyle w:val="BodyText"/>
      </w:pPr>
      <w:r>
        <w:t xml:space="preserve">We suggest that this additional processing is triggered when a reader recognizes that a sentence answers one of the prequestions.</w:t>
      </w:r>
      <w:r>
        <w:t xml:space="preserve"> </w:t>
      </w:r>
      <w:r>
        <w:t xml:space="preserve">Lewis and Mensink (</w:t>
      </w:r>
      <w:hyperlink w:anchor="ref-lewis2012">
        <w:r>
          <w:rPr>
            <w:rStyle w:val="Hyperlink"/>
          </w:rPr>
          <w:t xml:space="preserve">2012</w:t>
        </w:r>
      </w:hyperlink>
      <w:r>
        <w:t xml:space="preserve">)</w:t>
      </w:r>
      <w:r>
        <w:t xml:space="preserve"> </w:t>
      </w:r>
      <w:r>
        <w:t xml:space="preserve">proposed a similar mechanism: a sentence that shares words and meaning with a prequestion</w:t>
      </w:r>
      <w:r>
        <w:t xml:space="preserve"> </w:t>
      </w:r>
      <w:r>
        <w:t xml:space="preserve">“resonates”</w:t>
      </w:r>
      <w:r>
        <w:t xml:space="preserve"> </w:t>
      </w:r>
      <w:r>
        <w:t xml:space="preserve">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w:t>
      </w:r>
      <w:r>
        <w:t xml:space="preserve"> </w:t>
      </w:r>
      <w:r>
        <w:t xml:space="preserve">(</w:t>
      </w:r>
      <w:hyperlink w:anchor="ref-white2012">
        <w:r>
          <w:rPr>
            <w:rStyle w:val="Hyperlink"/>
          </w:rPr>
          <w:t xml:space="preserve">White &amp; Staub, 2012</w:t>
        </w:r>
      </w:hyperlink>
      <w:r>
        <w:t xml:space="preserve">)</w:t>
      </w:r>
      <w:r>
        <w:t xml:space="preserve">, prequestions lengthened only a subset of readings, as familiarity does in scene viewing</w:t>
      </w:r>
      <w:r>
        <w:t xml:space="preserve"> </w:t>
      </w:r>
      <w:r>
        <w:t xml:space="preserve">(</w:t>
      </w:r>
      <w:hyperlink w:anchor="ref-guy2020">
        <w:r>
          <w:rPr>
            <w:rStyle w:val="Hyperlink"/>
          </w:rPr>
          <w:t xml:space="preserve">Guy et al., 2020</w:t>
        </w:r>
      </w:hyperlink>
      <w:r>
        <w:t xml:space="preserve">)</w:t>
      </w:r>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The attentional-window account</w:t>
      </w:r>
      <w:r>
        <w:t xml:space="preserve"> </w:t>
      </w:r>
      <w:r>
        <w:t xml:space="preserve">(</w:t>
      </w:r>
      <w:hyperlink w:anchor="ref-sana2023">
        <w:r>
          <w:rPr>
            <w:rStyle w:val="Hyperlink"/>
          </w:rPr>
          <w:t xml:space="preserve">Sana &amp; Carpenter, 2023</w:t>
        </w:r>
      </w:hyperlink>
      <w:r>
        <w:t xml:space="preserve">)</w:t>
      </w:r>
      <w:r>
        <w:t xml:space="preserve"> </w:t>
      </w:r>
      <w:r>
        <w:t xml:space="preserve">explains the long readings—attention is heightened until an answer is found—but not the look-backs, because once an answer has been found attention should return to its usual level.</w:t>
      </w:r>
    </w:p>
    <w:p>
      <w:pPr>
        <w:pStyle w:val="BodyText"/>
      </w:pPr>
      <w:r>
        <w:t xml:space="preserve">The results also add to evidence that attention is not the whole story. If prequestions simply heightened attention to the content they address, that content should have been read more slowly throughout, shifting μ. Instead, processing increased only on some encounters with an answer and in later returns to it, consistent with findings that prequestions can improve learning without increasing study time</w:t>
      </w:r>
      <w:r>
        <w:t xml:space="preserve"> </w:t>
      </w:r>
      <w:r>
        <w:t xml:space="preserve">(</w:t>
      </w:r>
      <w:hyperlink w:anchor="ref-motz2026">
        <w:r>
          <w:rPr>
            <w:rStyle w:val="Hyperlink"/>
          </w:rPr>
          <w:t xml:space="preserve">Motz et al., 2026</w:t>
        </w:r>
      </w:hyperlink>
      <w:r>
        <w:t xml:space="preserve">)</w:t>
      </w:r>
      <w:r>
        <w:t xml:space="preserve">. This sequence—recognition first, attention after—is what the mental model hypothesis predicts</w:t>
      </w:r>
      <w:r>
        <w:t xml:space="preserve"> </w:t>
      </w:r>
      <w:r>
        <w:t xml:space="preserve">(</w:t>
      </w:r>
      <w:hyperlink w:anchor="ref-motz2026">
        <w:r>
          <w:rPr>
            <w:rStyle w:val="Hyperlink"/>
          </w:rPr>
          <w:t xml:space="preserve">Motz et al., 2026</w:t>
        </w:r>
      </w:hyperlink>
      <w:r>
        <w:t xml:space="preserve">)</w:t>
      </w:r>
      <w:r>
        <w:t xml:space="preserve">, although our non-prequestioned sentences, about the other disease, cannot show whether activated knowledge also helps related information on the prequestioned topic. The pauses and returns also resemble metacognitive monitoring, in which learners look for information that fills the gaps the prequestions revealed</w:t>
      </w:r>
      <w:r>
        <w:t xml:space="preserve"> </w:t>
      </w:r>
      <w:r>
        <w:t xml:space="preserve">(</w:t>
      </w:r>
      <w:hyperlink w:anchor="ref-kingshepard2025">
        <w:r>
          <w:rPr>
            <w:rStyle w:val="Hyperlink"/>
          </w:rPr>
          <w:t xml:space="preserve">King-Shepard et al., 2025</w:t>
        </w:r>
      </w:hyperlink>
      <w:r>
        <w:t xml:space="preserve">)</w:t>
      </w:r>
      <w:r>
        <w:t xml:space="preserve">; recognizing an answer is itself a metacognitive judgment. Eye movements alone cannot separate these accounts, but combining them with direct measures of metacognition, such as judgments of learning</w:t>
      </w:r>
      <w:r>
        <w:t xml:space="preserve"> </w:t>
      </w:r>
      <w:r>
        <w:t xml:space="preserve">(</w:t>
      </w:r>
      <w:hyperlink w:anchor="ref-kingshepard2025">
        <w:r>
          <w:rPr>
            <w:rStyle w:val="Hyperlink"/>
          </w:rPr>
          <w:t xml:space="preserve">King-Shepard et al., 2025</w:t>
        </w:r>
      </w:hyperlink>
      <w:r>
        <w:t xml:space="preserve">)</w:t>
      </w:r>
      <w:r>
        <w:t xml:space="preserve">, could. Nor can these data show that the additional processing produces the memory benefit: reading was observed rather than manipulated, and prequestions may also strengthen memory in ways that leave little trace in reading time. Experiments that control whether readers can return to the answers could test this.</w:t>
      </w:r>
    </w:p>
    <w:p>
      <w:pPr>
        <w:pStyle w:val="BodyText"/>
      </w:pPr>
      <w:r>
        <w:t xml:space="preserve">These findings agree with the two previous eye-tracking studies in showing that prequestions shift attention toward the information they address. Because our TB group read the same text as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after prequestions on the same topic, comparing it with the no-prequestion group on the TB material is close to a replication of that experiment (descriptive comparisons from the Group × Topic models). As in</w:t>
      </w:r>
      <w:r>
        <w:t xml:space="preserve"> </w:t>
      </w:r>
      <w:r>
        <w:t xml:space="preserve">Lewis and Mensink (</w:t>
      </w:r>
      <w:hyperlink w:anchor="ref-lewis2012">
        <w:r>
          <w:rPr>
            <w:rStyle w:val="Hyperlink"/>
          </w:rPr>
          <w:t xml:space="preserve">2012</w:t>
        </w:r>
      </w:hyperlink>
      <w:r>
        <w:t xml:space="preserve">)</w:t>
      </w:r>
      <w:r>
        <w:t xml:space="preserve">, TB prequestions improved memory for the TB information (11.8 percentage points, 95% CrI [5.3, 17.9]) and increased looking back to the TB sentences from later text (10.0 percentage points, 95% CrI [3.0, 16.9]) and the time spent re-reading them (38.6 ms per word, 95% CrI [12.2, 67.1]). Unlike</w:t>
      </w:r>
      <w:r>
        <w:t xml:space="preserve"> </w:t>
      </w:r>
      <w:r>
        <w:t xml:space="preserve">Lewis and Mensink (</w:t>
      </w:r>
      <w:hyperlink w:anchor="ref-lewis2012">
        <w:r>
          <w:rPr>
            <w:rStyle w:val="Hyperlink"/>
          </w:rPr>
          <w:t xml:space="preserve">2012</w:t>
        </w:r>
      </w:hyperlink>
      <w:r>
        <w:t xml:space="preserve">)</w:t>
      </w:r>
      <w:r>
        <w:t xml:space="preserve">, who found more re-inspection of the targeted sentences during first-pass reading, we found no reliable difference in first-pass reading of the TB sentences (μ: 6.2 ms per word, 95% CrI [−13.9, 26.9]; τ: 7.6 ms per word, 95% CrI [−19.6, 35.3]). Pooled over both prequestion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prequestions in a larger sample, measured re-reading as time on the sentence itself after the reader had moved on, and measured first-pass reading as selective regression-path duration</w:t>
      </w:r>
      <w:r>
        <w:t xml:space="preserve"> </w:t>
      </w:r>
      <w:r>
        <w:t xml:space="preserve">(</w:t>
      </w:r>
      <w:hyperlink w:anchor="ref-schotter2025">
        <w:r>
          <w:rPr>
            <w:rStyle w:val="Hyperlink"/>
          </w:rPr>
          <w:t xml:space="preserve">Schotter &amp; Dillon, 2025</w:t>
        </w:r>
      </w:hyperlink>
      <w:r>
        <w:t xml:space="preserve">)</w:t>
      </w:r>
      <w:r>
        <w:t xml:space="preserve">, because about half of first passes were cut short by a brief return to the preceding line.</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on prequestioned sentences and more transitions between them, paralleling our look-backs, but unlike most prequestion research they also found a general benefit. Their integrative prequestions required combining information across the text and may have directed attention to non-prequestioned information as well</w:t>
      </w:r>
      <w:r>
        <w:t xml:space="preserve"> </w:t>
      </w:r>
      <w:r>
        <w:t xml:space="preserve">(</w:t>
      </w:r>
      <w:hyperlink w:anchor="ref-pan2023">
        <w:r>
          <w:rPr>
            <w:rStyle w:val="Hyperlink"/>
          </w:rPr>
          <w:t xml:space="preserve">Pan &amp; Carpenter, 2023</w:t>
        </w:r>
      </w:hyperlink>
      <w:r>
        <w:t xml:space="preserve">)</w:t>
      </w:r>
      <w:r>
        <w:t xml:space="preserve">, whereas our prequestions about single facts did neither. With 12 participants per group, however, their estimates are imprecise.</w:t>
      </w:r>
    </w:p>
    <w:p>
      <w:pPr>
        <w:pStyle w:val="BodyText"/>
      </w:pPr>
      <w:r>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prequestions with differences between the materials. We therefore based our conclusions on the pooled comparisons, which compare the same sentences and questions with and without prequestions, and treated the Group × Topic contrasts as converging evidence. The topics also differed in how strongly prequestions affected them: the increase in look-backs and re-reading came mainly from the TB group, whose target sentences were already looked back to more often without prequestions. Future studies should control target sentences more closely—matching them across topics in length, reading level, position on the page, and wording overlap with the questions</w:t>
      </w:r>
      <w:r>
        <w:t xml:space="preserve"> </w:t>
      </w:r>
      <w:r>
        <w:t xml:space="preserve">(</w:t>
      </w:r>
      <w:hyperlink w:anchor="ref-lewis2012">
        <w:r>
          <w:rPr>
            <w:rStyle w:val="Hyperlink"/>
          </w:rPr>
          <w:t xml:space="preserve">Lewis &amp; Mensink, 2012</w:t>
        </w:r>
      </w:hyperlink>
      <w:r>
        <w:t xml:space="preserve">)</w:t>
      </w:r>
      <w:r>
        <w:t xml:space="preserve">, or varying which sentences serve as targets across versions of the text—and use more of them. The comparisons with the no-prequestion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Finally, eye movements were recorded without head stabilization, and vertical drift was corrected only within the calibration accuracy criterion.</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71"/>
    <w:p>
      <w:pPr>
        <w:pStyle w:val="Heading1"/>
      </w:pPr>
      <w:r>
        <w:t xml:space="preserve">References</w:t>
      </w:r>
    </w:p>
    <w:bookmarkStart w:id="231" w:name="refs"/>
    <w:bookmarkStart w:id="73"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72">
        <w:r>
          <w:rPr>
            <w:rStyle w:val="Hyperlink"/>
          </w:rPr>
          <w:t xml:space="preserve">https://doi.org/10.18637/jss.v111.i09</w:t>
        </w:r>
      </w:hyperlink>
    </w:p>
    <w:bookmarkEnd w:id="73"/>
    <w:bookmarkStart w:id="75"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4">
        <w:r>
          <w:rPr>
            <w:rStyle w:val="Hyperlink"/>
          </w:rPr>
          <w:t xml:space="preserve">https://doi.org/10.1080/02724980443000476</w:t>
        </w:r>
      </w:hyperlink>
    </w:p>
    <w:bookmarkEnd w:id="75"/>
    <w:bookmarkStart w:id="77"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6">
        <w:r>
          <w:rPr>
            <w:rStyle w:val="Hyperlink"/>
          </w:rPr>
          <w:t xml:space="preserve">https://doi.org/10.1177/0963721411408885</w:t>
        </w:r>
      </w:hyperlink>
    </w:p>
    <w:bookmarkEnd w:id="77"/>
    <w:bookmarkStart w:id="79"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8">
        <w:r>
          <w:rPr>
            <w:rStyle w:val="Hyperlink"/>
          </w:rPr>
          <w:t xml:space="preserve">https://doi.org/10.1016/j.jml.2012.11.001</w:t>
        </w:r>
      </w:hyperlink>
    </w:p>
    <w:bookmarkEnd w:id="79"/>
    <w:bookmarkStart w:id="81"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80">
        <w:r>
          <w:rPr>
            <w:rStyle w:val="Hyperlink"/>
          </w:rPr>
          <w:t xml:space="preserve">https://quanteda.io</w:t>
        </w:r>
      </w:hyperlink>
    </w:p>
    <w:bookmarkEnd w:id="81"/>
    <w:bookmarkStart w:id="83"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82">
        <w:r>
          <w:rPr>
            <w:rStyle w:val="Hyperlink"/>
          </w:rPr>
          <w:t xml:space="preserve">https://doi.org/10.21105/joss.00774</w:t>
        </w:r>
      </w:hyperlink>
    </w:p>
    <w:bookmarkEnd w:id="83"/>
    <w:bookmarkStart w:id="85"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4">
        <w:r>
          <w:rPr>
            <w:rStyle w:val="Hyperlink"/>
          </w:rPr>
          <w:t xml:space="preserve">https://doi.org/10.1111/j.2044-8295.1954.tb01243.x</w:t>
        </w:r>
      </w:hyperlink>
    </w:p>
    <w:bookmarkEnd w:id="85"/>
    <w:bookmarkStart w:id="87"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6">
        <w:r>
          <w:rPr>
            <w:rStyle w:val="Hyperlink"/>
          </w:rPr>
          <w:t xml:space="preserve">https://doi.org/10.1111/j.2044-8295.1962.tb00811.x</w:t>
        </w:r>
      </w:hyperlink>
    </w:p>
    <w:bookmarkEnd w:id="87"/>
    <w:bookmarkStart w:id="88"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8"/>
    <w:bookmarkStart w:id="90"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9">
        <w:r>
          <w:rPr>
            <w:rStyle w:val="Hyperlink"/>
          </w:rPr>
          <w:t xml:space="preserve">https://doi.org/10.1146/annurev-psych-113011-143823</w:t>
        </w:r>
      </w:hyperlink>
    </w:p>
    <w:bookmarkEnd w:id="90"/>
    <w:bookmarkStart w:id="92"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91">
        <w:r>
          <w:rPr>
            <w:rStyle w:val="Hyperlink"/>
          </w:rPr>
          <w:t xml:space="preserve">https://doi.org/10.1080/00220973.2024.2355980</w:t>
        </w:r>
      </w:hyperlink>
    </w:p>
    <w:bookmarkEnd w:id="92"/>
    <w:bookmarkStart w:id="94"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3">
        <w:r>
          <w:rPr>
            <w:rStyle w:val="Hyperlink"/>
          </w:rPr>
          <w:t xml:space="preserve">https://doi.org/10.18637/jss.v080.i01</w:t>
        </w:r>
      </w:hyperlink>
    </w:p>
    <w:bookmarkEnd w:id="94"/>
    <w:bookmarkStart w:id="96"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5">
        <w:r>
          <w:rPr>
            <w:rStyle w:val="Hyperlink"/>
          </w:rPr>
          <w:t xml:space="preserve">https://doi.org/10.18637/jss.v076.i01</w:t>
        </w:r>
      </w:hyperlink>
    </w:p>
    <w:bookmarkEnd w:id="96"/>
    <w:bookmarkStart w:id="98"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7">
        <w:r>
          <w:rPr>
            <w:rStyle w:val="Hyperlink"/>
          </w:rPr>
          <w:t xml:space="preserve">https://doi.org/10.1177/0963721412452728</w:t>
        </w:r>
      </w:hyperlink>
    </w:p>
    <w:bookmarkEnd w:id="98"/>
    <w:bookmarkStart w:id="99"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9"/>
    <w:bookmarkStart w:id="101"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100">
        <w:r>
          <w:rPr>
            <w:rStyle w:val="Hyperlink"/>
          </w:rPr>
          <w:t xml:space="preserve">https://doi.org/10.1037/xap0000145</w:t>
        </w:r>
      </w:hyperlink>
    </w:p>
    <w:bookmarkEnd w:id="101"/>
    <w:bookmarkStart w:id="103"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102">
        <w:r>
          <w:rPr>
            <w:rStyle w:val="Hyperlink"/>
          </w:rPr>
          <w:t xml:space="preserve">https://doi.org/10.1016/j.jarmac.2016.07.014</w:t>
        </w:r>
      </w:hyperlink>
    </w:p>
    <w:bookmarkEnd w:id="103"/>
    <w:bookmarkStart w:id="105"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4">
        <w:r>
          <w:rPr>
            <w:rStyle w:val="Hyperlink"/>
          </w:rPr>
          <w:t xml:space="preserve">https://doi.org/10.3758/s13428-021-01554-0</w:t>
        </w:r>
      </w:hyperlink>
    </w:p>
    <w:bookmarkEnd w:id="105"/>
    <w:bookmarkStart w:id="107"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6">
        <w:r>
          <w:rPr>
            <w:rStyle w:val="Hyperlink"/>
          </w:rPr>
          <w:t xml:space="preserve">https://doi.org/10.1016/S0022-5371(80)90312-6</w:t>
        </w:r>
      </w:hyperlink>
    </w:p>
    <w:bookmarkEnd w:id="107"/>
    <w:bookmarkStart w:id="109"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8">
        <w:r>
          <w:rPr>
            <w:rStyle w:val="Hyperlink"/>
          </w:rPr>
          <w:t xml:space="preserve">https://doi.org/10.1007/s10639-022-11486-7</w:t>
        </w:r>
      </w:hyperlink>
    </w:p>
    <w:bookmarkEnd w:id="109"/>
    <w:bookmarkStart w:id="111"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10">
        <w:r>
          <w:rPr>
            <w:rStyle w:val="Hyperlink"/>
          </w:rPr>
          <w:t xml:space="preserve">https://doi.org/10.1177/1529100612453266</w:t>
        </w:r>
      </w:hyperlink>
    </w:p>
    <w:bookmarkEnd w:id="111"/>
    <w:bookmarkStart w:id="113"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12">
        <w:r>
          <w:rPr>
            <w:rStyle w:val="Hyperlink"/>
          </w:rPr>
          <w:t xml:space="preserve">https://github.com/sfirke/janitor</w:t>
        </w:r>
      </w:hyperlink>
    </w:p>
    <w:bookmarkEnd w:id="113"/>
    <w:bookmarkStart w:id="115"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4">
        <w:r>
          <w:rPr>
            <w:rStyle w:val="Hyperlink"/>
          </w:rPr>
          <w:t xml:space="preserve">https://mc-stan.org/cmdstanr/</w:t>
        </w:r>
      </w:hyperlink>
    </w:p>
    <w:bookmarkEnd w:id="115"/>
    <w:bookmarkStart w:id="117" w:name="ref-R-irr"/>
    <w:p>
      <w:pPr>
        <w:pStyle w:val="Bibliography"/>
      </w:pPr>
      <w:r>
        <w:t xml:space="preserve">Gamer, M., Lemon, J., Fellows, I., &amp; Singh, P. (2026).</w:t>
      </w:r>
      <w:r>
        <w:t xml:space="preserve"> </w:t>
      </w:r>
      <w:r>
        <w:rPr>
          <w:i/>
          <w:iCs/>
        </w:rPr>
        <w:t xml:space="preserve">Irr: Various coefficients of interrater reliability and agreement</w:t>
      </w:r>
      <w:r>
        <w:t xml:space="preserve">.</w:t>
      </w:r>
      <w:r>
        <w:t xml:space="preserve"> </w:t>
      </w:r>
      <w:hyperlink r:id="rId116">
        <w:r>
          <w:rPr>
            <w:rStyle w:val="Hyperlink"/>
          </w:rPr>
          <w:t xml:space="preserve">https://www.r-project.org</w:t>
        </w:r>
      </w:hyperlink>
    </w:p>
    <w:bookmarkEnd w:id="117"/>
    <w:bookmarkStart w:id="119"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18">
        <w:r>
          <w:rPr>
            <w:rStyle w:val="Hyperlink"/>
          </w:rPr>
          <w:t xml:space="preserve">https://doi.org/10.1186/s41235-017-0078-z</w:t>
        </w:r>
      </w:hyperlink>
    </w:p>
    <w:bookmarkEnd w:id="119"/>
    <w:bookmarkStart w:id="121"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20">
        <w:r>
          <w:rPr>
            <w:rStyle w:val="Hyperlink"/>
          </w:rPr>
          <w:t xml:space="preserve">https://doi.org/10.1167/jov.20.10.9</w:t>
        </w:r>
      </w:hyperlink>
    </w:p>
    <w:bookmarkEnd w:id="121"/>
    <w:bookmarkStart w:id="123"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22">
        <w:r>
          <w:rPr>
            <w:rStyle w:val="Hyperlink"/>
          </w:rPr>
          <w:t xml:space="preserve">https://doi.org/10.3758/s13423-011-0181-y</w:t>
        </w:r>
      </w:hyperlink>
    </w:p>
    <w:bookmarkEnd w:id="123"/>
    <w:bookmarkStart w:id="124"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24"/>
    <w:bookmarkStart w:id="126"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5">
        <w:r>
          <w:rPr>
            <w:rStyle w:val="Hyperlink"/>
          </w:rPr>
          <w:t xml:space="preserve">https://doi.org/10.1007/s11222-023-10366-5</w:t>
        </w:r>
      </w:hyperlink>
    </w:p>
    <w:bookmarkEnd w:id="126"/>
    <w:bookmarkStart w:id="128"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7">
        <w:r>
          <w:rPr>
            <w:rStyle w:val="Hyperlink"/>
          </w:rPr>
          <w:t xml:space="preserve">https://doi.org/10.1109/TVCG.2023.3327195</w:t>
        </w:r>
      </w:hyperlink>
    </w:p>
    <w:bookmarkEnd w:id="128"/>
    <w:bookmarkStart w:id="129"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9"/>
    <w:bookmarkStart w:id="131"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30">
        <w:r>
          <w:rPr>
            <w:rStyle w:val="Hyperlink"/>
          </w:rPr>
          <w:t xml:space="preserve">https://doi.org/10.1007/s10648-025-10075-7</w:t>
        </w:r>
      </w:hyperlink>
    </w:p>
    <w:bookmarkEnd w:id="131"/>
    <w:bookmarkStart w:id="133"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32">
        <w:r>
          <w:rPr>
            <w:rStyle w:val="Hyperlink"/>
          </w:rPr>
          <w:t xml:space="preserve">https://doi.org/10.1016/j.jcm.2016.02.012</w:t>
        </w:r>
      </w:hyperlink>
    </w:p>
    <w:bookmarkEnd w:id="133"/>
    <w:bookmarkStart w:id="135"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34">
        <w:r>
          <w:rPr>
            <w:rStyle w:val="Hyperlink"/>
          </w:rPr>
          <w:t xml:space="preserve">https://doi.org/10.1037/a0015729</w:t>
        </w:r>
      </w:hyperlink>
    </w:p>
    <w:bookmarkEnd w:id="135"/>
    <w:bookmarkStart w:id="137"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6">
        <w:r>
          <w:rPr>
            <w:rStyle w:val="Hyperlink"/>
          </w:rPr>
          <w:t xml:space="preserve">https://doi.org/10.1016/bs.plm.2016.03.003</w:t>
        </w:r>
      </w:hyperlink>
    </w:p>
    <w:bookmarkEnd w:id="137"/>
    <w:bookmarkStart w:id="139"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8">
        <w:r>
          <w:rPr>
            <w:rStyle w:val="Hyperlink"/>
          </w:rPr>
          <w:t xml:space="preserve">https://doi.org/10.3758/s13428-021-01546-0</w:t>
        </w:r>
      </w:hyperlink>
    </w:p>
    <w:bookmarkEnd w:id="139"/>
    <w:bookmarkStart w:id="141"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40">
        <w:r>
          <w:rPr>
            <w:rStyle w:val="Hyperlink"/>
          </w:rPr>
          <w:t xml:space="preserve">https://doi.org/10.1017/CBO9781139087759</w:t>
        </w:r>
      </w:hyperlink>
    </w:p>
    <w:bookmarkEnd w:id="141"/>
    <w:bookmarkStart w:id="143"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42">
        <w:r>
          <w:rPr>
            <w:rStyle w:val="Hyperlink"/>
          </w:rPr>
          <w:t xml:space="preserve">https://doi.org/10.1080/0163853X.2012.662801</w:t>
        </w:r>
      </w:hyperlink>
    </w:p>
    <w:bookmarkEnd w:id="143"/>
    <w:bookmarkStart w:id="144"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44"/>
    <w:bookmarkStart w:id="146"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5">
        <w:r>
          <w:rPr>
            <w:rStyle w:val="Hyperlink"/>
          </w:rPr>
          <w:t xml:space="preserve">https://doi.org/10.3389/fpsyg.2015.01171</w:t>
        </w:r>
      </w:hyperlink>
    </w:p>
    <w:bookmarkEnd w:id="146"/>
    <w:bookmarkStart w:id="148"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7">
        <w:r>
          <w:rPr>
            <w:rStyle w:val="Hyperlink"/>
          </w:rPr>
          <w:t xml:space="preserve">https://doi.org/10.21105/joss.01412</w:t>
        </w:r>
      </w:hyperlink>
    </w:p>
    <w:bookmarkEnd w:id="148"/>
    <w:bookmarkStart w:id="150"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9">
        <w:r>
          <w:rPr>
            <w:rStyle w:val="Hyperlink"/>
          </w:rPr>
          <w:t xml:space="preserve">https://doi.org/10.1073/pnas.2016980118</w:t>
        </w:r>
      </w:hyperlink>
    </w:p>
    <w:bookmarkEnd w:id="150"/>
    <w:bookmarkStart w:id="152"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51">
        <w:r>
          <w:rPr>
            <w:rStyle w:val="Hyperlink"/>
          </w:rPr>
          <w:t xml:space="preserve">https://github.com/DominiqueMakowski/cogmod</w:t>
        </w:r>
      </w:hyperlink>
    </w:p>
    <w:bookmarkEnd w:id="152"/>
    <w:bookmarkStart w:id="154"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53">
        <w:r>
          <w:rPr>
            <w:rStyle w:val="Hyperlink"/>
          </w:rPr>
          <w:t xml:space="preserve">https://doi.org/10.3389/fpsyg.2019.02767</w:t>
        </w:r>
      </w:hyperlink>
    </w:p>
    <w:bookmarkEnd w:id="154"/>
    <w:bookmarkStart w:id="156"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5">
        <w:r>
          <w:rPr>
            <w:rStyle w:val="Hyperlink"/>
          </w:rPr>
          <w:t xml:space="preserve">https://doi.org/10.21105/joss.01541</w:t>
        </w:r>
      </w:hyperlink>
    </w:p>
    <w:bookmarkEnd w:id="156"/>
    <w:bookmarkStart w:id="158"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7">
        <w:r>
          <w:rPr>
            <w:rStyle w:val="Hyperlink"/>
          </w:rPr>
          <w:t xml:space="preserve">https://doi.org/10.21105/joss.07969</w:t>
        </w:r>
      </w:hyperlink>
    </w:p>
    <w:bookmarkEnd w:id="158"/>
    <w:bookmarkStart w:id="160"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9">
        <w:r>
          <w:rPr>
            <w:rStyle w:val="Hyperlink"/>
          </w:rPr>
          <w:t xml:space="preserve">https://doi.org/10.3758/PBR.16.5.798</w:t>
        </w:r>
      </w:hyperlink>
    </w:p>
    <w:bookmarkEnd w:id="160"/>
    <w:bookmarkStart w:id="162"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61">
        <w:r>
          <w:rPr>
            <w:rStyle w:val="Hyperlink"/>
          </w:rPr>
          <w:t xml:space="preserve">https://doi.org/10.1016/S0079-7421(09)51009-2</w:t>
        </w:r>
      </w:hyperlink>
    </w:p>
    <w:bookmarkEnd w:id="162"/>
    <w:bookmarkStart w:id="164"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63">
        <w:r>
          <w:rPr>
            <w:rStyle w:val="Hyperlink"/>
          </w:rPr>
          <w:t xml:space="preserve">https://doi.org/10.1037/edu0000978</w:t>
        </w:r>
      </w:hyperlink>
    </w:p>
    <w:bookmarkEnd w:id="164"/>
    <w:bookmarkStart w:id="165"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5"/>
    <w:bookmarkStart w:id="167"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6">
        <w:r>
          <w:rPr>
            <w:rStyle w:val="Hyperlink"/>
          </w:rPr>
          <w:t xml:space="preserve">https://doi.org/10.1007/s10648-023-09814-5</w:t>
        </w:r>
      </w:hyperlink>
    </w:p>
    <w:bookmarkEnd w:id="167"/>
    <w:bookmarkStart w:id="169"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8">
        <w:r>
          <w:rPr>
            <w:rStyle w:val="Hyperlink"/>
          </w:rPr>
          <w:t xml:space="preserve">https://patchwork.data-imaginist.com</w:t>
        </w:r>
      </w:hyperlink>
    </w:p>
    <w:bookmarkEnd w:id="169"/>
    <w:bookmarkStart w:id="171"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70">
        <w:r>
          <w:rPr>
            <w:rStyle w:val="Hyperlink"/>
          </w:rPr>
          <w:t xml:space="preserve">https://doi.org/10.1080/10888430701530730</w:t>
        </w:r>
      </w:hyperlink>
    </w:p>
    <w:bookmarkEnd w:id="171"/>
    <w:bookmarkStart w:id="173"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72">
        <w:r>
          <w:rPr>
            <w:rStyle w:val="Hyperlink"/>
          </w:rPr>
          <w:t xml:space="preserve">https://doi.org/10.32614/R.manuals</w:t>
        </w:r>
      </w:hyperlink>
    </w:p>
    <w:bookmarkEnd w:id="173"/>
    <w:bookmarkStart w:id="175"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74">
        <w:r>
          <w:rPr>
            <w:rStyle w:val="Hyperlink"/>
          </w:rPr>
          <w:t xml:space="preserve">https://doi.org/10.1037/0033-2909.124.3.372</w:t>
        </w:r>
      </w:hyperlink>
    </w:p>
    <w:bookmarkEnd w:id="175"/>
    <w:bookmarkStart w:id="177"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6">
        <w:r>
          <w:rPr>
            <w:rStyle w:val="Hyperlink"/>
          </w:rPr>
          <w:t xml:space="preserve">https://doi.org/10.1080/17470210902816461</w:t>
        </w:r>
      </w:hyperlink>
    </w:p>
    <w:bookmarkEnd w:id="177"/>
    <w:bookmarkStart w:id="179"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8">
        <w:r>
          <w:rPr>
            <w:rStyle w:val="Hyperlink"/>
          </w:rPr>
          <w:t xml:space="preserve">https://doi.org/10.1037/a0016496</w:t>
        </w:r>
      </w:hyperlink>
    </w:p>
    <w:bookmarkEnd w:id="179"/>
    <w:bookmarkStart w:id="181"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80">
        <w:r>
          <w:rPr>
            <w:rStyle w:val="Hyperlink"/>
          </w:rPr>
          <w:t xml:space="preserve">https://doi.org/10.1002/acp.70165</w:t>
        </w:r>
      </w:hyperlink>
    </w:p>
    <w:bookmarkEnd w:id="181"/>
    <w:bookmarkStart w:id="183"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82">
        <w:r>
          <w:rPr>
            <w:rStyle w:val="Hyperlink"/>
          </w:rPr>
          <w:t xml:space="preserve">https://doi.org/10.1111/j.1745-6916.2006.00012.x</w:t>
        </w:r>
      </w:hyperlink>
    </w:p>
    <w:bookmarkEnd w:id="183"/>
    <w:bookmarkStart w:id="185"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84">
        <w:r>
          <w:rPr>
            <w:rStyle w:val="Hyperlink"/>
          </w:rPr>
          <w:t xml:space="preserve">https://doi.org/10.1037/0022-0663.71.3.310</w:t>
        </w:r>
      </w:hyperlink>
    </w:p>
    <w:bookmarkEnd w:id="185"/>
    <w:bookmarkStart w:id="187"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6">
        <w:r>
          <w:rPr>
            <w:rStyle w:val="Hyperlink"/>
          </w:rPr>
          <w:t xml:space="preserve">https://doi.org/10.1037/a0037559</w:t>
        </w:r>
      </w:hyperlink>
    </w:p>
    <w:bookmarkEnd w:id="187"/>
    <w:bookmarkStart w:id="189"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8">
        <w:r>
          <w:rPr>
            <w:rStyle w:val="Hyperlink"/>
          </w:rPr>
          <w:t xml:space="preserve">https://doi.org/10.1145/355017.355028</w:t>
        </w:r>
      </w:hyperlink>
    </w:p>
    <w:bookmarkEnd w:id="189"/>
    <w:bookmarkStart w:id="191"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90">
        <w:r>
          <w:rPr>
            <w:rStyle w:val="Hyperlink"/>
          </w:rPr>
          <w:t xml:space="preserve">https://doi.org/10.3758/s13423-023-02274-6</w:t>
        </w:r>
      </w:hyperlink>
    </w:p>
    <w:bookmarkEnd w:id="191"/>
    <w:bookmarkStart w:id="193"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92">
        <w:r>
          <w:rPr>
            <w:rStyle w:val="Hyperlink"/>
          </w:rPr>
          <w:t xml:space="preserve">https://doi.org/10.1187/cbe.19-11-0257</w:t>
        </w:r>
      </w:hyperlink>
    </w:p>
    <w:bookmarkEnd w:id="193"/>
    <w:bookmarkStart w:id="195"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94">
        <w:r>
          <w:rPr>
            <w:rStyle w:val="Hyperlink"/>
          </w:rPr>
          <w:t xml:space="preserve">https://doi.org/10.3758/s13428-024-02572-4</w:t>
        </w:r>
      </w:hyperlink>
    </w:p>
    <w:bookmarkEnd w:id="195"/>
    <w:bookmarkStart w:id="197"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6">
        <w:r>
          <w:rPr>
            <w:rStyle w:val="Hyperlink"/>
          </w:rPr>
          <w:t xml:space="preserve">https://doi.org/10.31234/osf.io/bzt2h_v1</w:t>
        </w:r>
      </w:hyperlink>
    </w:p>
    <w:bookmarkEnd w:id="197"/>
    <w:bookmarkStart w:id="199"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8">
        <w:r>
          <w:rPr>
            <w:rStyle w:val="Hyperlink"/>
          </w:rPr>
          <w:t xml:space="preserve">https://doi.org/10.1037/0033-2909.86.2.420</w:t>
        </w:r>
      </w:hyperlink>
    </w:p>
    <w:bookmarkEnd w:id="199"/>
    <w:bookmarkStart w:id="200"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200"/>
    <w:bookmarkStart w:id="202"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201">
        <w:r>
          <w:rPr>
            <w:rStyle w:val="Hyperlink"/>
          </w:rPr>
          <w:t xml:space="preserve">https://doi.org/10.1007/s10648-023-09805-6</w:t>
        </w:r>
      </w:hyperlink>
    </w:p>
    <w:bookmarkEnd w:id="202"/>
    <w:bookmarkStart w:id="204"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203">
        <w:r>
          <w:rPr>
            <w:rStyle w:val="Hyperlink"/>
          </w:rPr>
          <w:t xml:space="preserve">https://doi.org/10.1037/xap0000296</w:t>
        </w:r>
      </w:hyperlink>
    </w:p>
    <w:bookmarkEnd w:id="204"/>
    <w:bookmarkStart w:id="206"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5">
        <w:r>
          <w:rPr>
            <w:rStyle w:val="Hyperlink"/>
          </w:rPr>
          <w:t xml:space="preserve">https://doi.org/10.1080/09658211.2019.1641209</w:t>
        </w:r>
      </w:hyperlink>
    </w:p>
    <w:bookmarkEnd w:id="206"/>
    <w:bookmarkStart w:id="208"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7">
        <w:r>
          <w:rPr>
            <w:rStyle w:val="Hyperlink"/>
          </w:rPr>
          <w:t xml:space="preserve">https://doi.org/10.3758/s13423-023-02353-8</w:t>
        </w:r>
      </w:hyperlink>
    </w:p>
    <w:bookmarkEnd w:id="208"/>
    <w:bookmarkStart w:id="210"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9">
        <w:r>
          <w:rPr>
            <w:rStyle w:val="Hyperlink"/>
          </w:rPr>
          <w:t xml:space="preserve">https://doi.org/10.1037/a0016896</w:t>
        </w:r>
      </w:hyperlink>
    </w:p>
    <w:bookmarkEnd w:id="210"/>
    <w:bookmarkStart w:id="212"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11">
        <w:r>
          <w:rPr>
            <w:rStyle w:val="Hyperlink"/>
          </w:rPr>
          <w:t xml:space="preserve">https://doi.org/10.18653/v1/K17-3009</w:t>
        </w:r>
      </w:hyperlink>
    </w:p>
    <w:bookmarkEnd w:id="212"/>
    <w:bookmarkStart w:id="214" w:name="ref-R-png"/>
    <w:p>
      <w:pPr>
        <w:pStyle w:val="Bibliography"/>
      </w:pPr>
      <w:r>
        <w:t xml:space="preserve">Urbanek, S. (2026).</w:t>
      </w:r>
      <w:r>
        <w:t xml:space="preserve"> </w:t>
      </w:r>
      <w:r>
        <w:rPr>
          <w:i/>
          <w:iCs/>
        </w:rPr>
        <w:t xml:space="preserve">Png: Read and write PNG images</w:t>
      </w:r>
      <w:r>
        <w:t xml:space="preserve">.</w:t>
      </w:r>
      <w:r>
        <w:t xml:space="preserve"> </w:t>
      </w:r>
      <w:hyperlink r:id="rId213">
        <w:r>
          <w:rPr>
            <w:rStyle w:val="Hyperlink"/>
          </w:rPr>
          <w:t xml:space="preserve">https://www.rforge.net/png/</w:t>
        </w:r>
      </w:hyperlink>
    </w:p>
    <w:bookmarkEnd w:id="214"/>
    <w:bookmarkStart w:id="216"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5">
        <w:r>
          <w:rPr>
            <w:rStyle w:val="Hyperlink"/>
          </w:rPr>
          <w:t xml:space="preserve">https://doi.org/10.1016/j.cogpsych.2009.12.001</w:t>
        </w:r>
      </w:hyperlink>
    </w:p>
    <w:bookmarkEnd w:id="216"/>
    <w:bookmarkStart w:id="218"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7">
        <w:r>
          <w:rPr>
            <w:rStyle w:val="Hyperlink"/>
          </w:rPr>
          <w:t xml:space="preserve">https://doi.org/10.1037/a0025338</w:t>
        </w:r>
      </w:hyperlink>
    </w:p>
    <w:bookmarkEnd w:id="218"/>
    <w:bookmarkStart w:id="220"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9">
        <w:r>
          <w:rPr>
            <w:rStyle w:val="Hyperlink"/>
          </w:rPr>
          <w:t xml:space="preserve">https://doi.org/10.21105/joss.01686</w:t>
        </w:r>
      </w:hyperlink>
    </w:p>
    <w:bookmarkEnd w:id="220"/>
    <w:bookmarkStart w:id="222"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21">
        <w:r>
          <w:rPr>
            <w:rStyle w:val="Hyperlink"/>
          </w:rPr>
          <w:t xml:space="preserve">https://scales.r-lib.org</w:t>
        </w:r>
      </w:hyperlink>
    </w:p>
    <w:bookmarkEnd w:id="222"/>
    <w:bookmarkStart w:id="224"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23">
        <w:r>
          <w:rPr>
            <w:rStyle w:val="Hyperlink"/>
          </w:rPr>
          <w:t xml:space="preserve">https://bnosac.github.io/udpipe/en/index.html</w:t>
        </w:r>
      </w:hyperlink>
    </w:p>
    <w:bookmarkEnd w:id="224"/>
    <w:bookmarkStart w:id="226"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5">
        <w:r>
          <w:rPr>
            <w:rStyle w:val="Hyperlink"/>
          </w:rPr>
          <w:t xml:space="preserve">https://yihui.org/knitr/</w:t>
        </w:r>
      </w:hyperlink>
    </w:p>
    <w:bookmarkEnd w:id="226"/>
    <w:bookmarkStart w:id="228"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7">
        <w:r>
          <w:rPr>
            <w:rStyle w:val="Hyperlink"/>
          </w:rPr>
          <w:t xml:space="preserve">https://github.com/yihui/xfun</w:t>
        </w:r>
      </w:hyperlink>
    </w:p>
    <w:bookmarkEnd w:id="228"/>
    <w:bookmarkStart w:id="230"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9">
        <w:r>
          <w:rPr>
            <w:rStyle w:val="Hyperlink"/>
          </w:rPr>
          <w:t xml:space="preserve">https://doi.org/10.1016/j.lindif.2021.102055</w:t>
        </w:r>
      </w:hyperlink>
    </w:p>
    <w:bookmarkEnd w:id="230"/>
    <w:bookmarkEnd w:id="231"/>
    <w:p>
      <w:pPr>
        <w:pStyle w:val="Heading1"/>
      </w:pPr>
      <w:r>
        <w:t xml:space="preserve">Appendix A</w:t>
      </w:r>
    </w:p>
    <w:bookmarkStart w:id="234"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32"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32"/>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33"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33"/>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34"/>
    <w:p>
      <w:pPr>
        <w:pStyle w:val="Heading1"/>
      </w:pPr>
      <w:r>
        <w:t xml:space="preserve">Appendix B</w:t>
      </w:r>
    </w:p>
    <w:bookmarkStart w:id="236" w:name="apx-b"/>
    <w:p>
      <w:pPr>
        <w:pStyle w:val="Heading1"/>
      </w:pPr>
      <w:r>
        <w:t xml:space="preserve">Model Specifications</w:t>
      </w:r>
    </w:p>
    <w:bookmarkStart w:id="235"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5"/>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6"/>
    <w:p>
      <w:pPr>
        <w:pStyle w:val="Heading1"/>
      </w:pPr>
      <w:r>
        <w:t xml:space="preserve">Appendix C</w:t>
      </w:r>
    </w:p>
    <w:bookmarkStart w:id="238" w:name="apx-c"/>
    <w:p>
      <w:pPr>
        <w:pStyle w:val="Heading1"/>
      </w:pPr>
      <w:r>
        <w:t xml:space="preserve">Deviations From the Preregistration</w:t>
      </w:r>
    </w:p>
    <w:bookmarkStart w:id="237"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7"/>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8"/>
    <w:p>
      <w:pPr>
        <w:pStyle w:val="Heading1"/>
      </w:pPr>
      <w:r>
        <w:t xml:space="preserve">Appendix D</w:t>
      </w:r>
    </w:p>
    <w:bookmarkStart w:id="239"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sectPr>
      <w:lnNumType w:countBy="1" w:restart="continuous"/>
    </w:sectPr>
    <w:bookmarkEnd w:id="23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irr 0.85</w:t>
      </w:r>
      <w:r>
        <w:t xml:space="preserve"> </w:t>
      </w:r>
      <w:r>
        <w:t xml:space="preserve">(</w:t>
      </w:r>
      <w:hyperlink w:anchor="ref-R-irr">
        <w:r>
          <w:rPr>
            <w:rStyle w:val="Hyperlink"/>
          </w:rPr>
          <w:t xml:space="preserve">Gamer et al.,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57" Target="media/rId57.png" /><Relationship Type="http://schemas.openxmlformats.org/officeDocument/2006/relationships/hyperlink" Id="rId223" Target="https://bnosac.github.io/udpipe/en/index.html" TargetMode="External" /><Relationship Type="http://schemas.openxmlformats.org/officeDocument/2006/relationships/hyperlink" Id="rId180" Target="https://doi.org/10.1002/acp.70165" TargetMode="External" /><Relationship Type="http://schemas.openxmlformats.org/officeDocument/2006/relationships/hyperlink" Id="rId108" Target="https://doi.org/10.1007/s10639-022-11486-7" TargetMode="External" /><Relationship Type="http://schemas.openxmlformats.org/officeDocument/2006/relationships/hyperlink" Id="rId201" Target="https://doi.org/10.1007/s10648-023-09805-6" TargetMode="External" /><Relationship Type="http://schemas.openxmlformats.org/officeDocument/2006/relationships/hyperlink" Id="rId166" Target="https://doi.org/10.1007/s10648-023-09814-5" TargetMode="External" /><Relationship Type="http://schemas.openxmlformats.org/officeDocument/2006/relationships/hyperlink" Id="rId130" Target="https://doi.org/10.1007/s10648-025-10075-7" TargetMode="External" /><Relationship Type="http://schemas.openxmlformats.org/officeDocument/2006/relationships/hyperlink" Id="rId125" Target="https://doi.org/10.1007/s11222-023-10366-5" TargetMode="External" /><Relationship Type="http://schemas.openxmlformats.org/officeDocument/2006/relationships/hyperlink" Id="rId106" Target="https://doi.org/10.1016/S0022-5371(80)90312-6" TargetMode="External" /><Relationship Type="http://schemas.openxmlformats.org/officeDocument/2006/relationships/hyperlink" Id="rId161" Target="https://doi.org/10.1016/S0079-7421(09)51009-2" TargetMode="External" /><Relationship Type="http://schemas.openxmlformats.org/officeDocument/2006/relationships/hyperlink" Id="rId136" Target="https://doi.org/10.1016/bs.plm.2016.03.003" TargetMode="External" /><Relationship Type="http://schemas.openxmlformats.org/officeDocument/2006/relationships/hyperlink" Id="rId215" Target="https://doi.org/10.1016/j.cogpsych.2009.12.001" TargetMode="External" /><Relationship Type="http://schemas.openxmlformats.org/officeDocument/2006/relationships/hyperlink" Id="rId102" Target="https://doi.org/10.1016/j.jarmac.2016.07.014" TargetMode="External" /><Relationship Type="http://schemas.openxmlformats.org/officeDocument/2006/relationships/hyperlink" Id="rId132" Target="https://doi.org/10.1016/j.jcm.2016.02.012" TargetMode="External" /><Relationship Type="http://schemas.openxmlformats.org/officeDocument/2006/relationships/hyperlink" Id="rId78" Target="https://doi.org/10.1016/j.jml.2012.11.001" TargetMode="External" /><Relationship Type="http://schemas.openxmlformats.org/officeDocument/2006/relationships/hyperlink" Id="rId229" Target="https://doi.org/10.1016/j.lindif.2021.102055" TargetMode="External" /><Relationship Type="http://schemas.openxmlformats.org/officeDocument/2006/relationships/hyperlink" Id="rId140" Target="https://doi.org/10.1017/CBO9781139087759" TargetMode="External" /><Relationship Type="http://schemas.openxmlformats.org/officeDocument/2006/relationships/hyperlink" Id="rId184" Target="https://doi.org/10.1037/0022-0663.71.3.310" TargetMode="External" /><Relationship Type="http://schemas.openxmlformats.org/officeDocument/2006/relationships/hyperlink" Id="rId174" Target="https://doi.org/10.1037/0033-2909.124.3.372" TargetMode="External" /><Relationship Type="http://schemas.openxmlformats.org/officeDocument/2006/relationships/hyperlink" Id="rId198" Target="https://doi.org/10.1037/0033-2909.86.2.420" TargetMode="External" /><Relationship Type="http://schemas.openxmlformats.org/officeDocument/2006/relationships/hyperlink" Id="rId134" Target="https://doi.org/10.1037/a0015729" TargetMode="External" /><Relationship Type="http://schemas.openxmlformats.org/officeDocument/2006/relationships/hyperlink" Id="rId178" Target="https://doi.org/10.1037/a0016496" TargetMode="External" /><Relationship Type="http://schemas.openxmlformats.org/officeDocument/2006/relationships/hyperlink" Id="rId209" Target="https://doi.org/10.1037/a0016896" TargetMode="External" /><Relationship Type="http://schemas.openxmlformats.org/officeDocument/2006/relationships/hyperlink" Id="rId217" Target="https://doi.org/10.1037/a0025338" TargetMode="External" /><Relationship Type="http://schemas.openxmlformats.org/officeDocument/2006/relationships/hyperlink" Id="rId186" Target="https://doi.org/10.1037/a0037559" TargetMode="External" /><Relationship Type="http://schemas.openxmlformats.org/officeDocument/2006/relationships/hyperlink" Id="rId163" Target="https://doi.org/10.1037/edu0000978" TargetMode="External" /><Relationship Type="http://schemas.openxmlformats.org/officeDocument/2006/relationships/hyperlink" Id="rId100" Target="https://doi.org/10.1037/xap0000145" TargetMode="External" /><Relationship Type="http://schemas.openxmlformats.org/officeDocument/2006/relationships/hyperlink" Id="rId203" Target="https://doi.org/10.1037/xap0000296" TargetMode="External" /><Relationship Type="http://schemas.openxmlformats.org/officeDocument/2006/relationships/hyperlink" Id="rId149" Target="https://doi.org/10.1073/pnas.2016980118" TargetMode="External" /><Relationship Type="http://schemas.openxmlformats.org/officeDocument/2006/relationships/hyperlink" Id="rId91" Target="https://doi.org/10.1080/00220973.2024.2355980" TargetMode="External" /><Relationship Type="http://schemas.openxmlformats.org/officeDocument/2006/relationships/hyperlink" Id="rId142" Target="https://doi.org/10.1080/0163853X.2012.662801" TargetMode="External" /><Relationship Type="http://schemas.openxmlformats.org/officeDocument/2006/relationships/hyperlink" Id="rId74" Target="https://doi.org/10.1080/02724980443000476" TargetMode="External" /><Relationship Type="http://schemas.openxmlformats.org/officeDocument/2006/relationships/hyperlink" Id="rId205" Target="https://doi.org/10.1080/09658211.2019.1641209" TargetMode="External" /><Relationship Type="http://schemas.openxmlformats.org/officeDocument/2006/relationships/hyperlink" Id="rId170" Target="https://doi.org/10.1080/10888430701530730" TargetMode="External" /><Relationship Type="http://schemas.openxmlformats.org/officeDocument/2006/relationships/hyperlink" Id="rId176" Target="https://doi.org/10.1080/17470210902816461" TargetMode="External" /><Relationship Type="http://schemas.openxmlformats.org/officeDocument/2006/relationships/hyperlink" Id="rId127" Target="https://doi.org/10.1109/TVCG.2023.3327195" TargetMode="External" /><Relationship Type="http://schemas.openxmlformats.org/officeDocument/2006/relationships/hyperlink" Id="rId182" Target="https://doi.org/10.1111/j.1745-6916.2006.00012.x" TargetMode="External" /><Relationship Type="http://schemas.openxmlformats.org/officeDocument/2006/relationships/hyperlink" Id="rId84" Target="https://doi.org/10.1111/j.2044-8295.1954.tb01243.x" TargetMode="External" /><Relationship Type="http://schemas.openxmlformats.org/officeDocument/2006/relationships/hyperlink" Id="rId86" Target="https://doi.org/10.1111/j.2044-8295.1962.tb00811.x" TargetMode="External" /><Relationship Type="http://schemas.openxmlformats.org/officeDocument/2006/relationships/hyperlink" Id="rId188" Target="https://doi.org/10.1145/355017.355028" TargetMode="External" /><Relationship Type="http://schemas.openxmlformats.org/officeDocument/2006/relationships/hyperlink" Id="rId89" Target="https://doi.org/10.1146/annurev-psych-113011-143823" TargetMode="External" /><Relationship Type="http://schemas.openxmlformats.org/officeDocument/2006/relationships/hyperlink" Id="rId120" Target="https://doi.org/10.1167/jov.20.10.9" TargetMode="External" /><Relationship Type="http://schemas.openxmlformats.org/officeDocument/2006/relationships/hyperlink" Id="rId76" Target="https://doi.org/10.1177/0963721411408885" TargetMode="External" /><Relationship Type="http://schemas.openxmlformats.org/officeDocument/2006/relationships/hyperlink" Id="rId97" Target="https://doi.org/10.1177/0963721412452728" TargetMode="External" /><Relationship Type="http://schemas.openxmlformats.org/officeDocument/2006/relationships/hyperlink" Id="rId110" Target="https://doi.org/10.1177/1529100612453266" TargetMode="External" /><Relationship Type="http://schemas.openxmlformats.org/officeDocument/2006/relationships/hyperlink" Id="rId118" Target="https://doi.org/10.1186/s41235-017-0078-z" TargetMode="External" /><Relationship Type="http://schemas.openxmlformats.org/officeDocument/2006/relationships/hyperlink" Id="rId192" Target="https://doi.org/10.1187/cbe.19-11-0257" TargetMode="External" /><Relationship Type="http://schemas.openxmlformats.org/officeDocument/2006/relationships/hyperlink" Id="rId95" Target="https://doi.org/10.18637/jss.v076.i01" TargetMode="External" /><Relationship Type="http://schemas.openxmlformats.org/officeDocument/2006/relationships/hyperlink" Id="rId93" Target="https://doi.org/10.18637/jss.v080.i01" TargetMode="External" /><Relationship Type="http://schemas.openxmlformats.org/officeDocument/2006/relationships/hyperlink" Id="rId72" Target="https://doi.org/10.18637/jss.v111.i09" TargetMode="External" /><Relationship Type="http://schemas.openxmlformats.org/officeDocument/2006/relationships/hyperlink" Id="rId211" Target="https://doi.org/10.18653/v1/K17-3009" TargetMode="External" /><Relationship Type="http://schemas.openxmlformats.org/officeDocument/2006/relationships/hyperlink" Id="rId82" Target="https://doi.org/10.21105/joss.00774" TargetMode="External" /><Relationship Type="http://schemas.openxmlformats.org/officeDocument/2006/relationships/hyperlink" Id="rId147" Target="https://doi.org/10.21105/joss.01412" TargetMode="External" /><Relationship Type="http://schemas.openxmlformats.org/officeDocument/2006/relationships/hyperlink" Id="rId155" Target="https://doi.org/10.21105/joss.01541" TargetMode="External" /><Relationship Type="http://schemas.openxmlformats.org/officeDocument/2006/relationships/hyperlink" Id="rId219" Target="https://doi.org/10.21105/joss.01686" TargetMode="External" /><Relationship Type="http://schemas.openxmlformats.org/officeDocument/2006/relationships/hyperlink" Id="rId157" Target="https://doi.org/10.21105/joss.07969" TargetMode="External" /><Relationship Type="http://schemas.openxmlformats.org/officeDocument/2006/relationships/hyperlink" Id="rId196" Target="https://doi.org/10.31234/osf.io/bzt2h_v1" TargetMode="External" /><Relationship Type="http://schemas.openxmlformats.org/officeDocument/2006/relationships/hyperlink" Id="rId172" Target="https://doi.org/10.32614/R.manuals" TargetMode="External" /><Relationship Type="http://schemas.openxmlformats.org/officeDocument/2006/relationships/hyperlink" Id="rId145" Target="https://doi.org/10.3389/fpsyg.2015.01171" TargetMode="External" /><Relationship Type="http://schemas.openxmlformats.org/officeDocument/2006/relationships/hyperlink" Id="rId153" Target="https://doi.org/10.3389/fpsyg.2019.02767" TargetMode="External" /><Relationship Type="http://schemas.openxmlformats.org/officeDocument/2006/relationships/hyperlink" Id="rId159" Target="https://doi.org/10.3758/PBR.16.5.798" TargetMode="External" /><Relationship Type="http://schemas.openxmlformats.org/officeDocument/2006/relationships/hyperlink" Id="rId122" Target="https://doi.org/10.3758/s13423-011-0181-y" TargetMode="External" /><Relationship Type="http://schemas.openxmlformats.org/officeDocument/2006/relationships/hyperlink" Id="rId190" Target="https://doi.org/10.3758/s13423-023-02274-6" TargetMode="External" /><Relationship Type="http://schemas.openxmlformats.org/officeDocument/2006/relationships/hyperlink" Id="rId207" Target="https://doi.org/10.3758/s13423-023-02353-8" TargetMode="External" /><Relationship Type="http://schemas.openxmlformats.org/officeDocument/2006/relationships/hyperlink" Id="rId138" Target="https://doi.org/10.3758/s13428-021-01546-0" TargetMode="External" /><Relationship Type="http://schemas.openxmlformats.org/officeDocument/2006/relationships/hyperlink" Id="rId104" Target="https://doi.org/10.3758/s13428-021-01554-0" TargetMode="External" /><Relationship Type="http://schemas.openxmlformats.org/officeDocument/2006/relationships/hyperlink" Id="rId194" Target="https://doi.org/10.3758/s13428-024-02572-4" TargetMode="External" /><Relationship Type="http://schemas.openxmlformats.org/officeDocument/2006/relationships/hyperlink" Id="rId151" Target="https://github.com/DominiqueMakowski/cogmod" TargetMode="External" /><Relationship Type="http://schemas.openxmlformats.org/officeDocument/2006/relationships/hyperlink" Id="rId112" Target="https://github.com/sfirke/janitor" TargetMode="External" /><Relationship Type="http://schemas.openxmlformats.org/officeDocument/2006/relationships/hyperlink" Id="rId227" Target="https://github.com/yihui/xfun" TargetMode="External" /><Relationship Type="http://schemas.openxmlformats.org/officeDocument/2006/relationships/hyperlink" Id="rId114" Target="https://mc-stan.org/cmdstanr/" TargetMode="External" /><Relationship Type="http://schemas.openxmlformats.org/officeDocument/2006/relationships/hyperlink" Id="rId168" Target="https://patchwork.data-imaginist.com" TargetMode="External" /><Relationship Type="http://schemas.openxmlformats.org/officeDocument/2006/relationships/hyperlink" Id="rId80" Target="https://quanteda.io" TargetMode="External" /><Relationship Type="http://schemas.openxmlformats.org/officeDocument/2006/relationships/hyperlink" Id="rId221" Target="https://scales.r-lib.org" TargetMode="External" /><Relationship Type="http://schemas.openxmlformats.org/officeDocument/2006/relationships/hyperlink" Id="rId116" Target="https://www.r-project.org" TargetMode="External" /><Relationship Type="http://schemas.openxmlformats.org/officeDocument/2006/relationships/hyperlink" Id="rId213" Target="https://www.rforge.net/png/" TargetMode="External" /><Relationship Type="http://schemas.openxmlformats.org/officeDocument/2006/relationships/hyperlink" Id="rId225"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223" Target="https://bnosac.github.io/udpipe/en/index.html" TargetMode="External" /><Relationship Type="http://schemas.openxmlformats.org/officeDocument/2006/relationships/hyperlink" Id="rId180" Target="https://doi.org/10.1002/acp.70165" TargetMode="External" /><Relationship Type="http://schemas.openxmlformats.org/officeDocument/2006/relationships/hyperlink" Id="rId108" Target="https://doi.org/10.1007/s10639-022-11486-7" TargetMode="External" /><Relationship Type="http://schemas.openxmlformats.org/officeDocument/2006/relationships/hyperlink" Id="rId201" Target="https://doi.org/10.1007/s10648-023-09805-6" TargetMode="External" /><Relationship Type="http://schemas.openxmlformats.org/officeDocument/2006/relationships/hyperlink" Id="rId166" Target="https://doi.org/10.1007/s10648-023-09814-5" TargetMode="External" /><Relationship Type="http://schemas.openxmlformats.org/officeDocument/2006/relationships/hyperlink" Id="rId130" Target="https://doi.org/10.1007/s10648-025-10075-7" TargetMode="External" /><Relationship Type="http://schemas.openxmlformats.org/officeDocument/2006/relationships/hyperlink" Id="rId125" Target="https://doi.org/10.1007/s11222-023-10366-5" TargetMode="External" /><Relationship Type="http://schemas.openxmlformats.org/officeDocument/2006/relationships/hyperlink" Id="rId106" Target="https://doi.org/10.1016/S0022-5371(80)90312-6" TargetMode="External" /><Relationship Type="http://schemas.openxmlformats.org/officeDocument/2006/relationships/hyperlink" Id="rId161" Target="https://doi.org/10.1016/S0079-7421(09)51009-2" TargetMode="External" /><Relationship Type="http://schemas.openxmlformats.org/officeDocument/2006/relationships/hyperlink" Id="rId136" Target="https://doi.org/10.1016/bs.plm.2016.03.003" TargetMode="External" /><Relationship Type="http://schemas.openxmlformats.org/officeDocument/2006/relationships/hyperlink" Id="rId215" Target="https://doi.org/10.1016/j.cogpsych.2009.12.001" TargetMode="External" /><Relationship Type="http://schemas.openxmlformats.org/officeDocument/2006/relationships/hyperlink" Id="rId102" Target="https://doi.org/10.1016/j.jarmac.2016.07.014" TargetMode="External" /><Relationship Type="http://schemas.openxmlformats.org/officeDocument/2006/relationships/hyperlink" Id="rId132" Target="https://doi.org/10.1016/j.jcm.2016.02.012" TargetMode="External" /><Relationship Type="http://schemas.openxmlformats.org/officeDocument/2006/relationships/hyperlink" Id="rId78" Target="https://doi.org/10.1016/j.jml.2012.11.001" TargetMode="External" /><Relationship Type="http://schemas.openxmlformats.org/officeDocument/2006/relationships/hyperlink" Id="rId229" Target="https://doi.org/10.1016/j.lindif.2021.102055" TargetMode="External" /><Relationship Type="http://schemas.openxmlformats.org/officeDocument/2006/relationships/hyperlink" Id="rId140" Target="https://doi.org/10.1017/CBO9781139087759" TargetMode="External" /><Relationship Type="http://schemas.openxmlformats.org/officeDocument/2006/relationships/hyperlink" Id="rId184" Target="https://doi.org/10.1037/0022-0663.71.3.310" TargetMode="External" /><Relationship Type="http://schemas.openxmlformats.org/officeDocument/2006/relationships/hyperlink" Id="rId174" Target="https://doi.org/10.1037/0033-2909.124.3.372" TargetMode="External" /><Relationship Type="http://schemas.openxmlformats.org/officeDocument/2006/relationships/hyperlink" Id="rId198" Target="https://doi.org/10.1037/0033-2909.86.2.420" TargetMode="External" /><Relationship Type="http://schemas.openxmlformats.org/officeDocument/2006/relationships/hyperlink" Id="rId134" Target="https://doi.org/10.1037/a0015729" TargetMode="External" /><Relationship Type="http://schemas.openxmlformats.org/officeDocument/2006/relationships/hyperlink" Id="rId178" Target="https://doi.org/10.1037/a0016496" TargetMode="External" /><Relationship Type="http://schemas.openxmlformats.org/officeDocument/2006/relationships/hyperlink" Id="rId209" Target="https://doi.org/10.1037/a0016896" TargetMode="External" /><Relationship Type="http://schemas.openxmlformats.org/officeDocument/2006/relationships/hyperlink" Id="rId217" Target="https://doi.org/10.1037/a0025338" TargetMode="External" /><Relationship Type="http://schemas.openxmlformats.org/officeDocument/2006/relationships/hyperlink" Id="rId186" Target="https://doi.org/10.1037/a0037559" TargetMode="External" /><Relationship Type="http://schemas.openxmlformats.org/officeDocument/2006/relationships/hyperlink" Id="rId163" Target="https://doi.org/10.1037/edu0000978" TargetMode="External" /><Relationship Type="http://schemas.openxmlformats.org/officeDocument/2006/relationships/hyperlink" Id="rId100" Target="https://doi.org/10.1037/xap0000145" TargetMode="External" /><Relationship Type="http://schemas.openxmlformats.org/officeDocument/2006/relationships/hyperlink" Id="rId203" Target="https://doi.org/10.1037/xap0000296" TargetMode="External" /><Relationship Type="http://schemas.openxmlformats.org/officeDocument/2006/relationships/hyperlink" Id="rId149" Target="https://doi.org/10.1073/pnas.2016980118" TargetMode="External" /><Relationship Type="http://schemas.openxmlformats.org/officeDocument/2006/relationships/hyperlink" Id="rId91" Target="https://doi.org/10.1080/00220973.2024.2355980" TargetMode="External" /><Relationship Type="http://schemas.openxmlformats.org/officeDocument/2006/relationships/hyperlink" Id="rId142" Target="https://doi.org/10.1080/0163853X.2012.662801" TargetMode="External" /><Relationship Type="http://schemas.openxmlformats.org/officeDocument/2006/relationships/hyperlink" Id="rId74" Target="https://doi.org/10.1080/02724980443000476" TargetMode="External" /><Relationship Type="http://schemas.openxmlformats.org/officeDocument/2006/relationships/hyperlink" Id="rId205" Target="https://doi.org/10.1080/09658211.2019.1641209" TargetMode="External" /><Relationship Type="http://schemas.openxmlformats.org/officeDocument/2006/relationships/hyperlink" Id="rId170" Target="https://doi.org/10.1080/10888430701530730" TargetMode="External" /><Relationship Type="http://schemas.openxmlformats.org/officeDocument/2006/relationships/hyperlink" Id="rId176" Target="https://doi.org/10.1080/17470210902816461" TargetMode="External" /><Relationship Type="http://schemas.openxmlformats.org/officeDocument/2006/relationships/hyperlink" Id="rId127" Target="https://doi.org/10.1109/TVCG.2023.3327195" TargetMode="External" /><Relationship Type="http://schemas.openxmlformats.org/officeDocument/2006/relationships/hyperlink" Id="rId182" Target="https://doi.org/10.1111/j.1745-6916.2006.00012.x" TargetMode="External" /><Relationship Type="http://schemas.openxmlformats.org/officeDocument/2006/relationships/hyperlink" Id="rId84" Target="https://doi.org/10.1111/j.2044-8295.1954.tb01243.x" TargetMode="External" /><Relationship Type="http://schemas.openxmlformats.org/officeDocument/2006/relationships/hyperlink" Id="rId86" Target="https://doi.org/10.1111/j.2044-8295.1962.tb00811.x" TargetMode="External" /><Relationship Type="http://schemas.openxmlformats.org/officeDocument/2006/relationships/hyperlink" Id="rId188" Target="https://doi.org/10.1145/355017.355028" TargetMode="External" /><Relationship Type="http://schemas.openxmlformats.org/officeDocument/2006/relationships/hyperlink" Id="rId89" Target="https://doi.org/10.1146/annurev-psych-113011-143823" TargetMode="External" /><Relationship Type="http://schemas.openxmlformats.org/officeDocument/2006/relationships/hyperlink" Id="rId120" Target="https://doi.org/10.1167/jov.20.10.9" TargetMode="External" /><Relationship Type="http://schemas.openxmlformats.org/officeDocument/2006/relationships/hyperlink" Id="rId76" Target="https://doi.org/10.1177/0963721411408885" TargetMode="External" /><Relationship Type="http://schemas.openxmlformats.org/officeDocument/2006/relationships/hyperlink" Id="rId97" Target="https://doi.org/10.1177/0963721412452728" TargetMode="External" /><Relationship Type="http://schemas.openxmlformats.org/officeDocument/2006/relationships/hyperlink" Id="rId110" Target="https://doi.org/10.1177/1529100612453266" TargetMode="External" /><Relationship Type="http://schemas.openxmlformats.org/officeDocument/2006/relationships/hyperlink" Id="rId118" Target="https://doi.org/10.1186/s41235-017-0078-z" TargetMode="External" /><Relationship Type="http://schemas.openxmlformats.org/officeDocument/2006/relationships/hyperlink" Id="rId192" Target="https://doi.org/10.1187/cbe.19-11-0257" TargetMode="External" /><Relationship Type="http://schemas.openxmlformats.org/officeDocument/2006/relationships/hyperlink" Id="rId95" Target="https://doi.org/10.18637/jss.v076.i01" TargetMode="External" /><Relationship Type="http://schemas.openxmlformats.org/officeDocument/2006/relationships/hyperlink" Id="rId93" Target="https://doi.org/10.18637/jss.v080.i01" TargetMode="External" /><Relationship Type="http://schemas.openxmlformats.org/officeDocument/2006/relationships/hyperlink" Id="rId72" Target="https://doi.org/10.18637/jss.v111.i09" TargetMode="External" /><Relationship Type="http://schemas.openxmlformats.org/officeDocument/2006/relationships/hyperlink" Id="rId211" Target="https://doi.org/10.18653/v1/K17-3009" TargetMode="External" /><Relationship Type="http://schemas.openxmlformats.org/officeDocument/2006/relationships/hyperlink" Id="rId82" Target="https://doi.org/10.21105/joss.00774" TargetMode="External" /><Relationship Type="http://schemas.openxmlformats.org/officeDocument/2006/relationships/hyperlink" Id="rId147" Target="https://doi.org/10.21105/joss.01412" TargetMode="External" /><Relationship Type="http://schemas.openxmlformats.org/officeDocument/2006/relationships/hyperlink" Id="rId155" Target="https://doi.org/10.21105/joss.01541" TargetMode="External" /><Relationship Type="http://schemas.openxmlformats.org/officeDocument/2006/relationships/hyperlink" Id="rId219" Target="https://doi.org/10.21105/joss.01686" TargetMode="External" /><Relationship Type="http://schemas.openxmlformats.org/officeDocument/2006/relationships/hyperlink" Id="rId157" Target="https://doi.org/10.21105/joss.07969" TargetMode="External" /><Relationship Type="http://schemas.openxmlformats.org/officeDocument/2006/relationships/hyperlink" Id="rId196" Target="https://doi.org/10.31234/osf.io/bzt2h_v1" TargetMode="External" /><Relationship Type="http://schemas.openxmlformats.org/officeDocument/2006/relationships/hyperlink" Id="rId172" Target="https://doi.org/10.32614/R.manuals" TargetMode="External" /><Relationship Type="http://schemas.openxmlformats.org/officeDocument/2006/relationships/hyperlink" Id="rId145" Target="https://doi.org/10.3389/fpsyg.2015.01171" TargetMode="External" /><Relationship Type="http://schemas.openxmlformats.org/officeDocument/2006/relationships/hyperlink" Id="rId153" Target="https://doi.org/10.3389/fpsyg.2019.02767" TargetMode="External" /><Relationship Type="http://schemas.openxmlformats.org/officeDocument/2006/relationships/hyperlink" Id="rId159" Target="https://doi.org/10.3758/PBR.16.5.798" TargetMode="External" /><Relationship Type="http://schemas.openxmlformats.org/officeDocument/2006/relationships/hyperlink" Id="rId122" Target="https://doi.org/10.3758/s13423-011-0181-y" TargetMode="External" /><Relationship Type="http://schemas.openxmlformats.org/officeDocument/2006/relationships/hyperlink" Id="rId190" Target="https://doi.org/10.3758/s13423-023-02274-6" TargetMode="External" /><Relationship Type="http://schemas.openxmlformats.org/officeDocument/2006/relationships/hyperlink" Id="rId207" Target="https://doi.org/10.3758/s13423-023-02353-8" TargetMode="External" /><Relationship Type="http://schemas.openxmlformats.org/officeDocument/2006/relationships/hyperlink" Id="rId138" Target="https://doi.org/10.3758/s13428-021-01546-0" TargetMode="External" /><Relationship Type="http://schemas.openxmlformats.org/officeDocument/2006/relationships/hyperlink" Id="rId104" Target="https://doi.org/10.3758/s13428-021-01554-0" TargetMode="External" /><Relationship Type="http://schemas.openxmlformats.org/officeDocument/2006/relationships/hyperlink" Id="rId194" Target="https://doi.org/10.3758/s13428-024-02572-4" TargetMode="External" /><Relationship Type="http://schemas.openxmlformats.org/officeDocument/2006/relationships/hyperlink" Id="rId151" Target="https://github.com/DominiqueMakowski/cogmod" TargetMode="External" /><Relationship Type="http://schemas.openxmlformats.org/officeDocument/2006/relationships/hyperlink" Id="rId112" Target="https://github.com/sfirke/janitor" TargetMode="External" /><Relationship Type="http://schemas.openxmlformats.org/officeDocument/2006/relationships/hyperlink" Id="rId227" Target="https://github.com/yihui/xfun" TargetMode="External" /><Relationship Type="http://schemas.openxmlformats.org/officeDocument/2006/relationships/hyperlink" Id="rId114" Target="https://mc-stan.org/cmdstanr/" TargetMode="External" /><Relationship Type="http://schemas.openxmlformats.org/officeDocument/2006/relationships/hyperlink" Id="rId168" Target="https://patchwork.data-imaginist.com" TargetMode="External" /><Relationship Type="http://schemas.openxmlformats.org/officeDocument/2006/relationships/hyperlink" Id="rId80" Target="https://quanteda.io" TargetMode="External" /><Relationship Type="http://schemas.openxmlformats.org/officeDocument/2006/relationships/hyperlink" Id="rId221" Target="https://scales.r-lib.org" TargetMode="External" /><Relationship Type="http://schemas.openxmlformats.org/officeDocument/2006/relationships/hyperlink" Id="rId116" Target="https://www.r-project.org" TargetMode="External" /><Relationship Type="http://schemas.openxmlformats.org/officeDocument/2006/relationships/hyperlink" Id="rId213" Target="https://www.rforge.net/png/" TargetMode="External" /><Relationship Type="http://schemas.openxmlformats.org/officeDocument/2006/relationships/hyperlink" Id="rId225"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2026-10-27T16:51:55Z</dcterms:created>
  <dcterms:modified xsi:type="dcterms:W3CDTF">2026-10-27T16:51:55Z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vt:lpwstr>
  </property>
  <property fmtid="{D5CDD505-2E9C-101B-9397-08002B2CF9AE}" pid="5" name="apaauthor">
    <vt:lpwstr/>
  </property>
  <property fmtid="{D5CDD505-2E9C-101B-9397-08002B2CF9AE}" pid="6" name="apatitle">
    <vt:lpwstr>I Remember That Question: Using Eye Tracking to See How Prequestions Shape Reading</vt:lpwstr>
  </property>
  <property fmtid="{D5CDD505-2E9C-101B-9397-08002B2CF9AE}" pid="7" name="apatitledisplay">
    <vt:lpwstr>I Remember That Question: Using Eye Tracking to See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masked-citations">
    <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references">
    <vt:lpwstr/>
  </property>
  <property fmtid="{D5CDD505-2E9C-101B-9397-08002B2CF9AE}" pid="37" name="revealjs-plugins">
    <vt:lpwstr/>
  </property>
  <property fmtid="{D5CDD505-2E9C-101B-9397-08002B2CF9AE}" pid="38" name="shorttitle">
    <vt:lpwstr>PREQUESTIONS AND EYE-TRACKING</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9217</vt:lpwstr>
  </property>
  <property fmtid="{D5CDD505-2E9C-101B-9397-08002B2CF9AE}" pid="66" name="zerocitations">
    <vt:lpwstr>False</vt:lpwstr>
  </property>
</Properties>
</file>