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35.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Department of Psychological and Brain Science, W113 Seashore Hall, Iowa City, IA, 52242.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unmodified.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3945</w:t>
      </w:r>
    </w:p>
    <w:p>
      <w:pPr>
        <w:pStyle w:val="Compact"/>
        <w:pStyle w:val="Titel"/>
      </w:pPr>
      <w:r>
        <w:t xml:space="preserve">Sans Forgetica is Really Forgettable</w:t>
      </w:r>
    </w:p>
    <w:p>
      <w:pPr>
        <w:pStyle w:val="Textkrper"/>
      </w:pPr>
      <w:r>
        <w:t xml:space="preserve">Students want to remember more and forget less. Being able to recall and apply previously learned information is key for successful learning. Decades of research in the laboratory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(Diemand-Yauman, Oppenheimer, &amp; Vaughan, 2011; French et al., 2013)</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r>
        <w:t xml:space="preserve">.</w:t>
      </w:r>
    </w:p>
    <w:p>
      <w:pPr>
        <w:pStyle w:val="Textkrper"/>
      </w:pPr>
      <w:r>
        <w:t xml:space="preserve">Although appealing as a pedagogical strategy due to the relative ease of implementation, there have been several experiments that failed to find memorial benefits for perceptually disfluent materials [e.g.,</w:t>
      </w:r>
      <w:r>
        <w:t xml:space="preserve"> </w:t>
      </w:r>
      <w:r>
        <w:t xml:space="preserve">Magreehan, Serra, Schwartz, and Narciss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Schweppe, and Schwede (2016)</w:t>
      </w:r>
      <w:r>
        <w:t xml:space="preserve">;</w:t>
      </w:r>
      <w:r>
        <w:t xml:space="preserve"> </w:t>
      </w:r>
      <w:r>
        <w:t xml:space="preserve">Yue et al. (n.d.)</w:t>
      </w:r>
      <w:r>
        <w:t xml:space="preserve">), casting doubt upon the robustness of the disfluency effect. Corroborating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laboratory,</w:t>
      </w:r>
      <w:r>
        <w:t xml:space="preserve"> </w:t>
      </w:r>
      <w:r>
        <w:t xml:space="preserve">Geller et al. (2018)</w:t>
      </w:r>
      <w:r>
        <w:t xml:space="preserve"> </w:t>
      </w:r>
      <w:r>
        <w:t xml:space="preserve">and Geller &amp; Still (2018) manipulated several boundary conditions (e.g., level of degradation, type of judgement of learning, retention interval, and testing expectancy) and found you can get positive memory effects from perceptual disflunet materials (in recognition), but it is not robust. Taken together, the evidence is weak for perceptual disfluency being a desirable difficulty.</w:t>
      </w:r>
    </w:p>
    <w:p>
      <w:pPr>
        <w:pStyle w:val="Textkrper"/>
      </w:pPr>
      <w:r>
        <w:t xml:space="preserve">Despite the weak evidence, perceptual disfluency is still being touted as a viable learning tool, especially in the popular press. Recently, reputable news sources like the Washington Post (</w:t>
      </w:r>
      <w:hyperlink r:id="rId21">
        <w:r>
          <w:rPr>
            <w:rStyle w:val="Hyperlink"/>
          </w:rPr>
          <w:t xml:space="preserve">https://www.washingtonpost.com/business/2018/10/05/introducing-sans-forgetica-font-designed-boost-your-memory/</w:t>
        </w:r>
      </w:hyperlink>
      <w:r>
        <w:t xml:space="preserve">) and National Public Radio (NPR;</w:t>
      </w:r>
      <w:r>
        <w:t xml:space="preserve"> </w:t>
      </w:r>
      <w:hyperlink r:id="rId22">
        <w:r>
          <w:rPr>
            <w:rStyle w:val="Hyperlink"/>
          </w:rPr>
          <w:t xml:space="preserve">https://www.npr.org/2018/10/06/655121384/sans-forgetica-a-font-to-remember</w:t>
        </w:r>
      </w:hyperlink>
      <w:r>
        <w:t xml:space="preserve">) claimed that a new font called Sans Forgetica could enhance memory, despite only unpublished evidence being available at the time</w:t>
      </w:r>
      <w:r>
        <w:t xml:space="preserve"> </w:t>
      </w:r>
      <w:r>
        <w:t xml:space="preserve">(Earp, 2018)</w:t>
      </w:r>
      <w:r>
        <w:t xml:space="preserve">. It is thought that the mnemonic benefit is due to the characteristics of the font. Sans Forgteica is a variation of a sans-serif typeface that consists of intermittent gaps in letters that are back slanted (see fig. 1). Since the release of those news articles, the Sans Forgetica font is available on all operating systems (download the font file), some browsers (e.g., Chrome), and can be downloaded on your phone.</w:t>
      </w:r>
    </w:p>
    <w:p>
      <w:pPr>
        <w:pStyle w:val="CaptionedFigure"/>
      </w:pPr>
      <w:r>
        <w:drawing>
          <wp:inline>
            <wp:extent cx="4315968" cy="950976"/>
            <wp:effectExtent b="0" l="0" r="0" t="0"/>
            <wp:docPr descr="Figure 1:.  Example of Sans Forgetica font." title="" id="1" name="Picture"/>
            <a:graphic>
              <a:graphicData uri="http://schemas.openxmlformats.org/drawingml/2006/picture">
                <pic:pic>
                  <pic:nvPicPr>
                    <pic:cNvPr descr="/Users/hang/SF_Expt2/SF.png" id="0" name="Picture"/>
                    <pic:cNvPicPr>
                      <a:picLocks noChangeArrowheads="1" noChangeAspect="1"/>
                    </pic:cNvPicPr>
                  </pic:nvPicPr>
                  <pic:blipFill>
                    <a:blip r:embed="rId23"/>
                    <a:stretch>
                      <a:fillRect/>
                    </a:stretch>
                  </pic:blipFill>
                  <pic:spPr bwMode="auto">
                    <a:xfrm>
                      <a:off x="0" y="0"/>
                      <a:ext cx="4315968" cy="9509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berschrift2"/>
      </w:pPr>
      <w:bookmarkStart w:id="24" w:name="current-studies"/>
      <w:r>
        <w:t xml:space="preserve">Current Studies</w:t>
      </w:r>
      <w:bookmarkEnd w:id="24"/>
    </w:p>
    <w:p>
      <w:pPr>
        <w:pStyle w:val="FirstParagraph"/>
      </w:pPr>
      <w:r>
        <w:t xml:space="preserve">Given the weak evidence for the disfluency effect, we thought it pertinent to empirically examine whether Sans Forgetica produces more durable learning. The question of whether Sans Forgetica produces a mnnmenomic benefits has clear practical implications. In the educational domain, it would be relatively quick and easy to use place materials in Sans Forgetica font. However, in order for the Sans Forgetica to be useful, it is important to note and understand both its successes and failures. To the authors’ knowledge, there is only one peer-reviewed paper</w:t>
      </w:r>
      <w:r>
        <w:t xml:space="preserve"> </w:t>
      </w:r>
      <w:r>
        <w:t xml:space="preserve">(Eskenazi &amp; Nix, 2020)</w:t>
      </w:r>
      <w:r>
        <w:t xml:space="preserve"> </w:t>
      </w:r>
      <w:r>
        <w:t xml:space="preserve">examining the effectiveness of Sans Forgetica in generating a desirable difficulty. In one experiment Eskenazi and Nix (2020) found that words and definitions in Sans Forgetica font lead to better orthographic discriminabity (i.e., choosing the correct spelling of the word) and semantic acquisition (i.e., retrieving the definition of a word), but only if participants were good spellers. As the Eskenazi and Nix (2020) study focused on lexical acquisition (orthographic and semantic features of a word), it is not clear if the benefits of Sans Forgetica font extends to other memory processes. Given this, we felt it was pertinent to examine the effectiveness of Sans Forgetica in two different memory experiments. To this end, we conducted to two high-powered preregistered experiments examining whether (1) recall is better in Sans Forgetica font and (2)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5" w:name="experiment-1"/>
      <w:r>
        <w:t xml:space="preserve">Experiment 1</w:t>
      </w:r>
      <w:bookmarkEnd w:id="25"/>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Essentially, the intermittent gaps of Sans Forgetica requires readers to generate or fill in the missing pieces producing a memory advantage. This mechanism of action is similar to that of the generation effect, wherein information is better remembered when generated or filled-in compared to if it is simply read. In Experiment 1 we examined the mnemonic benefit of Sans Forgetica and generation by looking at cued recall performance with weakly related pairs. If Sans Forgetica does produce a mnemonic benefit, we should observe better cued recall performance for targets in Sans forgetica font compared to Arial font. Futhrer, if it is similar to the generation effect, the magnitude of the memory benefit between the two should be similar.</w:t>
      </w:r>
    </w:p>
    <w:p>
      <w:pPr>
        <w:pStyle w:val="berschrift2"/>
      </w:pPr>
      <w:bookmarkStart w:id="26" w:name="method"/>
      <w:r>
        <w:t xml:space="preserve">Method</w:t>
      </w:r>
      <w:bookmarkEnd w:id="26"/>
    </w:p>
    <w:p>
      <w:pPr>
        <w:pStyle w:val="berschrift3"/>
      </w:pPr>
      <w:bookmarkStart w:id="27" w:name="participants"/>
      <w:r>
        <w:t xml:space="preserve">Participants.</w:t>
      </w:r>
      <w:bookmarkEnd w:id="27"/>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actual classroom studies (Bulter et al., 2014).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scripts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presented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2" w:name="design-and-procedure"/>
      <w:r>
        <w:t xml:space="preserve">Design and Procedure.</w:t>
      </w:r>
      <w:bookmarkEnd w:id="32"/>
    </w:p>
    <w:p>
      <w:pPr>
        <w:pStyle w:val="FirstParagraph"/>
      </w:pPr>
      <w:r>
        <w:t xml:space="preserve">Disfluency (fluent vs. disfluent) was manipulated within-subjects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distraction task (anagram generation), they completed a cued recall test. During cued recall, participants were presented 24 cues one at a time and asked to provide the target word. After they were thanked and debriefed.</w:t>
      </w:r>
    </w:p>
    <w:p>
      <w:pPr>
        <w:pStyle w:val="Textkrper"/>
      </w:pPr>
      <w:r>
        <w:t xml:space="preserve">Participants completed the experiment on-line via the Qualtrics survey platform hosted on Amazon Mechanical Turk. After reading and consenting, participants were randomly assigned to one of two conditions: The generation condition or the Sans Forgetica condition. Participants were told to study word pairs so that later they could recall second word (target) when cued with the first word (cue). The experiment began with the presentation of 22 word pairs, shown one at a time, for 2 seconds each. The cue word always appeared on the left and the target always on the right. Immediately proceeding this, participants did a short 2 minute distraction task (anagram generation). Finally participants completed a cued recall test. During cued recall, participants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3" w:name="scoring"/>
      <w:r>
        <w:t xml:space="preserve">Scoring.</w:t>
      </w:r>
      <w:bookmarkEnd w:id="33"/>
    </w:p>
    <w:p>
      <w:pPr>
        <w:pStyle w:val="FirstParagraph"/>
      </w:pPr>
      <w:r>
        <w:t xml:space="preserve">Spell checking was automated with the hunspell package in R</w:t>
      </w:r>
      <w:r>
        <w:t xml:space="preserve"> </w:t>
      </w:r>
      <w:r>
        <w:t xml:space="preserve">(Ooms, 2018)</w:t>
      </w:r>
      <w:r>
        <w:t xml:space="preserve"> </w:t>
      </w:r>
      <w:r>
        <w:t xml:space="preserve">using spellCheck.R. Because participants were recruited in the United States, we used the American English dictionary. A nice walk through on how to use this package can be found in</w:t>
      </w:r>
      <w:r>
        <w:t xml:space="preserve"> </w:t>
      </w:r>
      <w:r>
        <w:t xml:space="preserve">Buchanan, De Deyne, and Montefinese (2019)</w:t>
      </w:r>
      <w:r>
        <w:t xml:space="preserve">. Using this package, each response was corrected for misspellings. Corrected spellings are provided in the most probable order, therefore, the first suggestion was always selected as the correct answer. As a second pass, we manually examined the output to catch incorrect suggestions. If the response was close to the correct response, it was marked as correct.</w:t>
      </w:r>
    </w:p>
    <w:p>
      <w:pPr>
        <w:pStyle w:val="berschrift1"/>
      </w:pPr>
      <w:bookmarkStart w:id="34" w:name="results-and-discussion"/>
      <w:r>
        <w:t xml:space="preserve">Results and Discussion</w:t>
      </w:r>
      <w:bookmarkEnd w:id="34"/>
    </w:p>
    <w:p>
      <w:pPr>
        <w:pStyle w:val="FirstParagraph"/>
      </w:pPr>
      <w:r>
        <w:t xml:space="preserve">Although we had pre-registered a simple 2 X 2 mixed ANOVA approach, we opted for a more powerful analytic approach that better represents the data: generalized linear mixed modeling</w:t>
      </w:r>
      <w:r>
        <w:t xml:space="preserve"> </w:t>
      </w:r>
      <w:r>
        <w:t xml:space="preserve">(Hoffman &amp; Rovine, 2007; Locker, Huffman, &amp; Bovaird, 2007)</w:t>
      </w:r>
      <w:r>
        <w:t xml:space="preserve">. Models were fit in R (vers. 3.5.0; R Core Team, 2019) with the lme4 package</w:t>
      </w:r>
      <w:r>
        <w:t xml:space="preserve"> </w:t>
      </w:r>
      <w:r>
        <w:t xml:space="preserve">(vers. 2.3.1; Bates, Mächler, Bolker, &amp; Walker, 2015)</w:t>
      </w:r>
      <w:r>
        <w:t xml:space="preserve">. All models were analyzed using maximal random effects structures with random slopes where allowed</w:t>
      </w:r>
      <w:r>
        <w:t xml:space="preserve"> </w:t>
      </w:r>
      <w:r>
        <w:t xml:space="preserve">(</w:t>
      </w:r>
      <w:r>
        <w:rPr>
          <w:b/>
        </w:rPr>
        <w:t xml:space="preserve">???</w:t>
      </w:r>
      <w:r>
        <w:t xml:space="preserve">)</w:t>
      </w:r>
      <w:r>
        <w:t xml:space="preserve">. All figures were created with ggplot</w:t>
      </w:r>
      <w:r>
        <w:t xml:space="preserve"> </w:t>
      </w:r>
      <w:r>
        <w:t xml:space="preserve">(Wickham, 2016)</w:t>
      </w:r>
      <w:r>
        <w:t xml:space="preserve">. We fit a logistic mixed model to predict cued recall accuracy with difficulty type (generation vs. sans forgetcia) and disfluency (fluent vs. disfluency). We fit the maximal model (formula:</w:t>
      </w:r>
      <w:r>
        <w:t xml:space="preserve"> </w:t>
      </w:r>
      <w:r>
        <w:t xml:space="preserve">“</w:t>
      </w:r>
      <w:r>
        <w:t xml:space="preserve">glmer(acc~difftypedisflu + (1+disflu|ResponseID) + (1+difftype|target), family=binomial, data=data</w:t>
      </w:r>
      <w:r>
        <w:t xml:space="preserve">”</w:t>
      </w:r>
      <w:r>
        <w:t xml:space="preserve">). Effect sizes (Cohen’s</w:t>
      </w:r>
      <w:r>
        <w:t xml:space="preserve"> </w:t>
      </w:r>
      <w:r>
        <w:rPr>
          <w:i/>
        </w:rPr>
        <w:t xml:space="preserve">d</w:t>
      </w:r>
      <w:r>
        <w:t xml:space="preserve">) were labelled following</w:t>
      </w:r>
      <w:r>
        <w:t xml:space="preserve"> </w:t>
      </w:r>
      <w:r>
        <w:t xml:space="preserve">(</w:t>
      </w:r>
      <w:r>
        <w:rPr>
          <w:b/>
        </w:rPr>
        <w:t xml:space="preserve">???</w:t>
      </w:r>
      <w:r>
        <w:t xml:space="preserve">)</w:t>
      </w:r>
      <w:r>
        <w:t xml:space="preserve"> </w:t>
      </w:r>
      <w:r>
        <w:t xml:space="preserve">recommendations. The effect of difficulty type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did recall more disfluent target words than fluney target words,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This was qualified by an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 A Bayes factor was derived using the brms package [</w:t>
      </w:r>
      <w:r>
        <w:t xml:space="preserve">Bürkner (2018)</w:t>
      </w:r>
      <w:r>
        <w:t xml:space="preserve">; vers. 2.3.1] to determine the strength of the interaction effect.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w:t>
      </w:r>
      <w:r>
        <w:t xml:space="preserve"> </w:t>
      </w:r>
      <w:r>
        <w:t xml:space="preserve">(“Jeffreys, H. (1961) Theory of Probability. 3rd Edition, Clarendon Press, Oxford. - References - Scientific Research Publishing,” n.d.)</w:t>
      </w:r>
      <w:r>
        <w:t xml:space="preserve">). This suggests that the magnitude of the generation effect is larger than the magnitude of the Sans Forgetica effect. This can be clearly seen in Fig. 2.</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Raw data points (black) with mean (white dot) and 95% CIs were dervied using the modelbased R package."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Raw data points (black) with mean (white dot) and 95% CIs were dervied using the modelbased R package.</w:t>
      </w:r>
    </w:p>
    <w:p>
      <w:pPr>
        <w:pStyle w:val="Textkrper"/>
      </w:pPr>
      <w:r>
        <w:t xml:space="preserve">The results for Experiment 1 are clear-cut. Cued recall for items presented intact and in Sans Forgetica font were equivocal. That is, we did not observe a memory benefit for Sans Forgetica font. We did, however, observe greater recall for generated items, which replicates decades of literature (Bertsch et al., 2007). This suggests that (1) presenting materials in Sans Forgetica does not lead to better memory and (2) the Sans Forgetica effect is most likely not a desirable difficulty.</w:t>
      </w:r>
    </w:p>
    <w:p>
      <w:pPr>
        <w:pStyle w:val="berschrift1"/>
      </w:pPr>
      <w:bookmarkStart w:id="36" w:name="experiment-2"/>
      <w:r>
        <w:t xml:space="preserve">Experiment 2</w:t>
      </w:r>
      <w:bookmarkEnd w:id="36"/>
    </w:p>
    <w:p>
      <w:pPr>
        <w:pStyle w:val="FirstParagraph"/>
      </w:pPr>
      <w:r>
        <w:t xml:space="preserve">Experiment 1 failed to find a memory benefit for Sans Forgetica effect. A limitation of Experiment 1 is that simple stimulus-response learning lacks educational realism. To remedy this, Experiment 2 tested the mnemonic effects of Sans Forgetica using more realistic materials. Whereas Experiment 1 tested whether Sans Forgetica is driven by the generative process of retrieval, Experiment 2 examined whether the Sans Forgetcia effect might exert its mnemonic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 increase the distinctiveness of the text.</w:t>
      </w:r>
    </w:p>
    <w:p>
      <w:pPr>
        <w:pStyle w:val="Textkrper"/>
      </w:pPr>
      <w:r>
        <w:t xml:space="preserve">The pre-registration form for Experiment 2, which includes hypotheses, planned analyses,exclusion criteria, and sample size justification, can be found at:</w:t>
      </w:r>
      <w:r>
        <w:t xml:space="preserve"> </w:t>
      </w:r>
      <w:hyperlink r:id="rId37">
        <w:r>
          <w:rPr>
            <w:rStyle w:val="Hyperlink"/>
          </w:rPr>
          <w:t xml:space="preserve">https://aspredicted.org/3jz3z.pdf</w:t>
        </w:r>
      </w:hyperlink>
      <w:r>
        <w:t xml:space="preserve">.</w:t>
      </w:r>
    </w:p>
    <w:p>
      <w:pPr>
        <w:pStyle w:val="berschrift2"/>
      </w:pPr>
      <w:bookmarkStart w:id="38" w:name="method-1"/>
      <w:r>
        <w:t xml:space="preserve">Method</w:t>
      </w:r>
      <w:bookmarkEnd w:id="38"/>
    </w:p>
    <w:p>
      <w:pPr>
        <w:pStyle w:val="berschrift3"/>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smallest effect of interest</w:t>
      </w:r>
      <w:r>
        <w:t xml:space="preserve"> </w:t>
      </w:r>
      <w:r>
        <w:t xml:space="preserve">(Lakens &amp; Evers, 2014)</w:t>
      </w:r>
      <w:r>
        <w:t xml:space="preserve">.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criteria, we were left with unequal group sizes. Because of this, we ran six more participants per group, giving us 176 participants in each of the three conditions.</w:t>
      </w:r>
    </w:p>
    <w:p>
      <w:pPr>
        <w:pStyle w:val="berschrift3"/>
      </w:pPr>
      <w:bookmarkStart w:id="40" w:name="materials-1"/>
      <w:r>
        <w:t xml:space="preserve">Materials.</w:t>
      </w:r>
      <w:bookmarkEnd w:id="40"/>
    </w:p>
    <w:p>
      <w:pPr>
        <w:pStyle w:val="FirstParagraph"/>
      </w:pPr>
      <w:r>
        <w:t xml:space="preserve">Participants read a passage on ground water (856 words) taken from from the U.S. Geological Survey</w:t>
      </w:r>
      <w:r>
        <w:t xml:space="preserve"> </w:t>
      </w:r>
      <w:r>
        <w:t xml:space="preserve">(see</w:t>
      </w:r>
      <w:r>
        <w:t xml:space="preserve"> </w:t>
      </w:r>
      <w:r>
        <w:rPr>
          <w:b/>
        </w:rPr>
        <w:t xml:space="preserve">???</w:t>
      </w:r>
      <w:r>
        <w:t xml:space="preserve">)</w:t>
      </w:r>
      <w:r>
        <w:t xml:space="preserve">.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3"/>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After reading and signing a consent form, participants were randomly assigned to one of three conditions: pre-highlighting, Sans Forgetica, or unmodified. Participants read a passage on ground water. All participants were instructed to read the passage as though they were studying material for a class. 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distraction task (anagrams) for 3 minutes. Finally, all participants were given 12 fill-in-the-blank test questions, presented one at a time.</w:t>
      </w:r>
    </w:p>
    <w:p>
      <w:pPr>
        <w:pStyle w:val="berschrift3"/>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For congruence with Experiment 1, we fit a logistic mixed model in a similar fashion (this goes against our pre-registration).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using the brms package [</w:t>
      </w:r>
      <w:r>
        <w:t xml:space="preserve">Bürkner (2018)</w:t>
      </w:r>
      <w:r>
        <w:t xml:space="preserve">) was computed and there is moderate evidence that there is no difference between the two conditions (BF01 = 7.47).</w:t>
      </w:r>
    </w:p>
    <w:p>
      <w:pPr>
        <w:pStyle w:val="CaptionedFigure"/>
      </w:pPr>
      <w:r>
        <w:drawing>
          <wp:inline>
            <wp:extent cx="5969000" cy="2984500"/>
            <wp:effectExtent b="0" l="0" r="0" t="0"/>
            <wp:docPr descr="Figure 3:.  Passage Accuracy as a function of passage type. Raw data points (black) with mean (white dot) and 95% CIs were dervied using the modelbased R packag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Accuracy as a function of passage type. Raw data points (black) with mean (white dot) and 95% CIs were dervied using the modelbased R package..</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awareness.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presented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unmodified or pre-highlighted. We did, however, observe better memory for pre-highlighted information compared to words presented unmodified or in a Sans Forgetica font.</w:t>
      </w:r>
    </w:p>
    <w:p>
      <w:pPr>
        <w:pStyle w:val="Textkrper"/>
      </w:pPr>
      <w:r>
        <w:t xml:space="preserve">Examining metamemory judgments, we showed that a passage in Sans Forgetica font does not produce lower judgement of learning compared to unmodified or pre-highlighted passages. Interestingly, individuals gave lower JOLs to pre-highlighted information compared to materials presented in a normal font. One potential reason for pre-highlighted information receiving lower JOLs than the normal passage is that pre-highlighted information served to focus participants attention specific parts of the passage. Given the question, participants might have thought this would hinder them if tested over the passage as a whole.</w:t>
      </w:r>
    </w:p>
    <w:p>
      <w:pPr>
        <w:pStyle w:val="berschrift1"/>
      </w:pPr>
      <w:bookmarkStart w:id="48" w:name="discussion"/>
      <w:r>
        <w:t xml:space="preserve">Discussion</w:t>
      </w:r>
      <w:bookmarkEnd w:id="48"/>
    </w:p>
    <w:p>
      <w:pPr>
        <w:pStyle w:val="FirstParagraph"/>
      </w:pPr>
      <w:r>
        <w:t xml:space="preserve">Taken together, these results suggests that Sans Forgetica might not be a desirable difficulty. While it has been reported that Sans Forgetica font can enhance performance</w:t>
      </w:r>
      <w:r>
        <w:t xml:space="preserve"> </w:t>
      </w:r>
      <w:r>
        <w:t xml:space="preserve">(see Eskenazi &amp; Nix, 2020)</w:t>
      </w:r>
      <w:r>
        <w:t xml:space="preserve">, we report results from two high-powered experiments arguing against this claim. Specifically, we demonstrated that Sans Forgetica does not enhance recall for cue-target pairs (Experiment 1) or words embedded in sentences from a passage (Experiment 2). This adds to the increasing literature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(n.d.)</w:t>
      </w:r>
      <w:r>
        <w:t xml:space="preserve">), While Sans Forgetica did not produce a memory benefit, we did observe a memory advantage for items that had to be generated (Experiment 1) and that were pre-highlighted, thereby replicating previous results ().</w:t>
      </w:r>
      <w:r>
        <w:t xml:space="preserve"> </w:t>
      </w:r>
      <w:r>
        <w:t xml:space="preserve">## Limitations</w:t>
      </w:r>
    </w:p>
    <w:p>
      <w:pPr>
        <w:pStyle w:val="berschrift3"/>
      </w:pPr>
      <w:bookmarkStart w:id="49" w:name="transfer-appropriate-processing"/>
      <w:r>
        <w:t xml:space="preserve">Transfer-appropriate processing.</w:t>
      </w:r>
      <w:bookmarkEnd w:id="49"/>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 versus relational) by the generation task predicted different memory effects. It is thus possible that the Sans Forgetica effect arises only under certain memory paradigms (e.g., free recall or recognition). It is hard to test this however, as the mechanisms that give rise to the effect are unclear and currently there is not strong evidence that the Sans Forgetica effect is reliable. Future research should explore different testing conditions.</w:t>
      </w:r>
    </w:p>
    <w:p>
      <w:pPr>
        <w:pStyle w:val="berschrift3"/>
      </w:pPr>
      <w:bookmarkStart w:id="50" w:name="processing-difficulty"/>
      <w:r>
        <w:t xml:space="preserve">Processing Difficulty.</w:t>
      </w:r>
      <w:bookmarkEnd w:id="50"/>
    </w:p>
    <w:p>
      <w:pPr>
        <w:pStyle w:val="FirstParagraph"/>
      </w:pPr>
      <w:r>
        <w:t xml:space="preserve">One criticism put forth when examining perceptual disfluency is that studies do not objectively test (e.g., by using RTs) that stimuli are in fact perceptually disfluent [see</w:t>
      </w:r>
      <w:r>
        <w:t xml:space="preserve"> </w:t>
      </w:r>
      <w:r>
        <w:t xml:space="preserve">Geller et al. (2018)</w:t>
      </w:r>
      <w:r>
        <w:t xml:space="preserve">). Given that the two experiments contained herein were presented on-line using the Qualtircs platform, it was difficult to test this assumption. However, recently, a eye-tracking study by</w:t>
      </w:r>
      <w:r>
        <w:t xml:space="preserve"> </w:t>
      </w:r>
      <w:r>
        <w:t xml:space="preserve">(Eskenazi &amp; Nix, 2020)</w:t>
      </w:r>
      <w:r>
        <w:t xml:space="preserve"> </w:t>
      </w:r>
      <w:r>
        <w:t xml:space="preserve">provided evidence that Sans Forgetica is perceptually disfluent. In their study, as better spellers had longer gaze duration and spent more total time on words presented in Sans Forgetica than poor spellers. This suggests that Sans Forgetica is perceptually disfluent as long as you are a good speller.</w:t>
      </w:r>
    </w:p>
    <w:p>
      <w:pPr>
        <w:pStyle w:val="berschrift1"/>
      </w:pPr>
      <w:bookmarkStart w:id="51" w:name="conclusion"/>
      <w:r>
        <w:t xml:space="preserve">Conclusion</w:t>
      </w:r>
      <w:bookmarkEnd w:id="51"/>
    </w:p>
    <w:p>
      <w:pPr>
        <w:pStyle w:val="FirstParagraph"/>
      </w:pPr>
      <w:r>
        <w:t xml:space="preserve">The two experiments herein present evidence against claims put forth by its creators and the media [also see</w:t>
      </w:r>
      <w:r>
        <w:t xml:space="preserve"> </w:t>
      </w:r>
      <w:r>
        <w:t xml:space="preserve">Eskenazi and Nix (2020)</w:t>
      </w:r>
      <w:r>
        <w:t xml:space="preserve">). We concede that our conclusions of no effect might be a bit premature. It is possible that there is an effect of Sans Forgetica, but the effect size might be smaller than we could detect across our two studies. We powered our studies to detect a medium-sized effect. Further, as noted by</w:t>
      </w:r>
      <w:r>
        <w:t xml:space="preserve"> </w:t>
      </w:r>
      <w:r>
        <w:t xml:space="preserve">(Eskenazi &amp; Nix, 2020)</w:t>
      </w:r>
      <w:r>
        <w:t xml:space="preserve"> </w:t>
      </w:r>
      <w:r>
        <w:t xml:space="preserve">and others [Geller2018; Geller2019] there are important moderating factors of the disfluency effect that should be considered. Once more research is published, a meta-analysis can be conducted to determine the effect size and any moderating factors of the Sans Forgetica effect. Regardless, it is our conclusion that Sans Forgetica lives up its name. Students looking to remember more and forget less should use other</w:t>
      </w:r>
      <w:r>
        <w:t xml:space="preserve"> </w:t>
      </w:r>
      <w:r>
        <w:t xml:space="preserve">“</w:t>
      </w:r>
      <w:r>
        <w:t xml:space="preserve">power tools</w:t>
      </w:r>
      <w:r>
        <w:t xml:space="preserve">”</w:t>
      </w:r>
      <w:r>
        <w:t xml:space="preserve"> </w:t>
      </w:r>
      <w:r>
        <w:t xml:space="preserve">shown to enhance learning.</w:t>
      </w:r>
    </w:p>
    <w:p>
      <w:r>
        <w:br w:type="page"/>
      </w:r>
    </w:p>
    <w:p>
      <w:pPr>
        <w:pStyle w:val="berschrift1"/>
      </w:pPr>
      <w:bookmarkStart w:id="52" w:name="references"/>
      <w:r>
        <w:t xml:space="preserve">References</w:t>
      </w:r>
      <w:bookmarkEnd w:id="52"/>
    </w:p>
    <w:bookmarkStart w:id="118" w:name="refs"/>
    <w:bookmarkStart w:id="54"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3">
        <w:r>
          <w:rPr>
            <w:rStyle w:val="Hyperlink"/>
          </w:rPr>
          <w:t xml:space="preserve">https://doi.org/10.18637/jss.v067.i01</w:t>
        </w:r>
      </w:hyperlink>
    </w:p>
    <w:bookmarkEnd w:id="54"/>
    <w:bookmarkStart w:id="56"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55">
        <w:r>
          <w:rPr>
            <w:rStyle w:val="Hyperlink"/>
          </w:rPr>
          <w:t xml:space="preserve">https://doi.org/10.3758/BF03193441</w:t>
        </w:r>
      </w:hyperlink>
    </w:p>
    <w:bookmarkEnd w:id="56"/>
    <w:bookmarkStart w:id="57"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57"/>
    <w:bookmarkStart w:id="59" w:name="ref-Bjork2016"/>
    <w:p>
      <w:pPr>
        <w:pStyle w:val="Textkrper"/>
      </w:pPr>
      <w:r>
        <w:t xml:space="preserve">Bjork, R. A., &amp; Yue, C. L. (2016). Commentary: Is disfluency desirable? Springer New York LLC.</w:t>
      </w:r>
      <w:r>
        <w:t xml:space="preserve"> </w:t>
      </w:r>
      <w:hyperlink r:id="rId58">
        <w:r>
          <w:rPr>
            <w:rStyle w:val="Hyperlink"/>
          </w:rPr>
          <w:t xml:space="preserve">https://doi.org/10.1007/s11409-016-9156-8</w:t>
        </w:r>
      </w:hyperlink>
    </w:p>
    <w:bookmarkEnd w:id="59"/>
    <w:bookmarkStart w:id="61"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0">
        <w:r>
          <w:rPr>
            <w:rStyle w:val="Hyperlink"/>
          </w:rPr>
          <w:t xml:space="preserve">https://doi.org/10.1007/s10339-019-00939-6</w:t>
        </w:r>
      </w:hyperlink>
    </w:p>
    <w:bookmarkEnd w:id="61"/>
    <w:bookmarkStart w:id="63"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2">
        <w:r>
          <w:rPr>
            <w:rStyle w:val="Hyperlink"/>
          </w:rPr>
          <w:t xml:space="preserve">https://doi.org/10.32614/RJ-2018-017</w:t>
        </w:r>
      </w:hyperlink>
    </w:p>
    <w:bookmarkEnd w:id="63"/>
    <w:bookmarkStart w:id="65"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64">
        <w:r>
          <w:rPr>
            <w:rStyle w:val="Hyperlink"/>
          </w:rPr>
          <w:t xml:space="preserve">https://doi.org/10.1016/B978-0-12-809324-5.21054-7</w:t>
        </w:r>
      </w:hyperlink>
    </w:p>
    <w:bookmarkEnd w:id="65"/>
    <w:bookmarkStart w:id="67"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66">
        <w:r>
          <w:rPr>
            <w:rStyle w:val="Hyperlink"/>
          </w:rPr>
          <w:t xml:space="preserve">https://doi.org/10.3758/BF03194004</w:t>
        </w:r>
      </w:hyperlink>
    </w:p>
    <w:bookmarkEnd w:id="67"/>
    <w:bookmarkStart w:id="69"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68">
        <w:r>
          <w:rPr>
            <w:rStyle w:val="Hyperlink"/>
          </w:rPr>
          <w:t xml:space="preserve">https://doi.org/10.1016/j.cognition.2010.09.012</w:t>
        </w:r>
      </w:hyperlink>
    </w:p>
    <w:bookmarkEnd w:id="69"/>
    <w:bookmarkStart w:id="70" w:name="ref-Earp2018"/>
    <w:p>
      <w:pPr>
        <w:pStyle w:val="Textkrper"/>
      </w:pPr>
      <w:r>
        <w:t xml:space="preserve">Earp, J. (2018). Q&amp;A: Designing a font to help students remember key information.</w:t>
      </w:r>
    </w:p>
    <w:bookmarkEnd w:id="70"/>
    <w:bookmarkStart w:id="72" w:name="ref-Eskenazi2020"/>
    <w:p>
      <w:pPr>
        <w:pStyle w:val="Textkrper"/>
      </w:pPr>
      <w:r>
        <w:t xml:space="preserve">Eskenazi, M. A., &amp; Nix, B. (2020). Individual Differences in the Desirable Difficulty Effect During Lexical Acquisition.</w:t>
      </w:r>
      <w:r>
        <w:t xml:space="preserve"> </w:t>
      </w:r>
      <w:r>
        <w:rPr>
          <w:i/>
        </w:rPr>
        <w:t xml:space="preserve">Journal of Experimental Psychology: Learning Memory and Cognition</w:t>
      </w:r>
      <w:r>
        <w:t xml:space="preserve">.</w:t>
      </w:r>
      <w:r>
        <w:t xml:space="preserve"> </w:t>
      </w:r>
      <w:hyperlink r:id="rId71">
        <w:r>
          <w:rPr>
            <w:rStyle w:val="Hyperlink"/>
          </w:rPr>
          <w:t xml:space="preserve">https://doi.org/10.1037/xlm0000809</w:t>
        </w:r>
      </w:hyperlink>
    </w:p>
    <w:bookmarkEnd w:id="72"/>
    <w:bookmarkStart w:id="74"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3">
        <w:r>
          <w:rPr>
            <w:rStyle w:val="Hyperlink"/>
          </w:rPr>
          <w:t xml:space="preserve">https://doi.org/10.1037/h0036750</w:t>
        </w:r>
      </w:hyperlink>
    </w:p>
    <w:bookmarkEnd w:id="74"/>
    <w:bookmarkStart w:id="76"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75">
        <w:r>
          <w:rPr>
            <w:rStyle w:val="Hyperlink"/>
          </w:rPr>
          <w:t xml:space="preserve">https://doi.org/10.1080/00220671.2012.736430</w:t>
        </w:r>
      </w:hyperlink>
    </w:p>
    <w:bookmarkEnd w:id="76"/>
    <w:bookmarkStart w:id="78"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77">
        <w:r>
          <w:rPr>
            <w:rStyle w:val="Hyperlink"/>
          </w:rPr>
          <w:t xml:space="preserve">https://doi.org/10.3758/s13421-018-0824-6</w:t>
        </w:r>
      </w:hyperlink>
    </w:p>
    <w:bookmarkEnd w:id="78"/>
    <w:bookmarkStart w:id="80" w:name="ref-Hoffman2007"/>
    <w:p>
      <w:pPr>
        <w:pStyle w:val="Textkrper"/>
      </w:pPr>
      <w:r>
        <w:t xml:space="preserve">Hoffman, L., &amp; Rovine, M. J. (2007). Multilevel models for the experimental psychologist: Foundations and illustrative examples.</w:t>
      </w:r>
      <w:r>
        <w:t xml:space="preserve"> </w:t>
      </w:r>
      <w:r>
        <w:rPr>
          <w:i/>
        </w:rPr>
        <w:t xml:space="preserve">Behavior Research Methods</w:t>
      </w:r>
      <w:r>
        <w:t xml:space="preserve">,</w:t>
      </w:r>
      <w:r>
        <w:t xml:space="preserve"> </w:t>
      </w:r>
      <w:r>
        <w:rPr>
          <w:i/>
        </w:rPr>
        <w:t xml:space="preserve">39</w:t>
      </w:r>
      <w:r>
        <w:t xml:space="preserve">(1), 101–117.</w:t>
      </w:r>
      <w:r>
        <w:t xml:space="preserve"> </w:t>
      </w:r>
      <w:hyperlink r:id="rId79">
        <w:r>
          <w:rPr>
            <w:rStyle w:val="Hyperlink"/>
          </w:rPr>
          <w:t xml:space="preserve">https://doi.org/10.3758/BF03192848</w:t>
        </w:r>
      </w:hyperlink>
    </w:p>
    <w:bookmarkEnd w:id="80"/>
    <w:bookmarkStart w:id="82" w:name="ref-Jeff1961"/>
    <w:p>
      <w:pPr>
        <w:pStyle w:val="Textkrper"/>
      </w:pPr>
      <w:r>
        <w:t xml:space="preserve">Jeffreys, H. (1961) Theory of Probability. 3rd Edition, Clarendon Press, Oxford. - References - Scientific Research Publishing. (n.d.). Retrieved from</w:t>
      </w:r>
      <w:r>
        <w:t xml:space="preserve"> </w:t>
      </w:r>
      <w:hyperlink r:id="rId81">
        <w:r>
          <w:rPr>
            <w:rStyle w:val="Hyperlink"/>
          </w:rPr>
          <w:t xml:space="preserve">https://www.scirp.org/(S(351jmbntvnsjt1aadkposzje))/reference/ReferencesPapers.aspx?ReferenceID=1737428</w:t>
        </w:r>
      </w:hyperlink>
    </w:p>
    <w:bookmarkEnd w:id="82"/>
    <w:bookmarkStart w:id="84"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3">
        <w:r>
          <w:rPr>
            <w:rStyle w:val="Hyperlink"/>
          </w:rPr>
          <w:t xml:space="preserve">https://doi.org/10.1016/bs.plm.2016.03.003</w:t>
        </w:r>
      </w:hyperlink>
    </w:p>
    <w:bookmarkEnd w:id="84"/>
    <w:bookmarkStart w:id="86"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85">
        <w:r>
          <w:rPr>
            <w:rStyle w:val="Hyperlink"/>
          </w:rPr>
          <w:t xml:space="preserve">https://doi.org/10.1177/1745691614528520</w:t>
        </w:r>
      </w:hyperlink>
    </w:p>
    <w:bookmarkEnd w:id="86"/>
    <w:bookmarkStart w:id="88" w:name="ref-Locker2007"/>
    <w:p>
      <w:pPr>
        <w:pStyle w:val="Textkrper"/>
      </w:pPr>
      <w:r>
        <w:t xml:space="preserve">Locker, L., Huffman, L., &amp; Bovaird, J. A. (2007). On the use of multilevel modeling as an alternative to items analysis in psycholinguistic research.</w:t>
      </w:r>
      <w:r>
        <w:t xml:space="preserve"> </w:t>
      </w:r>
      <w:r>
        <w:rPr>
          <w:i/>
        </w:rPr>
        <w:t xml:space="preserve">Behavior Research Methods</w:t>
      </w:r>
      <w:r>
        <w:t xml:space="preserve">,</w:t>
      </w:r>
      <w:r>
        <w:t xml:space="preserve"> </w:t>
      </w:r>
      <w:r>
        <w:rPr>
          <w:i/>
        </w:rPr>
        <w:t xml:space="preserve">39</w:t>
      </w:r>
      <w:r>
        <w:t xml:space="preserve">(4), 723–730.</w:t>
      </w:r>
      <w:r>
        <w:t xml:space="preserve"> </w:t>
      </w:r>
      <w:hyperlink r:id="rId87">
        <w:r>
          <w:rPr>
            <w:rStyle w:val="Hyperlink"/>
          </w:rPr>
          <w:t xml:space="preserve">https://doi.org/10.3758/BF03192962</w:t>
        </w:r>
      </w:hyperlink>
    </w:p>
    <w:bookmarkEnd w:id="88"/>
    <w:bookmarkStart w:id="90"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89">
        <w:r>
          <w:rPr>
            <w:rStyle w:val="Hyperlink"/>
          </w:rPr>
          <w:t xml:space="preserve">https://doi.org/10.1007/s11409-015-9147-1</w:t>
        </w:r>
      </w:hyperlink>
    </w:p>
    <w:bookmarkEnd w:id="90"/>
    <w:bookmarkStart w:id="91"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91"/>
    <w:bookmarkStart w:id="93"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92">
        <w:r>
          <w:rPr>
            <w:rStyle w:val="Hyperlink"/>
          </w:rPr>
          <w:t xml:space="preserve">https://doi.org/10.1037/0278-7393.20.1.169</w:t>
        </w:r>
      </w:hyperlink>
    </w:p>
    <w:bookmarkEnd w:id="93"/>
    <w:bookmarkStart w:id="95"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4">
        <w:r>
          <w:rPr>
            <w:rStyle w:val="Hyperlink"/>
          </w:rPr>
          <w:t xml:space="preserve">https://doi.org/10.1037/0278-7393.22.5.1067</w:t>
        </w:r>
      </w:hyperlink>
    </w:p>
    <w:bookmarkEnd w:id="95"/>
    <w:bookmarkStart w:id="97" w:name="ref-Nelson2004"/>
    <w:p>
      <w:pPr>
        <w:pStyle w:val="Textkrper"/>
      </w:pPr>
      <w:r>
        <w:t xml:space="preserve">Nelson, D. L., McEvoy, C. L., &amp; Schreiber, T. A. (2004). The University of South Florida free association, rhyme, and word fragment norms. Psychonomic Society Inc.</w:t>
      </w:r>
      <w:r>
        <w:t xml:space="preserve"> </w:t>
      </w:r>
      <w:hyperlink r:id="rId96">
        <w:r>
          <w:rPr>
            <w:rStyle w:val="Hyperlink"/>
          </w:rPr>
          <w:t xml:space="preserve">https://doi.org/10.3758/BF03195588</w:t>
        </w:r>
      </w:hyperlink>
    </w:p>
    <w:bookmarkEnd w:id="97"/>
    <w:bookmarkStart w:id="99"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98">
        <w:r>
          <w:rPr>
            <w:rStyle w:val="Hyperlink"/>
          </w:rPr>
          <w:t xml:space="preserve">https://CRAN.R-project.org/package=hunspell</w:t>
        </w:r>
      </w:hyperlink>
    </w:p>
    <w:bookmarkEnd w:id="99"/>
    <w:bookmarkStart w:id="101"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100">
        <w:r>
          <w:rPr>
            <w:rStyle w:val="Hyperlink"/>
          </w:rPr>
          <w:t xml:space="preserve">https://doi.org/10.1037/a0013684</w:t>
        </w:r>
      </w:hyperlink>
    </w:p>
    <w:bookmarkEnd w:id="101"/>
    <w:bookmarkStart w:id="103"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102">
        <w:r>
          <w:rPr>
            <w:rStyle w:val="Hyperlink"/>
          </w:rPr>
          <w:t xml:space="preserve">https://doi.org/10.3758/PBR.16.3.550</w:t>
        </w:r>
      </w:hyperlink>
    </w:p>
    <w:bookmarkEnd w:id="103"/>
    <w:bookmarkStart w:id="105"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4">
        <w:r>
          <w:rPr>
            <w:rStyle w:val="Hyperlink"/>
          </w:rPr>
          <w:t xml:space="preserve">https://doi.org/10.1016/j.actpsy.2015.06.006</w:t>
        </w:r>
      </w:hyperlink>
    </w:p>
    <w:bookmarkEnd w:id="105"/>
    <w:bookmarkStart w:id="107"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06">
        <w:r>
          <w:rPr>
            <w:rStyle w:val="Hyperlink"/>
          </w:rPr>
          <w:t xml:space="preserve">https://doi.org/10.1007/s11409-015-9151-5</w:t>
        </w:r>
      </w:hyperlink>
    </w:p>
    <w:bookmarkEnd w:id="107"/>
    <w:bookmarkStart w:id="109"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08">
        <w:r>
          <w:rPr>
            <w:rStyle w:val="Hyperlink"/>
          </w:rPr>
          <w:t xml:space="preserve">https://doi.org/10.1080/19388079709558240</w:t>
        </w:r>
      </w:hyperlink>
    </w:p>
    <w:bookmarkEnd w:id="109"/>
    <w:bookmarkStart w:id="111"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10">
        <w:r>
          <w:rPr>
            <w:rStyle w:val="Hyperlink"/>
          </w:rPr>
          <w:t xml:space="preserve">https://doi.org/10.3758/s13423-011-0114-9</w:t>
        </w:r>
      </w:hyperlink>
    </w:p>
    <w:bookmarkEnd w:id="111"/>
    <w:bookmarkStart w:id="113" w:name="ref-Wickham2016"/>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12">
        <w:r>
          <w:rPr>
            <w:rStyle w:val="Hyperlink"/>
          </w:rPr>
          <w:t xml:space="preserve">https://ggplot2.tidyverse.org</w:t>
        </w:r>
      </w:hyperlink>
    </w:p>
    <w:bookmarkEnd w:id="113"/>
    <w:bookmarkStart w:id="115"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14">
        <w:r>
          <w:rPr>
            <w:rStyle w:val="Hyperlink"/>
          </w:rPr>
          <w:t xml:space="preserve">https://doi.org/10.1007/s10648-018-9442-x</w:t>
        </w:r>
      </w:hyperlink>
    </w:p>
    <w:bookmarkEnd w:id="115"/>
    <w:bookmarkStart w:id="117" w:name="ref-Yue"/>
    <w:p>
      <w:pPr>
        <w:pStyle w:val="Textkrper"/>
      </w:pPr>
      <w:r>
        <w:t xml:space="preserve">Yue, C. L., Storm, B. C., Kornell, N., Ligon Bjork, E., Yue, C. L., Storm, B. C., … Bjork, E. L. (n.d.). Highlighting and Its Relation to Distributed Study and Students’ Metacognitive Beliefs.</w:t>
      </w:r>
      <w:r>
        <w:t xml:space="preserve"> </w:t>
      </w:r>
      <w:hyperlink r:id="rId116">
        <w:r>
          <w:rPr>
            <w:rStyle w:val="Hyperlink"/>
          </w:rPr>
          <w:t xml:space="preserve">https://doi.org/10.1007/s10648-014-9277-z</w:t>
        </w:r>
      </w:hyperlink>
    </w:p>
    <w:bookmarkEnd w:id="117"/>
    <w:bookmarkEnd w:id="118"/>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originally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98"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6" Target="https://doi.org/10.1007/s10648-014-9277-z" TargetMode="External" /><Relationship Type="http://schemas.openxmlformats.org/officeDocument/2006/relationships/hyperlink" Id="rId114" Target="https://doi.org/10.1007/s10648-018-9442-x" TargetMode="External" /><Relationship Type="http://schemas.openxmlformats.org/officeDocument/2006/relationships/hyperlink" Id="rId89" Target="https://doi.org/10.1007/s11409-015-9147-1" TargetMode="External" /><Relationship Type="http://schemas.openxmlformats.org/officeDocument/2006/relationships/hyperlink" Id="rId106"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3" Target="https://doi.org/10.1016/bs.plm.2016.03.003" TargetMode="External" /><Relationship Type="http://schemas.openxmlformats.org/officeDocument/2006/relationships/hyperlink" Id="rId104"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92" Target="https://doi.org/10.1037/0278-7393.20.1.169" TargetMode="External" /><Relationship Type="http://schemas.openxmlformats.org/officeDocument/2006/relationships/hyperlink" Id="rId94" Target="https://doi.org/10.1037/0278-7393.22.5.1067" TargetMode="External" /><Relationship Type="http://schemas.openxmlformats.org/officeDocument/2006/relationships/hyperlink" Id="rId100"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8" Target="https://doi.org/10.1080/19388079709558240" TargetMode="External" /><Relationship Type="http://schemas.openxmlformats.org/officeDocument/2006/relationships/hyperlink" Id="rId85"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79" Target="https://doi.org/10.3758/BF03192848" TargetMode="External" /><Relationship Type="http://schemas.openxmlformats.org/officeDocument/2006/relationships/hyperlink" Id="rId87" Target="https://doi.org/10.3758/BF03192962"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6" Target="https://doi.org/10.3758/BF03195588" TargetMode="External" /><Relationship Type="http://schemas.openxmlformats.org/officeDocument/2006/relationships/hyperlink" Id="rId102"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10" Target="https://doi.org/10.3758/s13423-011-0114-9" TargetMode="External" /><Relationship Type="http://schemas.openxmlformats.org/officeDocument/2006/relationships/hyperlink" Id="rId112"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81"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98"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6" Target="https://doi.org/10.1007/s10648-014-9277-z" TargetMode="External" /><Relationship Type="http://schemas.openxmlformats.org/officeDocument/2006/relationships/hyperlink" Id="rId114" Target="https://doi.org/10.1007/s10648-018-9442-x" TargetMode="External" /><Relationship Type="http://schemas.openxmlformats.org/officeDocument/2006/relationships/hyperlink" Id="rId89" Target="https://doi.org/10.1007/s11409-015-9147-1" TargetMode="External" /><Relationship Type="http://schemas.openxmlformats.org/officeDocument/2006/relationships/hyperlink" Id="rId106"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3" Target="https://doi.org/10.1016/bs.plm.2016.03.003" TargetMode="External" /><Relationship Type="http://schemas.openxmlformats.org/officeDocument/2006/relationships/hyperlink" Id="rId104"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92" Target="https://doi.org/10.1037/0278-7393.20.1.169" TargetMode="External" /><Relationship Type="http://schemas.openxmlformats.org/officeDocument/2006/relationships/hyperlink" Id="rId94" Target="https://doi.org/10.1037/0278-7393.22.5.1067" TargetMode="External" /><Relationship Type="http://schemas.openxmlformats.org/officeDocument/2006/relationships/hyperlink" Id="rId100"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8" Target="https://doi.org/10.1080/19388079709558240" TargetMode="External" /><Relationship Type="http://schemas.openxmlformats.org/officeDocument/2006/relationships/hyperlink" Id="rId85"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79" Target="https://doi.org/10.3758/BF03192848" TargetMode="External" /><Relationship Type="http://schemas.openxmlformats.org/officeDocument/2006/relationships/hyperlink" Id="rId87" Target="https://doi.org/10.3758/BF03192962"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6" Target="https://doi.org/10.3758/BF03195588" TargetMode="External" /><Relationship Type="http://schemas.openxmlformats.org/officeDocument/2006/relationships/hyperlink" Id="rId102"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10" Target="https://doi.org/10.3758/s13423-011-0114-9" TargetMode="External" /><Relationship Type="http://schemas.openxmlformats.org/officeDocument/2006/relationships/hyperlink" Id="rId112"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81"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2020-04-10T18:24:02Z</dcterms:created>
  <dcterms:modified xsi:type="dcterms:W3CDTF">2020-04-10T18:24:02Z</dcterms:modified>
</cp:coreProperties>
</file>