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Recent claims have demonstrated that Sans Forgetica font serves as a desirbale difficulty–defined as processing difficulty that improves long-term retention. Despite these claims, there is very little empircal evidence. This led us to examine more closely Sans Forgetica as a potential desirable difficulty. In two preregistered experiments, we tested if Sans Forgetica is really unforgetable. In Experiment 1 (</w:t>
      </w:r>
      <w:r>
        <w:rPr>
          <w:i/>
        </w:rPr>
        <w:t xml:space="preserve">N</w:t>
      </w:r>
      <w:r>
        <w:t xml:space="preserve"> </w:t>
      </w:r>
      <w:r>
        <w:t xml:space="preserve">= 215), participants studied weakly realted cue-target word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on ground water with select sentences presented in either Sans Forgetcia, yellow highlighting, or unchanged. Cued recall for selelct words were better for pre-highlighted information than when no changes to the passage were made. Critically, presenting sentences in Sans Forgetica did not produce better cued recall than pre-highlighted sentences or sentences presented unchanged. Our findings suggests that Sans Forgetica is really forgeticable.</w:t>
      </w:r>
    </w:p>
    <w:p>
      <w:pPr>
        <w:pStyle w:val="Textkrper"/>
      </w:pPr>
      <w:r>
        <w:rPr>
          <w:i/>
        </w:rPr>
        <w:t xml:space="preserve">Keywords:</w:t>
      </w:r>
      <w:r>
        <w:t xml:space="preserve"> </w:t>
      </w:r>
      <w:r>
        <w:t xml:space="preserve">Disfluency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over 3,000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w:t>
      </w:r>
      <w:r>
        <w:t xml:space="preserve"> </w:t>
      </w:r>
      <w:r>
        <w:rPr>
          <w:i/>
        </w:rPr>
        <w:t xml:space="preserve">did</w:t>
      </w:r>
      <w:r>
        <w:t xml:space="preserve"> </w:t>
      </w:r>
      <w:r>
        <w:t xml:space="preserve">produce longer reading times (</w:t>
      </w:r>
      <w:r>
        <w:rPr>
          <w:i/>
        </w:rPr>
        <w:t xml:space="preserve">d</w:t>
      </w:r>
      <w:r>
        <w:t xml:space="preserve"> </w:t>
      </w:r>
      <w:r>
        <w:t xml:space="preserve">= 0.52) and produce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but it is rather fickle and not at all robust. Taken together, the evidence suggests that utility of perceptual disfluency is rather limited.</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or data has been released that supports the assertions of the Sans Forgetica team.</w:t>
      </w:r>
    </w:p>
    <w:p>
      <w:pPr>
        <w:pStyle w:val="berschrift1"/>
      </w:pPr>
      <w:bookmarkStart w:id="24" w:name="what-do-we-know-about-sf"/>
      <w:r>
        <w:t xml:space="preserve">What do we know about SF?</w:t>
      </w:r>
      <w:bookmarkEnd w:id="24"/>
    </w:p>
    <w:p>
      <w:pPr>
        <w:pStyle w:val="FirstParagraph"/>
      </w:pPr>
      <w:r>
        <w:t xml:space="preserve">There is not a lot information on Sans Forgetica. What we do know is that the typyface itself is a variation of a sans-serif typeface. SF is a typeface that consists of intermitten gaps in letters that are back slanted (see below picture). As it pertains to the empirical validation of the claims made, the website does offer some information about SF and how the original results were obtained, but not enough information to replicate the studies.</w:t>
      </w:r>
    </w:p>
    <w:p>
      <w:pPr>
        <w:pStyle w:val="Textkrper"/>
      </w:pPr>
      <w:r>
        <w:t xml:space="preserve">Accoring to an interview conducted by Earp (2018), In the first experiment (</w:t>
      </w:r>
      <w:r>
        <w:rPr>
          <w:i/>
        </w:rPr>
        <w:t xml:space="preserve">N</w:t>
      </w:r>
      <w:r>
        <w:t xml:space="preserve">=96), they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1"/>
      </w:pPr>
      <w:bookmarkStart w:id="25" w:name="current-studies"/>
      <w:r>
        <w:t xml:space="preserve">Current Studies</w:t>
      </w:r>
      <w:bookmarkEnd w:id="25"/>
    </w:p>
    <w:p>
      <w:pPr>
        <w:pStyle w:val="FirstParagraph"/>
      </w:pPr>
      <w:r>
        <w:t xml:space="preserve">The question of whether Sans Forgetica prodices mnnmenomic benefits has clear practical implications. In the educational domian, it would be relatively quick and easy to use Sans Forgetica. However, in order for the Sans Forgetica to be useful, it is importnat to note and understand both its successes and its failures. Using information obtained in Earp (2018) as a starting point, we set out to replicate and extend the Sans Forgetica effect in two high-powered preregistered experiments.</w:t>
      </w:r>
    </w:p>
    <w:p>
      <w:pPr>
        <w:pStyle w:val="berschrift1"/>
      </w:pPr>
      <w:bookmarkStart w:id="26" w:name="experiment-1"/>
      <w:r>
        <w:t xml:space="preserve">Experiment 1</w:t>
      </w:r>
      <w:bookmarkEnd w:id="26"/>
    </w:p>
    <w:p>
      <w:pPr>
        <w:pStyle w:val="FirstParagraph"/>
      </w:pPr>
      <w:r>
        <w:t xml:space="preserve">In Experiment 1, we were interested in two questions. First, is Sans Forgetica more memorable than a normal, fluent, font (e.g., Arial)? Second, is the Sans Forgetica effect on memory similar in magnitude to the generation effect? One potetntial mechanism dirivng the mnnmenic benefit for Sans Forgetica is related to the design features. Essentailly, the intermiten gaps of Sans Forgetica may require readers to generate or fill in the missing pieces. This is similar to the mechanism of action of the generation effect which is a phenomenon wherein information is better remembered when generated or filled-in compared to if it is simply read. In a prototypical experiment, participants are asked to generate words from word fragments DOLL - DR__ or read intact cue-target pairs (</w:t>
      </w:r>
      <w:r>
        <w:rPr>
          <w:i/>
        </w:rPr>
        <w:t xml:space="preserve">DOLL-DRESS</w:t>
      </w:r>
      <w:r>
        <w:t xml:space="preserve">). In Experiment 1 we examined the mnnemonic benefit of Sans Forgetica and generation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7" w:name="participants"/>
      <w:r>
        <w:t xml:space="preserve">Participants</w:t>
      </w:r>
      <w:bookmarkEnd w:id="27"/>
    </w:p>
    <w:p>
      <w:pPr>
        <w:pStyle w:val="FirstParagraph"/>
      </w:pPr>
      <w:r>
        <w:t xml:space="preserve">We recruited 230 people from Amazon’s Mechanical Turk Service. Sample size was based on a priori power analyses conducted using PANGEA v0.2 (Westfall, 2016).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scirpts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Pashler, &amp; Vul,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2" w:name="design-and-procedure"/>
      <w:r>
        <w:t xml:space="preserve">Design and Procedure</w:t>
      </w:r>
      <w:bookmarkEnd w:id="32"/>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2"/>
      </w:pPr>
      <w:bookmarkStart w:id="33" w:name="scoring"/>
      <w:r>
        <w:t xml:space="preserve">Scoring</w:t>
      </w:r>
      <w:bookmarkEnd w:id="33"/>
    </w:p>
    <w:p>
      <w:pPr>
        <w:pStyle w:val="FirstParagraph"/>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slected the correct spelling. If the response was close to the correct response, it was marked as correct.</w:t>
      </w:r>
    </w:p>
    <w:p>
      <w:pPr>
        <w:pStyle w:val="berschrift1"/>
      </w:pPr>
      <w:bookmarkStart w:id="34" w:name="results"/>
      <w:r>
        <w:t xml:space="preserve">Results</w:t>
      </w:r>
      <w:bookmarkEnd w:id="34"/>
    </w:p>
    <w:p>
      <w:pPr>
        <w:pStyle w:val="FirstParagraph"/>
      </w:pPr>
      <w:r>
        <w:t xml:space="preserve">Models were fit in R (vers. 3.5.0; R Core Team, 2019) with the lme4 package (vers. 2.3.1; Bates).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Standardized parameters were obtained by fitting the model on a standardized version of the dataset. Effect sizes were labelled following Chen’s (2010) recommendations. The model’s total explanatory power is substantial (conditional R2 = 0.60) and the part related to the fixed effects alone (marginal R2) is of 0.01. The effect of difficulty type is negative and can be considered as very small and not significant (beta = -0.09, SE = 0.11, 95% CI [-0.30, 0.13], std. beta = -0.09, p = 0.431). The effect of disfluency is positive and can be considered as very small and significant (beta = 0.21, SE = 0.06, 95% CI [0.09, 0.33], std. beta = 0.22, p &lt; .001). The interaction between difficulty type and disfluency was positive and can be considered as very small and significant (beta = 0.22, SE = 0.04, 95% CI [0.14, 0.30], std. beta = 0.21, p &lt; .001).</w:t>
      </w:r>
    </w:p>
    <w:p>
      <w:pPr>
        <w:pStyle w:val="Textkrper"/>
      </w:pPr>
      <w:r>
        <w:t xml:space="preserve">To examine the strength of the interaction we examined the full model against the main effects model using the brms package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 Jeffreys, 1961). This suggests that the magnitide of the generation effect is larger than the Sans Forgetica effect. This can be clearly seen in Fig. 2.</w:t>
      </w:r>
    </w:p>
    <w:p>
      <w:pPr>
        <w:pStyle w:val="SourceCode"/>
      </w:pPr>
      <w:r>
        <w:rPr>
          <w:rStyle w:val="VerbatimChar"/>
        </w:rPr>
        <w:t xml:space="preserve">## Warning: Missing column names filled in: 'X1' [1]</w:t>
      </w:r>
    </w:p>
    <w:p>
      <w:pPr>
        <w:pStyle w:val="FirstParagraph"/>
      </w:pPr>
      <w:r>
        <w:drawing>
          <wp:inline>
            <wp:extent cx="5969000" cy="2984500"/>
            <wp:effectExtent b="0" l="0" r="0" t="0"/>
            <wp:docPr descr="" title="" id="1" name="Picture"/>
            <a:graphic>
              <a:graphicData uri="http://schemas.openxmlformats.org/drawingml/2006/picture">
                <pic:pic>
                  <pic:nvPicPr>
                    <pic:cNvPr descr="/Users/gellr/SF_Expt2/brms_dis_plot.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Textkrper"/>
      </w:pPr>
      <w:r>
        <w:t xml:space="preserve">The results for Experiment 1 are clear-cut. Cued recall performance for target pairs presented intact and in Sans Forgetica font were equivocial. That is, we did not observe a memory benefit for Sans Forgetica. We did, however, observe better cued recall performance for targets that had to be generated then when simply read, which replicates decades of litearture (cite some shit). This suggests that (1) presenting materials in Sans Forgetica does not lead to better memory and (2) the Sans Forgetica effect is most likely not generated by the same mechanisms that give rise to the generation effect.</w:t>
      </w:r>
    </w:p>
    <w:p>
      <w:pPr>
        <w:pStyle w:val="berschrift1"/>
      </w:pPr>
      <w:bookmarkStart w:id="36" w:name="experiment-2"/>
      <w:r>
        <w:t xml:space="preserve">Experiment 2</w:t>
      </w:r>
      <w:bookmarkEnd w:id="36"/>
    </w:p>
    <w:p>
      <w:pPr>
        <w:pStyle w:val="FirstParagraph"/>
      </w:pPr>
      <w:r>
        <w:t xml:space="preserve">Experiment 1 failed to find a memory benefit for Sans Forgetica effect. One caveat of Experiment 1 is that simple paired associate learning lacks educational realsim. To remedy this, Experiment 2 tested the effects of SF using more realistic materials. Whereas Experiment 1 tested whether Sans Forgetica is driven by generation, Experiment 2 examined another possible mechanism of action–that is,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on a passage where some of the material were either presented in: SF, pre-highlighted in yellow, or unmarked. Each condition was manipulated between-subjects.</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38" w:name="materials-1"/>
      <w:r>
        <w:t xml:space="preserve">Materials</w:t>
      </w:r>
      <w:bookmarkEnd w:id="38"/>
    </w:p>
    <w:p>
      <w:pPr>
        <w:pStyle w:val="FirstParagraph"/>
      </w:pPr>
      <w:r>
        <w:t xml:space="preserve">The preregistration for Experiment 2 can be found here:</w:t>
      </w:r>
      <w:r>
        <w:t xml:space="preserve"> </w:t>
      </w:r>
      <w:hyperlink r:id="rId39">
        <w:r>
          <w:rPr>
            <w:rStyle w:val="Hyperlink"/>
          </w:rPr>
          <w:t xml:space="preserve">https://aspredicted.org/3jz3z.pdf</w:t>
        </w:r>
      </w:hyperlink>
      <w:r>
        <w:t xml:space="preserve">.</w:t>
      </w:r>
    </w:p>
    <w:p>
      <w:pPr>
        <w:pStyle w:val="Textkrper"/>
      </w:pPr>
      <w:r>
        <w:t xml:space="preserve">Participants read a passage on ground water (856 words) taken from from the U.S. Geological Survey (see Yue et al., 2014) Eleven critical phrases</w:t>
      </w:r>
      <w:r>
        <w:rPr>
          <w:rStyle w:val="Funotenzeichen"/>
        </w:rPr>
        <w:footnoteReference w:id="40"/>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1" w:name="design-and-procedure-1"/>
      <w:r>
        <w:t xml:space="preserve">Design and Procedure</w:t>
      </w:r>
      <w:bookmarkEnd w:id="41"/>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2" w:name="results-1"/>
      <w:r>
        <w:t xml:space="preserve">Results</w:t>
      </w:r>
      <w:bookmarkEnd w:id="42"/>
    </w:p>
    <w:p>
      <w:pPr>
        <w:pStyle w:val="FirstParagraph"/>
      </w:pPr>
      <w:r>
        <w:t xml:space="preserve">We fit a logistic mixed model in a similar fashion to Experiment 1. We fit a model with passage type as a fixed effect and random intercepts for subjects (</w:t>
      </w:r>
      <w:r>
        <w:rPr>
          <w:i/>
        </w:rPr>
        <w:t xml:space="preserve">n</w:t>
      </w:r>
      <w:r>
        <w:t xml:space="preserve">=528) and questions (</w:t>
      </w:r>
      <w:r>
        <w:rPr>
          <w:i/>
        </w:rPr>
        <w:t xml:space="preserve">n</w:t>
      </w:r>
      <w:r>
        <w:t xml:space="preserve">=11): (formual: acc=glmer(auto_acc~passage_type+(1|Participant) + (1|Question), data=data, family=</w:t>
      </w:r>
      <w:r>
        <w:t xml:space="preserve">“</w:t>
      </w:r>
      <w:r>
        <w:t xml:space="preserve">binomial</w:t>
      </w:r>
      <w:r>
        <w:t xml:space="preserve">”</w:t>
      </w:r>
      <w:r>
        <w:t xml:space="preserve">). Standardized parameters were obtained by fitting the model on a standardized version of the dataset. The model’s total explanatory power is substantial (conditional R2 = 0.45) and the part related to the fixed effects alone (marginal R2) is of 0.00. 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 beta = 0.38, SE = 0.17, 95% CI [0.05, 0.71], std. beta = 0.38, p &lt; .05, and were marginally better remembered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 (beta = 0.06, SE = 0.17, 95% CI [-0.26, 0.39], std. beta = 0.06, p = 0.700. A Bayes factor using the brms package (Burkner, 2015) was computed and there is moderate evidence that the effects are equal (BF = 7.47).</w:t>
      </w:r>
    </w:p>
    <w:p>
      <w:pPr>
        <w:pStyle w:val="Textkrper"/>
      </w:pPr>
      <w:r>
        <w:drawing>
          <wp:inline>
            <wp:extent cx="5969000" cy="2984500"/>
            <wp:effectExtent b="0" l="0" r="0" t="0"/>
            <wp:docPr descr="" title="" id="1" name="Picture"/>
            <a:graphic>
              <a:graphicData uri="http://schemas.openxmlformats.org/drawingml/2006/picture">
                <pic:pic>
                  <pic:nvPicPr>
                    <pic:cNvPr descr="/Users/gellr/SF_Expt2/brms_passage.png" id="0" name="Picture"/>
                    <pic:cNvPicPr>
                      <a:picLocks noChangeArrowheads="1" noChangeAspect="1"/>
                    </pic:cNvPicPr>
                  </pic:nvPicPr>
                  <pic:blipFill>
                    <a:blip r:embed="rId43"/>
                    <a:stretch>
                      <a:fillRect/>
                    </a:stretch>
                  </pic:blipFill>
                  <pic:spPr bwMode="auto">
                    <a:xfrm>
                      <a:off x="0" y="0"/>
                      <a:ext cx="5969000" cy="2984500"/>
                    </a:xfrm>
                    <a:prstGeom prst="rect">
                      <a:avLst/>
                    </a:prstGeom>
                    <a:noFill/>
                    <a:ln w="9525">
                      <a:noFill/>
                      <a:headEnd/>
                      <a:tailEnd/>
                    </a:ln>
                  </pic:spPr>
                </pic:pic>
              </a:graphicData>
            </a:graphic>
          </wp:inline>
        </w:drawing>
      </w:r>
    </w:p>
    <w:p>
      <w:pPr>
        <w:pStyle w:val="berschrift1"/>
      </w:pPr>
      <w:bookmarkStart w:id="44" w:name="exploratory-analysis"/>
      <w:r>
        <w:t xml:space="preserve">Exploratory Analysis</w:t>
      </w:r>
      <w:bookmarkEnd w:id="44"/>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 Interestingly,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1: Judgements of learning as a function of passage type." title="" id="1" name="Picture"/>
            <a:graphic>
              <a:graphicData uri="http://schemas.openxmlformats.org/drawingml/2006/picture">
                <pic:pic>
                  <pic:nvPicPr>
                    <pic:cNvPr descr="SF_Paper_files/figure-docx/unnamed-chunk-5-1.png" id="0" name="Picture"/>
                    <pic:cNvPicPr>
                      <a:picLocks noChangeArrowheads="1" noChangeAspect="1"/>
                    </pic:cNvPicPr>
                  </pic:nvPicPr>
                  <pic:blipFill>
                    <a:blip r:embed="rId45"/>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(#tab:unnamed-chunk-5)</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berschrift1"/>
      </w:pPr>
      <w:bookmarkStart w:id="46" w:name="dicussion"/>
      <w:r>
        <w:t xml:space="preserve">Dicussion</w:t>
      </w:r>
      <w:bookmarkEnd w:id="46"/>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7" w:name="references"/>
      <w:r>
        <w:t xml:space="preserve">References</w:t>
      </w:r>
      <w:bookmarkEnd w:id="47"/>
    </w:p>
    <w:bookmarkStart w:id="48" w:name="refs"/>
    <w:bookmarkEnd w:id="4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29"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aspredicted.org/3ai98.pdf" TargetMode="External" /><Relationship Type="http://schemas.openxmlformats.org/officeDocument/2006/relationships/hyperlink" Id="rId39" Target="https://aspredicted.org/3jz3z.pdf"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2020-03-05T02:26:53Z</dcterms:created>
  <dcterms:modified xsi:type="dcterms:W3CDTF">2020-03-05T02:26:53Z</dcterms:modified>
</cp:coreProperties>
</file>