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Override PartName="/word/media/rId4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tbl>
      <w:tblPr>
        <w:tblStyle w:val="Table"/>
        <w:tblW w:type="pct" w:w="5000.0"/>
        <w:tblLook w:firstRow="0"/>
      </w:tblPr>
      <w:tblGrid>
        <w:gridCol w:w="7920"/>
      </w:tblGrid>
      <w:tr>
        <w:tc>
          <w:p>
            <w:pPr>
              <w:pStyle w:val="Compact"/>
              <w:jc w:val="cente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tc>
      </w:tr>
      <w:tr>
        <w:tc>
          <w:p>
            <w:pPr>
              <w:pStyle w:val="Compact"/>
              <w:jc w:val="center"/>
            </w:pPr>
            <w:r>
              <w:rPr>
                <w:vertAlign w:val="superscript"/>
              </w:rPr>
              <w:t xml:space="preserve">1</w:t>
            </w:r>
            <w:r>
              <w:t xml:space="preserve"> </w:t>
            </w:r>
            <w:r>
              <w:t xml:space="preserve">University of Iowa</w:t>
            </w:r>
          </w:p>
        </w:tc>
      </w:tr>
      <w:tr>
        <w:tc>
          <w:p>
            <w:pPr>
              <w:pStyle w:val="Compact"/>
              <w:jc w:val="center"/>
            </w:pPr>
            <w:r>
              <w:rPr>
                <w:vertAlign w:val="superscript"/>
              </w:rPr>
              <w:t xml:space="preserve">2</w:t>
            </w:r>
            <w:r>
              <w:t xml:space="preserve"> </w:t>
            </w:r>
            <w:r>
              <w:t xml:space="preserve">Skidmore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Jason Geller, Postal address. E-mail:</w:t>
      </w:r>
      <w:r>
        <w:t xml:space="preserve"> </w:t>
      </w:r>
      <w:hyperlink r:id="rId21">
        <w:r>
          <w:rPr>
            <w:rStyle w:val="Hyperlink"/>
          </w:rPr>
          <w:t xml:space="preserve">jason-geller@uiowa.edu</w:t>
        </w:r>
      </w:hyperlink>
    </w:p>
    <w:p>
      <w:pPr>
        <w:pStyle w:val="Compact"/>
        <w:pStyle w:val="Titel"/>
      </w:pPr>
      <w:r>
        <w:t xml:space="preserve">Abstract</w:t>
      </w:r>
    </w:p>
    <w:p>
      <w:pPr>
        <w:pStyle w:val="Textkrper"/>
      </w:pPr>
      <w:r>
        <w:rPr>
          <w:i/>
        </w:rPr>
        <w:t xml:space="preserve">Keywords:</w:t>
      </w:r>
      <w:r>
        <w:t xml:space="preserve"> </w:t>
      </w:r>
      <w:r>
        <w:t xml:space="preserve">fluency</w:t>
      </w:r>
    </w:p>
    <w:p>
      <w:pPr>
        <w:pStyle w:val="Textkrper"/>
      </w:pPr>
      <w:r>
        <w:t xml:space="preserve">Word count: X</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called the disfluency effect.</w:t>
      </w:r>
    </w:p>
    <w:p>
      <w:pPr>
        <w:pStyle w:val="Textkrper"/>
      </w:pPr>
      <w:r>
        <w:t xml:space="preserve">Although appealing as a pedagogical strategy, there have been several experiments that failed to find memorial benefits for perceptually disfluent</w:t>
      </w:r>
      <w:r>
        <w:t xml:space="preserve"> </w:t>
      </w:r>
      <w:r>
        <w:t xml:space="preserve">materials (e.g., Magreehan, Serra, Schwartz &amp; Narciss, 2016; Rhodes &amp; Castel, 2008, 2009; Rummer, Scheweppe, &amp; Schewede, 2016; Yue,</w:t>
      </w:r>
      <w:r>
        <w:t xml:space="preserve"> </w:t>
      </w:r>
      <w:r>
        <w:t xml:space="preserve">Castel, &amp; Bjork, 2013), casting doubt upon the veracity of the disfluency effect. A recent meta-analysis (), Recent studies by Geller et al.(2018) and Geller &amp; Still (2018) found that perceptual disfluency can have a beneficial effect on memory, but seems to be rather fickle, thus delimiting its educational usefuleness.</w:t>
      </w:r>
    </w:p>
    <w:p>
      <w:pPr>
        <w:pStyle w:val="Textkrper"/>
      </w:pPr>
      <w:r>
        <w:t xml:space="preserve">Given the weak evidence, it came as a surprise to me when a little over a year ago, a font by the name of Sans Forgetica (SF) started getting a ton of press coverage. The mnnmenomic benefits of this font,</w:t>
      </w:r>
      <w:r>
        <w:t xml:space="preserve"> </w:t>
      </w:r>
      <w:r>
        <w:rPr>
          <w:i/>
        </w:rPr>
        <w:t xml:space="preserve">based on cognitive psychology</w:t>
      </w:r>
      <w:r>
        <w:t xml:space="preserve">, were being touted in reputable news sources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amongst others. The creators even made the SF font available for mac and pc operating systems–all you have to do is downlaod the font file and you to can remember everything you read :). There is even a Chrome browser extension and cellphone application that allows users to place material in Sans Forgetica. With this much attention and marketing, there has to be solid empirical evidence backing it up, right? Not quite.</w:t>
      </w:r>
    </w:p>
    <w:p>
      <w:pPr>
        <w:pStyle w:val="Textkrper"/>
      </w:pPr>
      <w:r>
        <w:t xml:space="preserve">Despite the weak evidence for perceptual disfluency, it came as a surprise to me when a little over a year ago, I saw a font by the name of Sans Forgetica (SF) getting a ton of press coverage. The mnnmenomic benefits of this font,</w:t>
      </w:r>
      <w:r>
        <w:t xml:space="preserve"> </w:t>
      </w:r>
      <w:r>
        <w:rPr>
          <w:i/>
        </w:rPr>
        <w:t xml:space="preserve">based on cognitive psychology</w:t>
      </w:r>
      <w:r>
        <w:t xml:space="preserve">, were being touted in reputable news sources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amongst others. The creators even made the SF font available for mac and pc operating systems–all you have to do is downlaod the font file and you to can remember everything you read :). There is even a Chrome browser extension and cellphone application that allows users to place material in Sans Forgetica. With this much attention and marketing, there has to be solid empirical evidence backing it up, right? Not quite.</w:t>
      </w:r>
    </w:p>
    <w:p>
      <w:pPr>
        <w:pStyle w:val="berschrift1"/>
      </w:pPr>
      <w:bookmarkStart w:id="24" w:name="what-do-we-know-about-sf"/>
      <w:r>
        <w:t xml:space="preserve">What do we know about SF?</w:t>
      </w:r>
      <w:bookmarkEnd w:id="24"/>
    </w:p>
    <w:p>
      <w:pPr>
        <w:pStyle w:val="FirstParagraph"/>
      </w:pPr>
      <w:r>
        <w:t xml:space="preserve">There is not information about SF. The typyface itself is a variation of a sans-serif typeface. It is a typeface that consists of intermitten gaps in letters that are back slanted (see below picture). The design features of this typeface require readers of it to</w:t>
      </w:r>
      <w:r>
        <w:t xml:space="preserve"> </w:t>
      </w:r>
      <w:r>
        <w:t xml:space="preserve">“</w:t>
      </w:r>
      <w:r>
        <w:t xml:space="preserve">fill-in</w:t>
      </w:r>
      <w:r>
        <w:t xml:space="preserve">”</w:t>
      </w:r>
      <w:r>
        <w:t xml:space="preserve"> </w:t>
      </w:r>
      <w:r>
        <w:t xml:space="preserve">the missing pieces like a puzzle. As it pertains to the empirical validation of the claims made, the website does offer some information about SF and how the original results were obtained, but not enough information to replicate the studies.</w:t>
      </w:r>
    </w:p>
    <w:p>
      <w:pPr>
        <w:pStyle w:val="CaptionedFigure"/>
      </w:pPr>
      <w:r>
        <w:drawing>
          <wp:inline>
            <wp:extent cx="4762500" cy="3619500"/>
            <wp:effectExtent b="0" l="0" r="0" t="0"/>
            <wp:docPr descr="image" title="" id="1" name="Picture"/>
            <a:graphic>
              <a:graphicData uri="http://schemas.openxmlformats.org/drawingml/2006/picture">
                <pic:pic>
                  <pic:nvPicPr>
                    <pic:cNvPr descr="https://user-images.githubusercontent.com/18429968/70854186-006bd180-1e7e-11ea-8fe1-94f5cf37c805.png" id="0" name="Picture"/>
                    <pic:cNvPicPr>
                      <a:picLocks noChangeArrowheads="1" noChangeAspect="1"/>
                    </pic:cNvPicPr>
                  </pic:nvPicPr>
                  <pic:blipFill>
                    <a:blip r:embed="rId25"/>
                    <a:stretch>
                      <a:fillRect/>
                    </a:stretch>
                  </pic:blipFill>
                  <pic:spPr bwMode="auto">
                    <a:xfrm>
                      <a:off x="0" y="0"/>
                      <a:ext cx="4762500" cy="3619500"/>
                    </a:xfrm>
                    <a:prstGeom prst="rect">
                      <a:avLst/>
                    </a:prstGeom>
                    <a:noFill/>
                    <a:ln w="9525">
                      <a:noFill/>
                      <a:headEnd/>
                      <a:tailEnd/>
                    </a:ln>
                  </pic:spPr>
                </pic:pic>
              </a:graphicData>
            </a:graphic>
          </wp:inline>
        </w:drawing>
      </w:r>
    </w:p>
    <w:p>
      <w:pPr>
        <w:pStyle w:val="ImageCaption"/>
      </w:pPr>
      <w:r>
        <w:t xml:space="preserve">image</w:t>
      </w:r>
    </w:p>
    <w:p>
      <w:pPr>
        <w:pStyle w:val="berschrift1"/>
      </w:pPr>
      <w:bookmarkStart w:id="26" w:name="earp-2018-conducted-an-interview-with-the-creators-of-sf-and-here-is-what-we-know.-apparently-two-studies-were-conducted.-in-a-lab-experiment-n96-they-had-participants-read-20-word-pairs-e.g.-girl---guy-called-a-paried-associates-task-in-cognitive-parlance-in-three-new-fonts-one-of-them-being-sf-and-a-typical-or-common-font.-the-font-pairs-were-presented-were-counterbalanced-across-participants.-what-this-means-is-that-all-fonts-were-shown-but-the-same-pairs-were-never-presneted-in-more-than-one-type-of-font.-each-word-pair-was-presnted-on-the-screen-for-100-ms-that-is-super-fast.-for-a-final-test-they-were-given-the-cue-e.g.-girl-and-had-to-respond-with-the-target-guy.-what-did-they-find-according-to-the-interview-targets-were-recalled-68-of-time-when-presented-in-a-common-font.-for-cue-target-pairs-in-sf-targets-were-recalled-69-of-the-timea-negeliable-difference."/>
      <w:r>
        <w:t xml:space="preserve">Earp (2018) conducted an interview with the creators of SF and here is what we know. Apparently two studies were conducted. In a lab experiment (</w:t>
      </w:r>
      <w:r>
        <w:rPr>
          <w:i/>
        </w:rPr>
        <w:t xml:space="preserve">N</w:t>
      </w:r>
      <w:r>
        <w:t xml:space="preserve">=96), they had participants read 20 word pairs (e.g., girl - guy; called a paried associates task in cognitive parlance) in three new fonts (one of them being SF) and a typical or common font. The font pairs were presented were counterbalanced across participants. What this means is that all fonts were shown,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bookmarkEnd w:id="26"/>
    </w:p>
    <w:p>
      <w:pPr>
        <w:pStyle w:val="FirstParagraph"/>
      </w:pPr>
      <w:r>
        <w:t xml:space="preserve">Earp (2018) conducted an interview with the creators of SF and I was able to glean some details about how SF ws validated. Apparently two studies were conducted. In a lab experiment (</w:t>
      </w:r>
      <w:r>
        <w:rPr>
          <w:i/>
        </w:rPr>
        <w:t xml:space="preserve">N</w:t>
      </w:r>
      <w:r>
        <w:t xml:space="preserve">=96), they had participants read 20 word pairs (e.g., girl - guy; called a paried associates task in cognitive parlance)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Textkrper"/>
      </w:pPr>
      <w:r>
        <w:t xml:space="preserve">In an online experiment,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Textkrper"/>
      </w:pPr>
      <w:r>
        <w:t xml:space="preserve">At the time of this writing, these studies have not been published nor is there a preprint available. I reached out to the creators of SF, but they refused to share the materials with me. Instead of waiting, I elicited the help of Sara Davis and Daniel Peterson at Skidmore university to test the mnenmomic benefits of Sans Forgetica. We preregistered two studies (</w:t>
      </w:r>
      <w:hyperlink r:id="rId27">
        <w:r>
          <w:rPr>
            <w:rStyle w:val="Hyperlink"/>
          </w:rPr>
          <w:t xml:space="preserve">https://osf.io/d2vy8/</w:t>
        </w:r>
      </w:hyperlink>
      <w:r>
        <w:t xml:space="preserve">). All materials, data, and analysis scripts can be found at that website. Analyses are computationally reproducible by going to this github and clicking on the binder button. the two reported experiments in an online container (</w:t>
      </w:r>
      <w:hyperlink r:id="rId28">
        <w:r>
          <w:rPr>
            <w:rStyle w:val="Hyperlink"/>
          </w:rPr>
          <w:t xml:space="preserve">https://github.com/jgeller112/SF_Expt1</w:t>
        </w:r>
      </w:hyperlink>
      <w:r>
        <w:t xml:space="preserve">;</w:t>
      </w:r>
      <w:r>
        <w:t xml:space="preserve"> </w:t>
      </w:r>
      <w:hyperlink r:id="rId29">
        <w:r>
          <w:rPr>
            <w:rStyle w:val="Hyperlink"/>
          </w:rPr>
          <w:t xml:space="preserve">https://github.com/jgeller112/SF_Expt2</w:t>
        </w:r>
      </w:hyperlink>
      <w:r>
        <w:t xml:space="preserve">).</w:t>
      </w:r>
    </w:p>
    <w:p>
      <w:pPr>
        <w:pStyle w:val="berschrift1"/>
      </w:pPr>
      <w:bookmarkStart w:id="30" w:name="experiment-1"/>
      <w:r>
        <w:t xml:space="preserve">Experiment 1</w:t>
      </w:r>
      <w:bookmarkEnd w:id="30"/>
    </w:p>
    <w:p>
      <w:pPr>
        <w:pStyle w:val="FirstParagraph"/>
      </w:pPr>
      <w:r>
        <w:t xml:space="preserve">In the first study we compared the mnenmonic benefits of SF against a robust technique known to enhance memory—generation. The generation effect is a phenomenon where information is better remembered when retrieved than if it is simply read. In a prototypical experiment,participants are asked to generate words from word fragments DOLL - DR__ or read intact cue-target pairs (</w:t>
      </w:r>
      <w:r>
        <w:rPr>
          <w:i/>
        </w:rPr>
        <w:t xml:space="preserve">DOLL-DRESS</w:t>
      </w:r>
      <w:r>
        <w:t xml:space="preserve">). Compared to the intact condition, individuals recall the generated target words at a higher rate. The nature of generation is where the supposed mnnmeoic benefit of SF comes from. We examined this in the current experiment.</w:t>
      </w:r>
    </w:p>
    <w:p>
      <w:pPr>
        <w:pStyle w:val="berschrift2"/>
      </w:pPr>
      <w:bookmarkStart w:id="31" w:name="participants"/>
      <w:r>
        <w:t xml:space="preserve">Participants</w:t>
      </w:r>
      <w:bookmarkEnd w:id="31"/>
    </w:p>
    <w:p>
      <w:pPr>
        <w:pStyle w:val="FirstParagraph"/>
      </w:pPr>
      <w:r>
        <w:t xml:space="preserve">We recruited 230 people from Amazon’s Mechanical Turk Service. Sample size was calculated based on the smallest effect of interest (SEOI; Lakens &amp; Evers, 2014). In this case, we were interested in powering our study to detect a medium-sized effect size (</w:t>
      </w:r>
      <w:r>
        <w:rPr>
          <w:i/>
        </w:rPr>
        <w:t xml:space="preserve">d</w:t>
      </w:r>
      <w:r>
        <w:t xml:space="preserve"> </w:t>
      </w:r>
      <w:r>
        <w:t xml:space="preserve">=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2"/>
      </w:pPr>
      <w:bookmarkStart w:id="32" w:name="materials-and-procedure"/>
      <w:r>
        <w:t xml:space="preserve">Materials and Procedure</w:t>
      </w:r>
      <w:bookmarkEnd w:id="32"/>
    </w:p>
    <w:p>
      <w:pPr>
        <w:pStyle w:val="FirstParagraph"/>
      </w:pPr>
      <w:r>
        <w:t xml:space="preserve">all</w:t>
      </w:r>
    </w:p>
    <w:p>
      <w:pPr>
        <w:pStyle w:val="Textkrper"/>
      </w:pPr>
      <w:r>
        <w:t xml:space="preserve">Participants were presented with 22 weakly related cue-target pairs taken from Carpenter et al., 2012)[^1]: Two cue-target pairs () had to be thrown out as they were not preseted due to a coding error. The cue-target pairs were all nouns, 5–7 letters and 1–3 syllables in length, and high in concreteness (400–700) and frequency (at least 30 per million).</w:t>
      </w:r>
    </w:p>
    <w:p>
      <w:pPr>
        <w:pStyle w:val="Textkrper"/>
      </w:pPr>
      <w:r>
        <w:t xml:space="preserve">For half the participants, targets were presented in SF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In Experiment 1 participants were presented with 40 weakly relatedcue-target pairs. The pairs were nouns, 5–7 letters, 1–3 syllables in length, and high in concreteness (400–700) and frequency (at least 30 per million). For half of the participants, half of the targets were presented in SF while the other half were presented in Arial font; for the other half of participants, the targets were presented with missing letters (vowels were replaced by underscores) and the other half were intact (Arial font). After a short 2 minute distractor task (anagram generation), they completed a cued recall test.</w:t>
      </w:r>
    </w:p>
    <w:p>
      <w:pPr>
        <w:pStyle w:val="Textkrper"/>
      </w:pPr>
      <w:r>
        <w:t xml:space="preserve">Spell checking was automated with the hunspell package in R (Ooms, 2018) using spellCheck.R. Becasuse participants were recruited in the United States, we used the American English dictionary. A nice walkthrough on how to use the package can be found in Buchcamam, De Deyne, &amp; Montefinese (2019). Using the package, each response was corrected for misspelings. Corrected spellings are provided in the most probable order, therefore, the first suggestion is selected as the correct answer. Answers were marked correct if they provided the exact response. In order for a response to be judged correctly, the response had to match the correct answer.</w:t>
      </w:r>
    </w:p>
    <w:p>
      <w:pPr>
        <w:pStyle w:val="Textkrper"/>
      </w:pPr>
      <w:r>
        <w:t xml:space="preserve">What did we find?</w:t>
      </w:r>
    </w:p>
    <w:p>
      <w:pPr>
        <w:pStyle w:val="Textkrper"/>
      </w:pPr>
      <w:r>
        <w:t xml:space="preserve">In Experiment 1 we found a sizeable generation effect, which replicated past work. However, we did not find a SF effect (See figure below)</w:t>
      </w:r>
    </w:p>
    <w:p>
      <w:pPr>
        <w:pStyle w:val="SourceCode"/>
      </w:pPr>
      <w:r>
        <w:rPr>
          <w:rStyle w:val="VerbatimChar"/>
        </w:rPr>
        <w:t xml:space="preserve">## Warning: Missing column names filled in: 'X1' [1]</w:t>
      </w:r>
    </w:p>
    <w:p>
      <w:pPr>
        <w:pStyle w:val="SourceCode"/>
      </w:pPr>
      <w:r>
        <w:rPr>
          <w:rStyle w:val="VerbatimChar"/>
        </w:rPr>
        <w:t xml:space="preserve">## </w:t>
      </w:r>
      <w:r>
        <w:br w:type="textWrapping"/>
      </w:r>
      <w:r>
        <w:rPr>
          <w:rStyle w:val="VerbatimChar"/>
        </w:rPr>
        <w:t xml:space="preserve">##  condition*dis effect</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0.2952348 0.1507106</w:t>
      </w:r>
      <w:r>
        <w:br w:type="textWrapping"/>
      </w:r>
      <w:r>
        <w:rPr>
          <w:rStyle w:val="VerbatimChar"/>
        </w:rPr>
        <w:t xml:space="preserve">##   Sans Forgetica 0.2429061 0.2469149</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0.1625725 0.08088777</w:t>
      </w:r>
      <w:r>
        <w:br w:type="textWrapping"/>
      </w:r>
      <w:r>
        <w:rPr>
          <w:rStyle w:val="VerbatimChar"/>
        </w:rPr>
        <w:t xml:space="preserve">##   Sans Forgetica 0.1343397 0.14399034</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0.4747772 0.2635241</w:t>
      </w:r>
      <w:r>
        <w:br w:type="textWrapping"/>
      </w:r>
      <w:r>
        <w:rPr>
          <w:rStyle w:val="VerbatimChar"/>
        </w:rPr>
        <w:t xml:space="preserve">##   Sans Forgetica 0.3987912 0.3898998</w:t>
      </w:r>
    </w:p>
    <w:p>
      <w:pPr>
        <w:pStyle w:val="FirstParagraph"/>
      </w:pPr>
      <w:r>
        <w:drawing>
          <wp:inline>
            <wp:extent cx="5969000" cy="4775200"/>
            <wp:effectExtent b="0" l="0" r="0" t="0"/>
            <wp:docPr descr="" title="" id="1" name="Picture"/>
            <a:graphic>
              <a:graphicData uri="http://schemas.openxmlformats.org/drawingml/2006/picture">
                <pic:pic>
                  <pic:nvPicPr>
                    <pic:cNvPr descr="SF_Paper_files/figure-docx/unnamed-chunk-1-1.png" id="0"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4" w:name="experiment-2"/>
      <w:r>
        <w:t xml:space="preserve">Experiment 2</w:t>
      </w:r>
      <w:bookmarkEnd w:id="34"/>
    </w:p>
    <w:p>
      <w:pPr>
        <w:pStyle w:val="FirstParagraph"/>
      </w:pPr>
      <w:r>
        <w:t xml:space="preserve">The procedure in Experiment 1 could be said to lack educational realsim. It is possible that Experiment 2 examined the SF in a more educatioanlly realistic scenairo. We presented participants a passage on ground water where some of the material was either: pre-highlighted, presented in SF, or presneted with no changes. This was a between-subjects manipulation. Specifically participants read a passage about ground water (856 words) from the U.S. Geological Survey website (Yue, Storm, Kornell, Bjork, 2014). Eleven critical phrases</w:t>
      </w:r>
      <w:r>
        <w:rPr>
          <w:rStyle w:val="Funotenzeichen"/>
        </w:rPr>
        <w:footnoteReference w:id="35"/>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Textkrper"/>
      </w:pPr>
      <w:r>
        <w:t xml:space="preserve">Experiment 2 examined the SF in a more educatioanlly realistic scenairo. We presented participants a passage on ground water where some of the material was either: pre-highlighted, presented in SF, or presneted with no changes. This was a between-subjects manipulation. Specifically participants read a passage about ground water (856 words) from the U.S. Geological Survey website (Yue, Storm, Kornell, Bjork, 2014). Eleven critical phrases</w:t>
      </w:r>
      <w:r>
        <w:rPr>
          <w:rStyle w:val="Funotenzeichen"/>
        </w:rPr>
        <w:footnoteReference w:id="36"/>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erschrift2"/>
      </w:pPr>
      <w:bookmarkStart w:id="37" w:name="participants-1"/>
      <w:r>
        <w:t xml:space="preserve">Participants</w:t>
      </w:r>
      <w:bookmarkEnd w:id="37"/>
    </w:p>
    <w:p>
      <w:pPr>
        <w:pStyle w:val="FirstParagraph"/>
      </w:pPr>
      <w:r>
        <w:t xml:space="preserve">Participants were 528 undergraduates who participated for partial completion of course credit. Sample size was calculated based on the samllest effect of interest (Lakens &amp; Evers, 2014). In this case, we were interested in powering our study to detect a medium-sized effect size (</w:t>
      </w:r>
      <w:r>
        <w:rPr>
          <w:i/>
        </w:rPr>
        <w:t xml:space="preserve">d</w:t>
      </w:r>
      <w:r>
        <w:t xml:space="preserve"> </w:t>
      </w:r>
      <w:r>
        <w:t xml:space="preserve">= .35). Therefore, assuming an alpha of .05 and a desired power of 90%, a sample size of 170 is required to detect whether an effect size of .35 differs from zero. After excluding participants based on our preregistered exclusion critera, we were left with unequal group sizes. Becasue of this, we decided to run six more pariticpants per group, giving us 176 participants in each of the three conditions.</w:t>
      </w:r>
    </w:p>
    <w:p>
      <w:pPr>
        <w:pStyle w:val="SourceCode"/>
      </w:pPr>
      <w:r>
        <w:rPr>
          <w:rStyle w:val="VerbatimChar"/>
        </w:rPr>
        <w:t xml:space="preserve">## [1] "/Users/gellr/SF_Expt2"</w:t>
      </w:r>
    </w:p>
    <w:p>
      <w:pPr>
        <w:pStyle w:val="SourceCode"/>
      </w:pPr>
      <w:r>
        <w:rPr>
          <w:rStyle w:val="VerbatimChar"/>
        </w:rPr>
        <w:t xml:space="preserve">## </w:t>
      </w:r>
      <w:r>
        <w:br w:type="textWrapping"/>
      </w:r>
      <w:r>
        <w:rPr>
          <w:rStyle w:val="VerbatimChar"/>
        </w:rPr>
        <w:t xml:space="preserve">##  FL_149_DO effect</w:t>
      </w:r>
      <w:r>
        <w:br w:type="textWrapping"/>
      </w:r>
      <w:r>
        <w:rPr>
          <w:rStyle w:val="VerbatimChar"/>
        </w:rPr>
        <w:t xml:space="preserve">## FL_149_DO</w:t>
      </w:r>
      <w:r>
        <w:br w:type="textWrapping"/>
      </w:r>
      <w:r>
        <w:rPr>
          <w:rStyle w:val="VerbatimChar"/>
        </w:rPr>
        <w:t xml:space="preserve">## Highlight    Normal   Passage </w:t>
      </w:r>
      <w:r>
        <w:br w:type="textWrapping"/>
      </w:r>
      <w:r>
        <w:rPr>
          <w:rStyle w:val="VerbatimChar"/>
        </w:rPr>
        <w:t xml:space="preserve">## 0.4355881 0.3573040 0.3620440 </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FL_149_DO</w:t>
      </w:r>
      <w:r>
        <w:br w:type="textWrapping"/>
      </w:r>
      <w:r>
        <w:rPr>
          <w:rStyle w:val="VerbatimChar"/>
        </w:rPr>
        <w:t xml:space="preserve">## Highlight    Normal   Passage </w:t>
      </w:r>
      <w:r>
        <w:br w:type="textWrapping"/>
      </w:r>
      <w:r>
        <w:rPr>
          <w:rStyle w:val="VerbatimChar"/>
        </w:rPr>
        <w:t xml:space="preserve">## 0.2901155 0.2274264 0.2309456 </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FL_149_DO</w:t>
      </w:r>
      <w:r>
        <w:br w:type="textWrapping"/>
      </w:r>
      <w:r>
        <w:rPr>
          <w:rStyle w:val="VerbatimChar"/>
        </w:rPr>
        <w:t xml:space="preserve">## Highlight    Normal   Passage </w:t>
      </w:r>
      <w:r>
        <w:br w:type="textWrapping"/>
      </w:r>
      <w:r>
        <w:rPr>
          <w:rStyle w:val="VerbatimChar"/>
        </w:rPr>
        <w:t xml:space="preserve">## 0.5930646 0.5121803 0.5174860</w:t>
      </w:r>
    </w:p>
    <w:p>
      <w:pPr>
        <w:pStyle w:val="FirstParagraph"/>
      </w:pPr>
      <w:r>
        <w:drawing>
          <wp:inline>
            <wp:extent cx="5969000" cy="4775200"/>
            <wp:effectExtent b="0" l="0" r="0" t="0"/>
            <wp:docPr descr=""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38"/>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9" w:name="exploratory"/>
      <w:r>
        <w:t xml:space="preserve">Exploratory</w:t>
      </w:r>
      <w:bookmarkEnd w:id="39"/>
    </w:p>
    <w:p>
      <w:pPr>
        <w:pStyle w:val="FirstParagraph"/>
      </w:pPr>
      <w:r>
        <w:t xml:space="preserve">In Experiment 2 we also asked students about their metacognitive awarness. Specifically we asked them:</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Initials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p>
      <w:pPr>
        <w:pStyle w:val="Textkrper"/>
      </w:pPr>
      <w:r>
        <w:t xml:space="preserve">One potential reason for pre-highlighted information recieving lower JOLs than the normal passage is that pre-highlighted information served to focus participants attention specific parts of the passage. Given the question, pariticpants might thought this would hinder them if tested over the passage as a whole. Future research should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SourceCode"/>
      </w:pPr>
      <w:r>
        <w:rPr>
          <w:rStyle w:val="VerbatimChar"/>
        </w:rPr>
        <w:t xml:space="preserve">## List of 14</w:t>
      </w:r>
      <w:r>
        <w:br w:type="textWrapping"/>
      </w:r>
      <w:r>
        <w:rPr>
          <w:rStyle w:val="VerbatimChar"/>
        </w:rPr>
        <w:t xml:space="preserve">##  $ 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10</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axis.title.x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axis.title.y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14</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0.5</w:t>
      </w:r>
      <w:r>
        <w:br w:type="textWrapping"/>
      </w:r>
      <w:r>
        <w:rPr>
          <w:rStyle w:val="VerbatimChar"/>
        </w:rPr>
        <w:t xml:space="preserve">##   ..$ angle        : num 45</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axis.line.x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chr "solid"</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FALSE</w:t>
      </w:r>
      <w:r>
        <w:br w:type="textWrapping"/>
      </w:r>
      <w:r>
        <w:rPr>
          <w:rStyle w:val="VerbatimChar"/>
        </w:rPr>
        <w:t xml:space="preserve">##   ..- attr(*, "class")= chr [1:2] "element_line" "element"</w:t>
      </w:r>
      <w:r>
        <w:br w:type="textWrapping"/>
      </w:r>
      <w:r>
        <w:rPr>
          <w:rStyle w:val="VerbatimChar"/>
        </w:rPr>
        <w:t xml:space="preserve">##  $ axis.line.y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chr "solid"</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FALSE</w:t>
      </w:r>
      <w:r>
        <w:br w:type="textWrapping"/>
      </w:r>
      <w:r>
        <w:rPr>
          <w:rStyle w:val="VerbatimChar"/>
        </w:rPr>
        <w:t xml:space="preserve">##   ..- attr(*, "class")= chr [1:2] "element_line" "element"</w:t>
      </w:r>
      <w:r>
        <w:br w:type="textWrapping"/>
      </w:r>
      <w:r>
        <w:rPr>
          <w:rStyle w:val="VerbatimChar"/>
        </w:rPr>
        <w:t xml:space="preserve">##  $ legend.text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legend.title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legend.position : chr "right"</w:t>
      </w:r>
      <w:r>
        <w:br w:type="textWrapping"/>
      </w:r>
      <w:r>
        <w:rPr>
          <w:rStyle w:val="VerbatimChar"/>
        </w:rPr>
        <w:t xml:space="preserve">##  $ panel.border    : list()</w:t>
      </w:r>
      <w:r>
        <w:br w:type="textWrapping"/>
      </w:r>
      <w:r>
        <w:rPr>
          <w:rStyle w:val="VerbatimChar"/>
        </w:rPr>
        <w:t xml:space="preserve">##   ..- attr(*, "class")= chr [1:2] "element_blank" "element"</w:t>
      </w:r>
      <w:r>
        <w:br w:type="textWrapping"/>
      </w:r>
      <w:r>
        <w:rPr>
          <w:rStyle w:val="VerbatimChar"/>
        </w:rPr>
        <w:t xml:space="preserve">##  $ panel.grid.major: list()</w:t>
      </w:r>
      <w:r>
        <w:br w:type="textWrapping"/>
      </w:r>
      <w:r>
        <w:rPr>
          <w:rStyle w:val="VerbatimChar"/>
        </w:rPr>
        <w:t xml:space="preserve">##   ..- attr(*, "class")= chr [1:2] "element_blank" "element"</w:t>
      </w:r>
      <w:r>
        <w:br w:type="textWrapping"/>
      </w:r>
      <w:r>
        <w:rPr>
          <w:rStyle w:val="VerbatimChar"/>
        </w:rPr>
        <w:t xml:space="preserve">##  $ panel.grid.minor: list()</w:t>
      </w:r>
      <w:r>
        <w:br w:type="textWrapping"/>
      </w:r>
      <w:r>
        <w:rPr>
          <w:rStyle w:val="VerbatimChar"/>
        </w:rPr>
        <w:t xml:space="preserve">##   ..- attr(*, "class")= chr [1:2] "element_blank" "element"</w:t>
      </w:r>
      <w:r>
        <w:br w:type="textWrapping"/>
      </w:r>
      <w:r>
        <w:rPr>
          <w:rStyle w:val="VerbatimChar"/>
        </w:rPr>
        <w:t xml:space="preserve">##  $ plot.title      :List of 11</w:t>
      </w:r>
      <w:r>
        <w:br w:type="textWrapping"/>
      </w:r>
      <w:r>
        <w:rPr>
          <w:rStyle w:val="VerbatimChar"/>
        </w:rPr>
        <w:t xml:space="preserve">##   ..$ family       : NULL</w:t>
      </w:r>
      <w:r>
        <w:br w:type="textWrapping"/>
      </w:r>
      <w:r>
        <w:rPr>
          <w:rStyle w:val="VerbatimChar"/>
        </w:rPr>
        <w:t xml:space="preserve">##   ..$ face         : chr "bold"</w:t>
      </w:r>
      <w:r>
        <w:br w:type="textWrapping"/>
      </w:r>
      <w:r>
        <w:rPr>
          <w:rStyle w:val="VerbatimChar"/>
        </w:rPr>
        <w:t xml:space="preserve">##   ..$ colour       : NULL</w:t>
      </w:r>
      <w:r>
        <w:br w:type="textWrapping"/>
      </w:r>
      <w:r>
        <w:rPr>
          <w:rStyle w:val="VerbatimChar"/>
        </w:rPr>
        <w:t xml:space="preserve">##   ..$ size         : num 16</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num 0.8</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FirstParagraph"/>
      </w:pPr>
      <w:r>
        <w:drawing>
          <wp:inline>
            <wp:extent cx="5969000" cy="4775200"/>
            <wp:effectExtent b="0" l="0" r="0" t="0"/>
            <wp:docPr descr=""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0"/>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We hypothezied that sentences pre-highlighted or presented in sans forgetica would be better remembered than sentences presented normally. Further, we predicted that there would be no recall differences between the pre-highligted and the sans forgetica conditions. Our hypothese were only partially confirmed. We found that infromation that was pre-hightlighted had better recall than passages presentened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 Sentences that were pre-highlighted were also remembered marginally better than senetnces presented in sans forgetica,</w:t>
      </w:r>
      <w:r>
        <w:rPr>
          <w:i/>
        </w:rPr>
        <w:t xml:space="preserve">Estimate</w:t>
      </w:r>
      <w:r>
        <w:t xml:space="preserve"> </w:t>
      </w:r>
      <w:r>
        <w:t xml:space="preserve">= -.307,</w:t>
      </w:r>
      <w:r>
        <w:t xml:space="preserve"> </w:t>
      </w:r>
      <w:r>
        <w:rPr>
          <w:i/>
        </w:rPr>
        <w:t xml:space="preserve">SE</w:t>
      </w:r>
      <w:r>
        <w:t xml:space="preserve"> </w:t>
      </w:r>
      <w:r>
        <w:t xml:space="preserve">= .167,</w:t>
      </w:r>
      <w:r>
        <w:t xml:space="preserve"> </w:t>
      </w:r>
      <w:r>
        <w:rPr>
          <w:i/>
        </w:rPr>
        <w:t xml:space="preserve">z</w:t>
      </w:r>
      <w:r>
        <w:t xml:space="preserve"> </w:t>
      </w:r>
      <w:r>
        <w:t xml:space="preserve">= -1.84,</w:t>
      </w:r>
      <w:r>
        <w:t xml:space="preserve"> </w:t>
      </w:r>
      <w:r>
        <w:rPr>
          <w:i/>
        </w:rPr>
        <w:t xml:space="preserve">p</w:t>
      </w:r>
      <w:r>
        <w:t xml:space="preserve"> </w:t>
      </w:r>
      <w:r>
        <w:t xml:space="preserve">= .066. Looking at Bayes Factor for this comparison suggests that evidence for a difference between the two conditions is faily weak. Critically, sentences presented in sans forgetcia were not better remembered than sentences presented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w:t>
      </w:r>
      <w:r>
        <w:t xml:space="preserve"> </w:t>
      </w:r>
      <w:r>
        <w:rPr>
          <w:i/>
        </w:rPr>
        <w:t xml:space="preserve">BF</w:t>
      </w:r>
      <w:r>
        <w:t xml:space="preserve">=).</w:t>
      </w:r>
    </w:p>
    <w:p>
      <w:pPr>
        <w:pStyle w:val="berschrift1"/>
      </w:pPr>
      <w:bookmarkStart w:id="41" w:name="conclusions"/>
      <w:r>
        <w:t xml:space="preserve">Conclusions</w:t>
      </w:r>
      <w:bookmarkEnd w:id="41"/>
    </w:p>
    <w:p>
      <w:pPr>
        <w:pStyle w:val="FirstParagraph"/>
      </w:pP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p>
      <w:r>
        <w:br w:type="page"/>
      </w:r>
    </w:p>
    <w:p>
      <w:pPr>
        <w:pStyle w:val="berschrift1"/>
      </w:pPr>
      <w:bookmarkStart w:id="42" w:name="references"/>
      <w:r>
        <w:t xml:space="preserve">References</w:t>
      </w:r>
      <w:bookmarkEnd w:id="42"/>
    </w:p>
    <w:bookmarkStart w:id="43" w:name="refs"/>
    <w:bookmarkEnd w:id="43"/>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unotentext"/>
      </w:pPr>
      <w:r>
        <w:rPr>
          <w:rStyle w:val="Funotenzeichen"/>
        </w:rPr>
        <w:footnoteRef/>
      </w:r>
      <w:r>
        <w:t xml:space="preserve"> </w:t>
      </w:r>
      <w:r>
        <w:t xml:space="preserve">orginally we had 12 critical phrases but a pilot test after the pregreistation showed that one of the questions was repeated twice so we removed one of them and also added a manipulation check question to sure participants were paying attention</w:t>
      </w:r>
    </w:p>
  </w:footnote>
  <w:footnote w:id="36">
    <w:p>
      <w:pPr>
        <w:pStyle w:val="Funotentext"/>
      </w:pPr>
      <w:r>
        <w:rPr>
          <w:rStyle w:val="Funotenzeichen"/>
        </w:rPr>
        <w:footnoteRef/>
      </w:r>
      <w:r>
        <w:t xml:space="preserve"> </w:t>
      </w:r>
      <w:r>
        <w:t xml:space="preserve">orginally we had 12 critical phrases but a pilot test after the pregreistation showed that one of the questions was repeated twice so we removed one of them and also added a manipulation check question to sure participants were paying attention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hyperlink" Id="rId28" Target="https://github.com/jgeller112/SF_Expt1" TargetMode="External" /><Relationship Type="http://schemas.openxmlformats.org/officeDocument/2006/relationships/hyperlink" Id="rId29" Target="https://github.com/jgeller112/SF_Expt2" TargetMode="External" /><Relationship Type="http://schemas.openxmlformats.org/officeDocument/2006/relationships/hyperlink" Id="rId27"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jgeller112/SF_Expt1" TargetMode="External" /><Relationship Type="http://schemas.openxmlformats.org/officeDocument/2006/relationships/hyperlink" Id="rId29" Target="https://github.com/jgeller112/SF_Expt2" TargetMode="External" /><Relationship Type="http://schemas.openxmlformats.org/officeDocument/2006/relationships/hyperlink" Id="rId27"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2020-01-15T19:18:43Z</dcterms:created>
  <dcterms:modified xsi:type="dcterms:W3CDTF">2020-01-15T19:18:43Z</dcterms:modified>
</cp:coreProperties>
</file>