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Sans</w:t>
      </w:r>
      <w:r>
        <w:t xml:space="preserve"> </w:t>
      </w:r>
      <w:r>
        <w:t xml:space="preserve">Forgetica</w:t>
      </w:r>
      <w:r>
        <w:t xml:space="preserve"> </w:t>
      </w:r>
      <w:r>
        <w:t xml:space="preserve">Really</w:t>
      </w:r>
      <w:r>
        <w:t xml:space="preserve"> </w:t>
      </w:r>
      <w:r>
        <w:t xml:space="preserve">Unforgettable?</w:t>
      </w:r>
    </w:p>
    <w:p>
      <w:pPr>
        <w:pStyle w:val="FirstParagraph"/>
      </w:pPr>
      <w:r>
        <w:t xml:space="preserve">Stundet’s want to be able to retain the information they learn. Decades of research have put forth the paradoxical idea that making learning harder (not easier) should have the desirable effect of improving long-term retention of material–the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w:t>
      </w:r>
      <w:r>
        <w:t xml:space="preserve"> </w:t>
      </w:r>
      <w:r>
        <w:t xml:space="preserve">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called the disfluency effect.</w:t>
      </w:r>
    </w:p>
    <w:p>
      <w:pPr>
        <w:pStyle w:val="BodyText"/>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Recent studies by Geller et al.(2018) and Geller &amp; Still (2018) found that perceptual disfluency can have a beneficial effect on memory, but only under very limited conditions, which weakens its educational valdity.</w:t>
      </w:r>
    </w:p>
    <w:p>
      <w:pPr>
        <w:pStyle w:val="BodyText"/>
      </w:pPr>
      <w:r>
        <w:t xml:space="preserve">Despite the weak evidence for perceptual disfluency,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0">
        <w:r>
          <w:rPr>
            <w:rStyle w:val="Hyperlink"/>
          </w:rPr>
          <w:t xml:space="preserve">https://www.washingtonpost.com/business/2018/10/05/introducing-sans-forgetica-font-designed-boost-your-memory/</w:t>
        </w:r>
      </w:hyperlink>
      <w:r>
        <w:t xml:space="preserve">) and NPR (</w:t>
      </w:r>
      <w:hyperlink r:id="rId21">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Heading1"/>
      </w:pPr>
      <w:bookmarkStart w:id="22" w:name="what-do-we-know-about-sf"/>
      <w:r>
        <w:t xml:space="preserve">What do we know about SF?</w:t>
      </w:r>
      <w:bookmarkEnd w:id="22"/>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CaptionedFigure"/>
      </w:pPr>
      <w:r>
        <w:drawing>
          <wp:inline>
            <wp:extent cx="4762500" cy="3619500"/>
            <wp:effectExtent b="0" l="0" r="0" t="0"/>
            <wp:docPr descr="image" title="" id="1" name="Picture"/>
            <a:graphic>
              <a:graphicData uri="http://schemas.openxmlformats.org/drawingml/2006/picture">
                <pic:pic>
                  <pic:nvPicPr>
                    <pic:cNvPr descr="https://user-images.githubusercontent.com/18429968/70854186-006bd180-1e7e-11ea-8fe1-94f5cf37c805.png" id="0" name="Picture"/>
                    <pic:cNvPicPr>
                      <a:picLocks noChangeArrowheads="1" noChangeAspect="1"/>
                    </pic:cNvPicPr>
                  </pic:nvPicPr>
                  <pic:blipFill>
                    <a:blip r:embed="rId23"/>
                    <a:stretch>
                      <a:fillRect/>
                    </a:stretch>
                  </pic:blipFill>
                  <pic:spPr bwMode="auto">
                    <a:xfrm>
                      <a:off x="0" y="0"/>
                      <a:ext cx="4762500" cy="3619500"/>
                    </a:xfrm>
                    <a:prstGeom prst="rect">
                      <a:avLst/>
                    </a:prstGeom>
                    <a:noFill/>
                    <a:ln w="9525">
                      <a:noFill/>
                      <a:headEnd/>
                      <a:tailEnd/>
                    </a:ln>
                  </pic:spPr>
                </pic:pic>
              </a:graphicData>
            </a:graphic>
          </wp:inline>
        </w:drawing>
      </w:r>
    </w:p>
    <w:p>
      <w:pPr>
        <w:pStyle w:val="ImageCaption"/>
      </w:pPr>
      <w:r>
        <w:t xml:space="preserve">image</w:t>
      </w:r>
    </w:p>
    <w:p>
      <w:pPr>
        <w:pStyle w:val="Heading1"/>
      </w:pPr>
      <w:bookmarkStart w:id="24" w:name="what-do-we-know"/>
      <w:r>
        <w:t xml:space="preserve">What do we know?</w:t>
      </w:r>
      <w:bookmarkEnd w:id="24"/>
    </w:p>
    <w:p>
      <w:pPr>
        <w:pStyle w:val="FirstParagraph"/>
      </w:pPr>
      <w:r>
        <w:t xml:space="preserve">Earp (2018) conducted an interview with the creators of SF and I was able to glean some details about how SF ws validated.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BodyText"/>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odyText"/>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 We preregistered two studies (</w:t>
      </w:r>
      <w:hyperlink r:id="rId25">
        <w:r>
          <w:rPr>
            <w:rStyle w:val="Hyperlink"/>
          </w:rPr>
          <w:t xml:space="preserve">https://osf.io/d2vy8/</w:t>
        </w:r>
      </w:hyperlink>
      <w:r>
        <w:t xml:space="preserve">). All materials, data, and analysis scripts can be found at that website. On my github, you can reproduce all analyses for the two reported experiments in an online container (</w:t>
      </w:r>
      <w:hyperlink r:id="rId26">
        <w:r>
          <w:rPr>
            <w:rStyle w:val="Hyperlink"/>
          </w:rPr>
          <w:t xml:space="preserve">https://github.com/jgeller112/SF_Expt1</w:t>
        </w:r>
      </w:hyperlink>
      <w:r>
        <w:t xml:space="preserve">;</w:t>
      </w:r>
      <w:r>
        <w:t xml:space="preserve"> </w:t>
      </w:r>
      <w:hyperlink r:id="rId27">
        <w:r>
          <w:rPr>
            <w:rStyle w:val="Hyperlink"/>
          </w:rPr>
          <w:t xml:space="preserve">https://github.com/jgeller112/SF_Expt2</w:t>
        </w:r>
      </w:hyperlink>
      <w:r>
        <w:t xml:space="preserve">).</w:t>
      </w:r>
    </w:p>
    <w:p>
      <w:pPr>
        <w:pStyle w:val="Heading1"/>
      </w:pPr>
      <w:bookmarkStart w:id="28" w:name="experiment-1"/>
      <w:r>
        <w:t xml:space="preserve">Experiment 1</w:t>
      </w:r>
      <w:bookmarkEnd w:id="28"/>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target words that had to be generated at a higher rate. The authors of SF purport that due to the nature of SF, individuals have to generate of fill in the stimulus, which leads to the memory benefit. We put that to the test in the first experiment.</w:t>
      </w:r>
    </w:p>
    <w:p>
      <w:pPr>
        <w:pStyle w:val="BodyText"/>
      </w:pPr>
      <w:r>
        <w:t xml:space="preserve">We preregistered a sample size of 230 participants (115 per group) to detect a small-to medium size interaction effect (d = .35) with 90% power. We choose this effect size as our SESOI due in part due the small effect sizes seen in actaul classroom studies (Bulter et al., 2014).</w:t>
      </w:r>
    </w:p>
    <w:p>
      <w:pPr>
        <w:pStyle w:val="BodyText"/>
      </w:pPr>
      <w:r>
        <w:t xml:space="preserve">The first experiment was a simple paried associates task with a final cued-recall test (similar to SF creator’s first experiment). We presented 24 weakly associated noun pairs that were 5–7 letters and 1–3 syllables in length, and high in concreteness (400–700) and frequency (at least 30 per million). For half of the participants, half of the targets were presented in SF while the other half were presented in Arial font; for the other half of participants, the targets were presented with missing letters (vowels were replaced by underscores) and the other half were intact (Arial font).</w:t>
      </w:r>
    </w:p>
    <w:p>
      <w:pPr>
        <w:pStyle w:val="BodyText"/>
      </w:pPr>
      <w:r>
        <w:t xml:space="preserve">Spell checking was automated with the hunspell package in R (Ooms, 2018) using spellCheck.R. Becasuse participants were recruited in the United States, we used the American English dictionary. A nice walkthrough on how to use the package can be found in Buchcamam, De Deyne, &amp; Montefinese (2019). Using the package, each response was corrected for misspelings. Corrected spellings are provided in the most probable order, therefore, the first suggestion is selected as the correct answer. Answers were marked correct if they provided the exact response.</w:t>
      </w:r>
    </w:p>
    <w:p>
      <w:pPr>
        <w:pStyle w:val="BodyText"/>
      </w:pPr>
      <w:r>
        <w:t xml:space="preserve">What did we find?</w:t>
      </w:r>
    </w:p>
    <w:p>
      <w:pPr>
        <w:pStyle w:val="BodyText"/>
      </w:pPr>
      <w:r>
        <w:t xml:space="preserve">In Experiment 1 we found a sizeable generation effect, which replicated past work. However, we did not find a SF effect (See figure below)</w:t>
      </w:r>
    </w:p>
    <w:p>
      <w:pPr>
        <w:pStyle w:val="CaptionedFigure"/>
      </w:pPr>
      <w:r>
        <w:drawing>
          <wp:inline>
            <wp:extent cx="5334000" cy="3530061"/>
            <wp:effectExtent b="0" l="0" r="0" t="0"/>
            <wp:docPr descr="plot" title="" id="1" name="Picture"/>
            <a:graphic>
              <a:graphicData uri="http://schemas.openxmlformats.org/drawingml/2006/picture">
                <pic:pic>
                  <pic:nvPicPr>
                    <pic:cNvPr descr="https://user-images.githubusercontent.com/18429968/70854778-1f6e6180-1e86-11ea-9fa9-fabd9262ad5b.png" id="0" name="Picture"/>
                    <pic:cNvPicPr>
                      <a:picLocks noChangeArrowheads="1" noChangeAspect="1"/>
                    </pic:cNvPicPr>
                  </pic:nvPicPr>
                  <pic:blipFill>
                    <a:blip r:embed="rId29"/>
                    <a:stretch>
                      <a:fillRect/>
                    </a:stretch>
                  </pic:blipFill>
                  <pic:spPr bwMode="auto">
                    <a:xfrm>
                      <a:off x="0" y="0"/>
                      <a:ext cx="5334000" cy="3530061"/>
                    </a:xfrm>
                    <a:prstGeom prst="rect">
                      <a:avLst/>
                    </a:prstGeom>
                    <a:noFill/>
                    <a:ln w="9525">
                      <a:noFill/>
                      <a:headEnd/>
                      <a:tailEnd/>
                    </a:ln>
                  </pic:spPr>
                </pic:pic>
              </a:graphicData>
            </a:graphic>
          </wp:inline>
        </w:drawing>
      </w:r>
    </w:p>
    <w:p>
      <w:pPr>
        <w:pStyle w:val="ImageCaption"/>
      </w:pPr>
      <w:r>
        <w:t xml:space="preserve">plot</w:t>
      </w:r>
    </w:p>
    <w:p>
      <w:pPr>
        <w:pStyle w:val="Heading1"/>
      </w:pPr>
      <w:bookmarkStart w:id="30" w:name="experiment-2"/>
      <w:r>
        <w:t xml:space="preserve">Experiment 2</w:t>
      </w:r>
      <w:bookmarkEnd w:id="30"/>
    </w:p>
    <w:p>
      <w:pPr>
        <w:pStyle w:val="FirstParagraph"/>
      </w:pPr>
      <w:r>
        <w:t xml:space="preserve">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t xml:space="preserve"> </w:t>
      </w:r>
      <w:r>
        <w:rPr>
          <w:rStyle w:val="FootnoteReference"/>
        </w:rPr>
        <w:footnoteReference w:id="3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odyText"/>
      </w:pPr>
      <w:r>
        <w:t xml:space="preserve">We preregistered a sample size of 510 participants (170 per group) to detect a small-to medium effect (d = .35) with 90% power. We collected data until the end of the Fall semester 2019 and ended up with 545 Ps (181 in the Highlight condition, 182 in the Normal condition, and 182 in the Passage condition).</w:t>
      </w:r>
    </w:p>
    <w:p>
      <w:pPr>
        <w:pStyle w:val="SourceCode"/>
      </w:pPr>
      <w:r>
        <w:rPr>
          <w:rStyle w:val="VerbatimChar"/>
        </w:rPr>
        <w:t xml:space="preserve">## [1] "/Users/gellr/SF_Expt2"</w:t>
      </w:r>
    </w:p>
    <w:p>
      <w:pPr>
        <w:pStyle w:val="SourceCode"/>
      </w:pPr>
      <w:r>
        <w:rPr>
          <w:rStyle w:val="VerbatimChar"/>
        </w:rPr>
        <w:t xml:space="preserve">## Warning: Missing column names filled in: 'X1' [1]</w:t>
      </w:r>
    </w:p>
    <w:p>
      <w:pPr>
        <w:pStyle w:val="SourceCode"/>
      </w:pPr>
      <w:r>
        <w:rPr>
          <w:rStyle w:val="VerbatimChar"/>
        </w:rPr>
        <w:t xml:space="preserve">## Warning: Duplicated column names deduplicated: 'X1' =&gt; 'X1_1' [7]</w:t>
      </w:r>
    </w:p>
    <w:p>
      <w:pPr>
        <w:pStyle w:val="SourceCode"/>
      </w:pPr>
      <w:r>
        <w:rPr>
          <w:rStyle w:val="NormalTok"/>
        </w:rPr>
        <w:t xml:space="preserve">a1 &lt;-</w:t>
      </w:r>
      <w:r>
        <w:rPr>
          <w:rStyle w:val="StringTok"/>
        </w:rPr>
        <w:t xml:space="preserve"> </w:t>
      </w:r>
      <w:r>
        <w:rPr>
          <w:rStyle w:val="KeywordTok"/>
        </w:rPr>
        <w:t xml:space="preserve">aov_ez</w:t>
      </w:r>
      <w:r>
        <w:rPr>
          <w:rStyle w:val="NormalTok"/>
        </w:rPr>
        <w:t xml:space="preserve">(</w:t>
      </w:r>
      <w:r>
        <w:rPr>
          <w:rStyle w:val="StringTok"/>
        </w:rPr>
        <w:t xml:space="preserve">"ResponseId"</w:t>
      </w:r>
      <w:r>
        <w:rPr>
          <w:rStyle w:val="NormalTok"/>
        </w:rPr>
        <w:t xml:space="preserve">, </w:t>
      </w:r>
      <w:r>
        <w:rPr>
          <w:rStyle w:val="StringTok"/>
        </w:rPr>
        <w:t xml:space="preserve">"acc"</w:t>
      </w:r>
      <w:r>
        <w:rPr>
          <w:rStyle w:val="NormalTok"/>
        </w:rPr>
        <w:t xml:space="preserve">, scored_ground_aov, </w:t>
      </w:r>
      <w:r>
        <w:br w:type="textWrapping"/>
      </w:r>
      <w:r>
        <w:rPr>
          <w:rStyle w:val="NormalTok"/>
        </w:rPr>
        <w:t xml:space="preserve">             </w:t>
      </w:r>
      <w:r>
        <w:rPr>
          <w:rStyle w:val="DataTypeTok"/>
        </w:rPr>
        <w:t xml:space="preserve">between =</w:t>
      </w:r>
      <w:r>
        <w:rPr>
          <w:rStyle w:val="NormalTok"/>
        </w:rPr>
        <w:t xml:space="preserve"> </w:t>
      </w:r>
      <w:r>
        <w:rPr>
          <w:rStyle w:val="KeywordTok"/>
        </w:rPr>
        <w:t xml:space="preserve">c</w:t>
      </w:r>
      <w:r>
        <w:rPr>
          <w:rStyle w:val="NormalTok"/>
        </w:rPr>
        <w:t xml:space="preserve">(</w:t>
      </w:r>
      <w:r>
        <w:rPr>
          <w:rStyle w:val="StringTok"/>
        </w:rPr>
        <w:t xml:space="preserve">"Passage"</w:t>
      </w:r>
      <w:r>
        <w:rPr>
          <w:rStyle w:val="NormalTok"/>
        </w:rPr>
        <w:t xml:space="preserve">)) </w:t>
      </w:r>
      <w:r>
        <w:rPr>
          <w:rStyle w:val="CommentTok"/>
        </w:rPr>
        <w:t xml:space="preserve"># one way</w:t>
      </w:r>
    </w:p>
    <w:p>
      <w:pPr>
        <w:pStyle w:val="SourceCode"/>
      </w:pPr>
      <w:r>
        <w:rPr>
          <w:rStyle w:val="VerbatimChar"/>
        </w:rPr>
        <w:t xml:space="preserve">## Converting to factor: Passage</w:t>
      </w:r>
    </w:p>
    <w:p>
      <w:pPr>
        <w:pStyle w:val="SourceCode"/>
      </w:pPr>
      <w:r>
        <w:rPr>
          <w:rStyle w:val="VerbatimChar"/>
        </w:rPr>
        <w:t xml:space="preserve">## Contrasts set to contr.sum for the following variables: Passage</w:t>
      </w:r>
    </w:p>
    <w:p>
      <w:pPr>
        <w:pStyle w:val="SourceCode"/>
      </w:pPr>
      <w:r>
        <w:rPr>
          <w:rStyle w:val="CommentTok"/>
        </w:rPr>
        <w:t xml:space="preserve">#plot the results</w:t>
      </w:r>
      <w:r>
        <w:br w:type="textWrapping"/>
      </w:r>
      <w:r>
        <w:br w:type="textWrapping"/>
      </w:r>
      <w:r>
        <w:rPr>
          <w:rStyle w:val="KeywordTok"/>
        </w:rPr>
        <w:t xml:space="preserve">kable</w:t>
      </w:r>
      <w:r>
        <w:rPr>
          <w:rStyle w:val="NormalTok"/>
        </w:rPr>
        <w:t xml:space="preserve">(</w:t>
      </w:r>
      <w:r>
        <w:rPr>
          <w:rStyle w:val="KeywordTok"/>
        </w:rPr>
        <w:t xml:space="preserve">nice</w:t>
      </w:r>
      <w:r>
        <w:rPr>
          <w:rStyle w:val="NormalTok"/>
        </w:rPr>
        <w:t xml:space="preserve">(a1))</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ges</w:t>
            </w:r>
          </w:p>
        </w:tc>
        <w:tc>
          <w:tcPr>
            <w:tcBorders>
              <w:bottom w:val="single"/>
            </w:tcBorders>
            <w:vAlign w:val="bottom"/>
          </w:tcPr>
          <w:p>
            <w:pPr>
              <w:pStyle w:val="Compact"/>
              <w:jc w:val="left"/>
            </w:pPr>
            <w:r>
              <w:t xml:space="preserve">p.value</w:t>
            </w:r>
          </w:p>
        </w:tc>
      </w:tr>
      <w:tr>
        <w:tc>
          <w:p>
            <w:pPr>
              <w:pStyle w:val="Compact"/>
              <w:jc w:val="left"/>
            </w:pPr>
            <w:r>
              <w:t xml:space="preserve">Passage</w:t>
            </w:r>
          </w:p>
        </w:tc>
        <w:tc>
          <w:p>
            <w:pPr>
              <w:pStyle w:val="Compact"/>
              <w:jc w:val="left"/>
            </w:pPr>
            <w:r>
              <w:t xml:space="preserve">2, 541</w:t>
            </w:r>
          </w:p>
        </w:tc>
        <w:tc>
          <w:p>
            <w:pPr>
              <w:pStyle w:val="Compact"/>
              <w:jc w:val="left"/>
            </w:pPr>
            <w:r>
              <w:t xml:space="preserve">0.07</w:t>
            </w:r>
          </w:p>
        </w:tc>
        <w:tc>
          <w:p>
            <w:pPr>
              <w:pStyle w:val="Compact"/>
              <w:jc w:val="left"/>
            </w:pPr>
            <w:r>
              <w:t xml:space="preserve">3.27 *</w:t>
            </w:r>
          </w:p>
        </w:tc>
        <w:tc>
          <w:p>
            <w:pPr>
              <w:pStyle w:val="Compact"/>
              <w:jc w:val="left"/>
            </w:pPr>
            <w:r>
              <w:t xml:space="preserve">.01</w:t>
            </w:r>
          </w:p>
        </w:tc>
        <w:tc>
          <w:p>
            <w:pPr>
              <w:pStyle w:val="Compact"/>
              <w:jc w:val="left"/>
            </w:pPr>
            <w:r>
              <w:t xml:space="preserve">.04</w:t>
            </w:r>
          </w:p>
        </w:tc>
      </w:tr>
    </w:tbl>
    <w:p>
      <w:pPr>
        <w:pStyle w:val="SourceCode"/>
      </w:pPr>
      <w:r>
        <w:rPr>
          <w:rStyle w:val="NormalTok"/>
        </w:rPr>
        <w:t xml:space="preserve">ls1 &lt;-</w:t>
      </w:r>
      <w:r>
        <w:rPr>
          <w:rStyle w:val="StringTok"/>
        </w:rPr>
        <w:t xml:space="preserve"> </w:t>
      </w:r>
      <w:r>
        <w:rPr>
          <w:rStyle w:val="KeywordTok"/>
        </w:rPr>
        <w:t xml:space="preserve">emmeans</w:t>
      </w:r>
      <w:r>
        <w:rPr>
          <w:rStyle w:val="NormalTok"/>
        </w:rPr>
        <w:t xml:space="preserve">(a1, </w:t>
      </w:r>
      <w:r>
        <w:rPr>
          <w:rStyle w:val="DataTypeTok"/>
        </w:rPr>
        <w:t xml:space="preserve">specs =</w:t>
      </w:r>
      <w:r>
        <w:rPr>
          <w:rStyle w:val="NormalTok"/>
        </w:rPr>
        <w:t xml:space="preserve"> </w:t>
      </w:r>
      <w:r>
        <w:rPr>
          <w:rStyle w:val="StringTok"/>
        </w:rPr>
        <w:t xml:space="preserve">"Passage"</w:t>
      </w:r>
      <w:r>
        <w:rPr>
          <w:rStyle w:val="NormalTok"/>
        </w:rPr>
        <w:t xml:space="preserve"> ) </w:t>
      </w:r>
      <w:r>
        <w:rPr>
          <w:rStyle w:val="CommentTok"/>
        </w:rPr>
        <w:t xml:space="preserve"># get the simple effects test for signifcant interaction. </w:t>
      </w:r>
      <w:r>
        <w:br w:type="textWrapping"/>
      </w:r>
      <w:r>
        <w:br w:type="textWrapping"/>
      </w:r>
      <w:r>
        <w:rPr>
          <w:rStyle w:val="NormalTok"/>
        </w:rPr>
        <w:t xml:space="preserve">flex1=</w:t>
      </w:r>
      <w:r>
        <w:rPr>
          <w:rStyle w:val="KeywordTok"/>
        </w:rPr>
        <w:t xml:space="preserve">summary</w:t>
      </w:r>
      <w:r>
        <w:rPr>
          <w:rStyle w:val="NormalTok"/>
        </w:rPr>
        <w:t xml:space="preserve">(</w:t>
      </w:r>
      <w:r>
        <w:rPr>
          <w:rStyle w:val="KeywordTok"/>
        </w:rPr>
        <w:t xml:space="preserve">pairs</w:t>
      </w:r>
      <w:r>
        <w:rPr>
          <w:rStyle w:val="NormalTok"/>
        </w:rPr>
        <w:t xml:space="preserve">(</w:t>
      </w:r>
      <w:r>
        <w:rPr>
          <w:rStyle w:val="KeywordTok"/>
        </w:rPr>
        <w:t xml:space="preserve">emmeans</w:t>
      </w:r>
      <w:r>
        <w:rPr>
          <w:rStyle w:val="NormalTok"/>
        </w:rPr>
        <w:t xml:space="preserve">(a1, </w:t>
      </w:r>
      <w:r>
        <w:rPr>
          <w:rStyle w:val="DataTypeTok"/>
        </w:rPr>
        <w:t xml:space="preserve">specs=</w:t>
      </w:r>
      <w:r>
        <w:rPr>
          <w:rStyle w:val="StringTok"/>
        </w:rPr>
        <w:t xml:space="preserve">"Passage"</w:t>
      </w:r>
      <w:r>
        <w:rPr>
          <w:rStyle w:val="NormalTok"/>
        </w:rPr>
        <w:t xml:space="preserve">)))</w:t>
      </w:r>
      <w:r>
        <w:br w:type="textWrapping"/>
      </w:r>
      <w:r>
        <w:br w:type="textWrapping"/>
      </w:r>
      <w:r>
        <w:rPr>
          <w:rStyle w:val="NormalTok"/>
        </w:rPr>
        <w:t xml:space="preserve">flex1</w:t>
      </w:r>
      <w:r>
        <w:rPr>
          <w:rStyle w:val="OperatorTok"/>
        </w:rPr>
        <w:t xml:space="preserve">$</w:t>
      </w:r>
      <w:r>
        <w:rPr>
          <w:rStyle w:val="NormalTok"/>
        </w:rPr>
        <w:t xml:space="preserve">d =</w:t>
      </w:r>
      <w:r>
        <w:rPr>
          <w:rStyle w:val="StringTok"/>
        </w:rPr>
        <w:t xml:space="preserve"> </w:t>
      </w:r>
      <w:r>
        <w:rPr>
          <w:rStyle w:val="NormalTok"/>
        </w:rPr>
        <w:t xml:space="preserve">flex1</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KeywordTok"/>
        </w:rPr>
        <w:t xml:space="preserve">sqrt</w:t>
      </w:r>
      <w:r>
        <w:rPr>
          <w:rStyle w:val="NormalTok"/>
        </w:rPr>
        <w:t xml:space="preserve">(a1</w:t>
      </w:r>
      <w:r>
        <w:rPr>
          <w:rStyle w:val="OperatorTok"/>
        </w:rPr>
        <w:t xml:space="preserve">$</w:t>
      </w:r>
      <w:r>
        <w:rPr>
          <w:rStyle w:val="NormalTok"/>
        </w:rPr>
        <w:t xml:space="preserve">anova_table</w:t>
      </w:r>
      <w:r>
        <w:rPr>
          <w:rStyle w:val="OperatorTok"/>
        </w:rPr>
        <w:t xml:space="preserve">$</w:t>
      </w:r>
      <w:r>
        <w:rPr>
          <w:rStyle w:val="NormalTok"/>
        </w:rPr>
        <w:t xml:space="preserve">MSE)</w:t>
      </w:r>
      <w:r>
        <w:br w:type="textWrapping"/>
      </w:r>
      <w:r>
        <w:br w:type="textWrapping"/>
      </w:r>
      <w:r>
        <w:rPr>
          <w:rStyle w:val="KeywordTok"/>
        </w:rPr>
        <w:t xml:space="preserve">kable</w:t>
      </w:r>
      <w:r>
        <w:rPr>
          <w:rStyle w:val="NormalTok"/>
        </w:rPr>
        <w:t xml:space="preserve">(flex1)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w:t>
            </w:r>
          </w:p>
        </w:tc>
      </w:tr>
      <w:tr>
        <w:tc>
          <w:p>
            <w:pPr>
              <w:pStyle w:val="Compact"/>
              <w:jc w:val="left"/>
            </w:pPr>
            <w:r>
              <w:t xml:space="preserve">Highlight - Normal</w:t>
            </w:r>
          </w:p>
        </w:tc>
        <w:tc>
          <w:p>
            <w:pPr>
              <w:pStyle w:val="Compact"/>
              <w:jc w:val="right"/>
            </w:pPr>
            <w:r>
              <w:t xml:space="preserve">0.0714965</w:t>
            </w:r>
          </w:p>
        </w:tc>
        <w:tc>
          <w:p>
            <w:pPr>
              <w:pStyle w:val="Compact"/>
              <w:jc w:val="right"/>
            </w:pPr>
            <w:r>
              <w:t xml:space="preserve">0.0282951</w:t>
            </w:r>
          </w:p>
        </w:tc>
        <w:tc>
          <w:p>
            <w:pPr>
              <w:pStyle w:val="Compact"/>
              <w:jc w:val="right"/>
            </w:pPr>
            <w:r>
              <w:t xml:space="preserve">541</w:t>
            </w:r>
          </w:p>
        </w:tc>
        <w:tc>
          <w:p>
            <w:pPr>
              <w:pStyle w:val="Compact"/>
              <w:jc w:val="right"/>
            </w:pPr>
            <w:r>
              <w:t xml:space="preserve">2.5268165</w:t>
            </w:r>
          </w:p>
        </w:tc>
        <w:tc>
          <w:p>
            <w:pPr>
              <w:pStyle w:val="Compact"/>
              <w:jc w:val="right"/>
            </w:pPr>
            <w:r>
              <w:t xml:space="preserve">0.0315955</w:t>
            </w:r>
          </w:p>
        </w:tc>
        <w:tc>
          <w:p>
            <w:pPr>
              <w:pStyle w:val="Compact"/>
              <w:jc w:val="right"/>
            </w:pPr>
            <w:r>
              <w:t xml:space="preserve">0.2656131</w:t>
            </w:r>
          </w:p>
        </w:tc>
      </w:tr>
      <w:tr>
        <w:tc>
          <w:p>
            <w:pPr>
              <w:pStyle w:val="Compact"/>
              <w:jc w:val="left"/>
            </w:pPr>
            <w:r>
              <w:t xml:space="preserve">Highlight - SF</w:t>
            </w:r>
          </w:p>
        </w:tc>
        <w:tc>
          <w:p>
            <w:pPr>
              <w:pStyle w:val="Compact"/>
              <w:jc w:val="right"/>
            </w:pPr>
            <w:r>
              <w:t xml:space="preserve">0.0451158</w:t>
            </w:r>
          </w:p>
        </w:tc>
        <w:tc>
          <w:p>
            <w:pPr>
              <w:pStyle w:val="Compact"/>
              <w:jc w:val="right"/>
            </w:pPr>
            <w:r>
              <w:t xml:space="preserve">0.0282562</w:t>
            </w:r>
          </w:p>
        </w:tc>
        <w:tc>
          <w:p>
            <w:pPr>
              <w:pStyle w:val="Compact"/>
              <w:jc w:val="right"/>
            </w:pPr>
            <w:r>
              <w:t xml:space="preserve">541</w:t>
            </w:r>
          </w:p>
        </w:tc>
        <w:tc>
          <w:p>
            <w:pPr>
              <w:pStyle w:val="Compact"/>
              <w:jc w:val="right"/>
            </w:pPr>
            <w:r>
              <w:t xml:space="preserve">1.5966697</w:t>
            </w:r>
          </w:p>
        </w:tc>
        <w:tc>
          <w:p>
            <w:pPr>
              <w:pStyle w:val="Compact"/>
              <w:jc w:val="right"/>
            </w:pPr>
            <w:r>
              <w:t xml:space="preserve">0.2479288</w:t>
            </w:r>
          </w:p>
        </w:tc>
        <w:tc>
          <w:p>
            <w:pPr>
              <w:pStyle w:val="Compact"/>
              <w:jc w:val="right"/>
            </w:pPr>
            <w:r>
              <w:t xml:space="preserve">0.1676075</w:t>
            </w:r>
          </w:p>
        </w:tc>
      </w:tr>
      <w:tr>
        <w:tc>
          <w:p>
            <w:pPr>
              <w:pStyle w:val="Compact"/>
              <w:jc w:val="left"/>
            </w:pPr>
            <w:r>
              <w:t xml:space="preserve">Normal - SF</w:t>
            </w:r>
          </w:p>
        </w:tc>
        <w:tc>
          <w:p>
            <w:pPr>
              <w:pStyle w:val="Compact"/>
              <w:jc w:val="right"/>
            </w:pPr>
            <w:r>
              <w:t xml:space="preserve">-0.0263807</w:t>
            </w:r>
          </w:p>
        </w:tc>
        <w:tc>
          <w:p>
            <w:pPr>
              <w:pStyle w:val="Compact"/>
              <w:jc w:val="right"/>
            </w:pPr>
            <w:r>
              <w:t xml:space="preserve">0.0282562</w:t>
            </w:r>
          </w:p>
        </w:tc>
        <w:tc>
          <w:p>
            <w:pPr>
              <w:pStyle w:val="Compact"/>
              <w:jc w:val="right"/>
            </w:pPr>
            <w:r>
              <w:t xml:space="preserve">541</w:t>
            </w:r>
          </w:p>
        </w:tc>
        <w:tc>
          <w:p>
            <w:pPr>
              <w:pStyle w:val="Compact"/>
              <w:jc w:val="right"/>
            </w:pPr>
            <w:r>
              <w:t xml:space="preserve">-0.9336249</w:t>
            </w:r>
          </w:p>
        </w:tc>
        <w:tc>
          <w:p>
            <w:pPr>
              <w:pStyle w:val="Compact"/>
              <w:jc w:val="right"/>
            </w:pPr>
            <w:r>
              <w:t xml:space="preserve">0.6192373</w:t>
            </w:r>
          </w:p>
        </w:tc>
        <w:tc>
          <w:p>
            <w:pPr>
              <w:pStyle w:val="Compact"/>
              <w:jc w:val="right"/>
            </w:pPr>
            <w:r>
              <w:t xml:space="preserve">-0.0980056</w:t>
            </w:r>
          </w:p>
        </w:tc>
      </w:tr>
    </w:tbl>
    <w:p>
      <w:pPr>
        <w:pStyle w:val="BodyText"/>
      </w:pPr>
      <w:r>
        <w:t xml:space="preserve">We found that infromation that was pre-hightlighted had better recall than passages presentened normally. We did not find that passages in SF were better remembered than normal or highligheted passages.</w:t>
      </w:r>
    </w:p>
    <w:p>
      <w:pPr>
        <w:pStyle w:val="CaptionedFigure"/>
      </w:pPr>
      <w:r>
        <w:drawing>
          <wp:inline>
            <wp:extent cx="5334000" cy="2667000"/>
            <wp:effectExtent b="0" l="0" r="0" t="0"/>
            <wp:docPr descr="SF_raincloud" title="" id="1" name="Picture"/>
            <a:graphic>
              <a:graphicData uri="http://schemas.openxmlformats.org/drawingml/2006/picture">
                <pic:pic>
                  <pic:nvPicPr>
                    <pic:cNvPr descr="https://user-images.githubusercontent.com/18429968/70854796-47f65b80-1e86-11ea-850e-83821a6bd418.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SF_raincloud</w:t>
      </w:r>
    </w:p>
    <w:p>
      <w:pPr>
        <w:pStyle w:val="Heading1"/>
      </w:pPr>
      <w:bookmarkStart w:id="33" w:name="conclusions"/>
      <w:r>
        <w:t xml:space="preserve">Conclusions</w:t>
      </w:r>
      <w:bookmarkEnd w:id="33"/>
    </w:p>
    <w:p>
      <w:pPr>
        <w:pStyle w:val="FirstParagraph"/>
      </w:pP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6" Target="https://github.com/jgeller112/SF_Expt1" TargetMode="External" /><Relationship Type="http://schemas.openxmlformats.org/officeDocument/2006/relationships/hyperlink" Id="rId27" Target="https://github.com/jgeller112/SF_Expt2" TargetMode="External" /><Relationship Type="http://schemas.openxmlformats.org/officeDocument/2006/relationships/hyperlink" Id="rId25"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jgeller112/SF_Expt1" TargetMode="External" /><Relationship Type="http://schemas.openxmlformats.org/officeDocument/2006/relationships/hyperlink" Id="rId27" Target="https://github.com/jgeller112/SF_Expt2" TargetMode="External" /><Relationship Type="http://schemas.openxmlformats.org/officeDocument/2006/relationships/hyperlink" Id="rId25"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Sans Forgetica Really Unforgettable?</dc:title>
  <dc:creator/>
  <cp:keywords/>
  <dcterms:created xsi:type="dcterms:W3CDTF">2019-12-17T19:15:46Z</dcterms:created>
  <dcterms:modified xsi:type="dcterms:W3CDTF">2019-12-17T19:15:46Z</dcterms:modified>
</cp:coreProperties>
</file>