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E74B5"/>
          <w:sz w:val="26"/>
        </w:rPr>
        <w:t>USER GUIDE</w:t>
      </w:r>
    </w:p>
    <w:p>
      <w:pPr>
        <w:pStyle w:val="Title"/>
        <w:jc w:val="center"/>
      </w:pPr>
      <w:r>
        <w:t>MilliKey DeLux</w:t>
        <w:br/>
        <w:t>Light Sensor</w:t>
      </w:r>
    </w:p>
    <w:p>
      <w:pPr>
        <w:jc w:val="center"/>
      </w:pPr>
      <w:r>
        <w:rPr>
          <w:color w:val="505050"/>
          <w:sz w:val="30"/>
        </w:rPr>
        <w:t>Visual Stimulus Onset Timing</w:t>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Pr>
          <w:p>
            <w:r/>
            <w:r>
              <w:rPr>
                <w:rFonts w:ascii="Aptos" w:hAnsi="Aptos"/>
                <w:b/>
                <w:color w:val="1F374E"/>
                <w:sz w:val="19"/>
              </w:rPr>
              <w:t>Laboratory</w:t>
            </w:r>
          </w:p>
        </w:tc>
        <w:tc>
          <w:tcPr>
            <w:tcW w:type="dxa" w:w="5040"/>
            <w:vAlign w:val="center"/>
          </w:tcPr>
          <w:p>
            <w:r/>
            <w:r>
              <w:rPr>
                <w:rFonts w:ascii="Aptos" w:hAnsi="Aptos"/>
                <w:b w:val="0"/>
                <w:sz w:val="19"/>
              </w:rPr>
              <w:t>Human Neuroscience Laboratory (HNL)</w:t>
            </w:r>
          </w:p>
        </w:tc>
      </w:tr>
      <w:tr>
        <w:trPr>
          <w:cantSplit/>
        </w:trPr>
        <w:tc>
          <w:tcPr>
            <w:tcW w:type="dxa" w:w="5040"/>
            <w:vAlign w:val="center"/>
            <w:shd w:fill="D9EAF7"/>
          </w:tcPr>
          <w:p>
            <w:r/>
            <w:r>
              <w:rPr>
                <w:rFonts w:ascii="Aptos" w:hAnsi="Aptos"/>
                <w:b/>
                <w:color w:val="1F374E"/>
                <w:sz w:val="19"/>
              </w:rPr>
              <w:t>Applies to</w:t>
            </w:r>
          </w:p>
        </w:tc>
        <w:tc>
          <w:tcPr>
            <w:tcW w:type="dxa" w:w="5040"/>
            <w:vAlign w:val="center"/>
          </w:tcPr>
          <w:p>
            <w:r/>
            <w:r>
              <w:rPr>
                <w:rFonts w:ascii="Aptos" w:hAnsi="Aptos"/>
                <w:b w:val="0"/>
                <w:sz w:val="19"/>
              </w:rPr>
              <w:t>LabHackers MilliKey DeLux Light Sensor used with a compatible MilliKey MH or LH response box</w:t>
            </w:r>
          </w:p>
        </w:tc>
      </w:tr>
      <w:tr>
        <w:trPr>
          <w:cantSplit/>
        </w:trPr>
        <w:tc>
          <w:tcPr>
            <w:tcW w:type="dxa" w:w="5040"/>
            <w:vAlign w:val="center"/>
            <w:shd w:fill="D9EAF7"/>
          </w:tcPr>
          <w:p>
            <w:r/>
            <w:r>
              <w:rPr>
                <w:rFonts w:ascii="Aptos" w:hAnsi="Aptos"/>
                <w:b/>
                <w:color w:val="1F374E"/>
                <w:sz w:val="19"/>
              </w:rPr>
              <w:t>Document owner</w:t>
            </w:r>
          </w:p>
        </w:tc>
        <w:tc>
          <w:tcPr>
            <w:tcW w:type="dxa" w:w="5040"/>
            <w:vAlign w:val="center"/>
          </w:tcPr>
          <w:p>
            <w:r/>
            <w:r>
              <w:rPr>
                <w:rFonts w:ascii="Aptos" w:hAnsi="Aptos"/>
                <w:b w:val="0"/>
                <w:sz w:val="19"/>
              </w:rPr>
              <w:t>HNL Director / Laboratory Staff</w:t>
            </w:r>
          </w:p>
        </w:tc>
      </w:tr>
      <w:tr>
        <w:trPr>
          <w:cantSplit/>
        </w:trPr>
        <w:tc>
          <w:tcPr>
            <w:tcW w:type="dxa" w:w="5040"/>
            <w:vAlign w:val="center"/>
            <w:shd w:fill="D9EAF7"/>
          </w:tcPr>
          <w:p>
            <w:r/>
            <w:r>
              <w:rPr>
                <w:rFonts w:ascii="Aptos" w:hAnsi="Aptos"/>
                <w:b/>
                <w:color w:val="1F374E"/>
                <w:sz w:val="19"/>
              </w:rPr>
              <w:t>Version</w:t>
            </w:r>
          </w:p>
        </w:tc>
        <w:tc>
          <w:tcPr>
            <w:tcW w:type="dxa" w:w="5040"/>
            <w:vAlign w:val="center"/>
          </w:tcPr>
          <w:p>
            <w:r/>
            <w:r>
              <w:rPr>
                <w:rFonts w:ascii="Aptos" w:hAnsi="Aptos"/>
                <w:b w:val="0"/>
                <w:sz w:val="19"/>
              </w:rPr>
              <w:t>1.0 | June 2026</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Pr>
          <w:p>
            <w:pPr>
              <w:spacing w:after="40"/>
            </w:pPr>
            <w:r>
              <w:rPr>
                <w:b/>
                <w:color w:val="1F374E"/>
                <w:sz w:val="21"/>
              </w:rPr>
              <w:t>Purpose</w:t>
            </w:r>
          </w:p>
          <w:p>
            <w:pPr>
              <w:spacing w:after="40"/>
            </w:pPr>
            <w:r>
              <w:rPr>
                <w:sz w:val="19"/>
              </w:rPr>
              <w:t>This guide explains how to use the MilliKey DeLux Light Sensor to measure when a visual stimulus physically appears on a computer display. It is intended for experiment setup, timing validation, and troubleshooting—not for measuring room illumination in lux.</w:t>
            </w:r>
          </w:p>
        </w:tc>
      </w:tr>
    </w:tbl>
    <w:p>
      <w:pPr>
        <w:spacing w:after="0"/>
      </w:pPr>
    </w:p>
    <w:p>
      <w:r>
        <w:br w:type="page"/>
      </w:r>
    </w:p>
    <w:p>
      <w:pPr>
        <w:pStyle w:val="Heading1"/>
      </w:pPr>
      <w:r>
        <w:t>1. Overview</w:t>
      </w:r>
    </w:p>
    <w:p>
      <w:r>
        <w:t>The MilliKey DeLux Light Sensor detects changes in monitor brightness. When the measured light level crosses a configurable threshold, the connected MilliKey can generate a keyboard event or a serial event. Comparing that sensor event with the stimulus-onset time recorded by the experiment software provides an estimate of visual display latency.</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Pr>
          <w:p>
            <w:pPr>
              <w:spacing w:after="40"/>
            </w:pPr>
            <w:r>
              <w:rPr>
                <w:b/>
                <w:color w:val="1F374E"/>
                <w:sz w:val="21"/>
              </w:rPr>
              <w:t>Key distinction</w:t>
            </w:r>
          </w:p>
          <w:p>
            <w:pPr>
              <w:spacing w:after="40"/>
            </w:pPr>
            <w:r>
              <w:rPr>
                <w:sz w:val="19"/>
              </w:rPr>
              <w:t>The experiment software reports when it requested or logged a screen update. The light sensor reports when the display actually changed at the sensor location. The difference between these times is the measured display-onset latency.</w:t>
            </w:r>
          </w:p>
        </w:tc>
      </w:tr>
    </w:tbl>
    <w:p>
      <w:pPr>
        <w:spacing w:after="0"/>
      </w:pPr>
    </w:p>
    <w:p>
      <w:pPr>
        <w:pStyle w:val="Heading2"/>
      </w:pPr>
      <w:r>
        <w:t>Typical uses</w:t>
      </w:r>
    </w:p>
    <w:p>
      <w:pPr>
        <w:pStyle w:val="ListBullet"/>
        <w:spacing w:after="40"/>
      </w:pPr>
      <w:r>
        <w:t>Measure delay between a software-reported stimulus onset and the physical appearance of the stimulus.</w:t>
      </w:r>
    </w:p>
    <w:p>
      <w:pPr>
        <w:pStyle w:val="ListBullet"/>
        <w:spacing w:after="40"/>
      </w:pPr>
      <w:r>
        <w:t>Check timing consistency across computers, monitors, refresh rates, and experiment builds.</w:t>
      </w:r>
    </w:p>
    <w:p>
      <w:pPr>
        <w:pStyle w:val="ListBullet"/>
        <w:spacing w:after="40"/>
      </w:pPr>
      <w:r>
        <w:t>Verify that a PsychoPy, E-Prime, Presentation, MATLAB, or similar task is producing stable visual timing.</w:t>
      </w:r>
    </w:p>
    <w:p>
      <w:pPr>
        <w:pStyle w:val="ListBullet"/>
        <w:spacing w:after="40"/>
      </w:pPr>
      <w:r>
        <w:t>Document equipment timing before data collection or after a hardware or software change.</w:t>
      </w:r>
    </w:p>
    <w:p>
      <w:pPr>
        <w:pStyle w:val="Heading2"/>
      </w:pPr>
      <w:r>
        <w:t>System components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F4E78"/>
          </w:tcPr>
          <w:p>
            <w:r/>
            <w:r>
              <w:rPr>
                <w:rFonts w:ascii="Aptos" w:hAnsi="Aptos"/>
                <w:b/>
                <w:color w:val="FFFFFF"/>
                <w:sz w:val="19"/>
              </w:rPr>
              <w:t>Component</w:t>
            </w:r>
          </w:p>
        </w:tc>
        <w:tc>
          <w:tcPr>
            <w:tcW w:type="dxa" w:w="3360"/>
            <w:vAlign w:val="center"/>
            <w:shd w:fill="1F4E78"/>
          </w:tcPr>
          <w:p>
            <w:r/>
            <w:r>
              <w:rPr>
                <w:rFonts w:ascii="Aptos" w:hAnsi="Aptos"/>
                <w:b/>
                <w:color w:val="FFFFFF"/>
                <w:sz w:val="19"/>
              </w:rPr>
              <w:t>Function</w:t>
            </w:r>
          </w:p>
        </w:tc>
        <w:tc>
          <w:tcPr>
            <w:tcW w:type="dxa" w:w="3360"/>
            <w:vAlign w:val="center"/>
            <w:shd w:fill="1F4E78"/>
          </w:tcPr>
          <w:p>
            <w:r/>
            <w:r>
              <w:rPr>
                <w:rFonts w:ascii="Aptos" w:hAnsi="Aptos"/>
                <w:b/>
                <w:color w:val="FFFFFF"/>
                <w:sz w:val="19"/>
              </w:rPr>
              <w:t>Check before use</w:t>
            </w:r>
          </w:p>
        </w:tc>
      </w:tr>
      <w:tr>
        <w:trPr>
          <w:cantSplit/>
        </w:trPr>
        <w:tc>
          <w:tcPr>
            <w:tcW w:type="dxa" w:w="3360"/>
            <w:vAlign w:val="center"/>
          </w:tcPr>
          <w:p>
            <w:r/>
            <w:r>
              <w:rPr>
                <w:rFonts w:ascii="Aptos" w:hAnsi="Aptos"/>
                <w:b w:val="0"/>
                <w:sz w:val="18"/>
              </w:rPr>
              <w:t>MilliKey response box</w:t>
            </w:r>
          </w:p>
        </w:tc>
        <w:tc>
          <w:tcPr>
            <w:tcW w:type="dxa" w:w="3360"/>
            <w:vAlign w:val="center"/>
          </w:tcPr>
          <w:p>
            <w:r/>
            <w:r>
              <w:rPr>
                <w:rFonts w:ascii="Aptos" w:hAnsi="Aptos"/>
                <w:b w:val="0"/>
                <w:sz w:val="18"/>
              </w:rPr>
              <w:t>Receives the sensor signal and generates keyboard and/or serial events.</w:t>
            </w:r>
          </w:p>
        </w:tc>
        <w:tc>
          <w:tcPr>
            <w:tcW w:type="dxa" w:w="3360"/>
            <w:vAlign w:val="center"/>
          </w:tcPr>
          <w:p>
            <w:r/>
            <w:r>
              <w:rPr>
                <w:rFonts w:ascii="Aptos" w:hAnsi="Aptos"/>
                <w:b w:val="0"/>
                <w:sz w:val="18"/>
              </w:rPr>
              <w:t>USB cable connected directly to the experiment computer.</w:t>
            </w:r>
          </w:p>
        </w:tc>
      </w:tr>
      <w:tr>
        <w:trPr>
          <w:cantSplit/>
        </w:trPr>
        <w:tc>
          <w:tcPr>
            <w:tcW w:type="dxa" w:w="3360"/>
            <w:vAlign w:val="center"/>
          </w:tcPr>
          <w:p>
            <w:r/>
            <w:r>
              <w:rPr>
                <w:rFonts w:ascii="Aptos" w:hAnsi="Aptos"/>
                <w:b w:val="0"/>
                <w:sz w:val="18"/>
              </w:rPr>
              <w:t>DeLux light sensor</w:t>
            </w:r>
          </w:p>
        </w:tc>
        <w:tc>
          <w:tcPr>
            <w:tcW w:type="dxa" w:w="3360"/>
            <w:vAlign w:val="center"/>
          </w:tcPr>
          <w:p>
            <w:r/>
            <w:r>
              <w:rPr>
                <w:rFonts w:ascii="Aptos" w:hAnsi="Aptos"/>
                <w:b w:val="0"/>
                <w:sz w:val="18"/>
              </w:rPr>
              <w:t>Detects the brightness of the display at the selected screen location.</w:t>
            </w:r>
          </w:p>
        </w:tc>
        <w:tc>
          <w:tcPr>
            <w:tcW w:type="dxa" w:w="3360"/>
            <w:vAlign w:val="center"/>
          </w:tcPr>
          <w:p>
            <w:r/>
            <w:r>
              <w:rPr>
                <w:rFonts w:ascii="Aptos" w:hAnsi="Aptos"/>
                <w:b w:val="0"/>
                <w:sz w:val="18"/>
              </w:rPr>
              <w:t>Sensor cable fully seated in the MilliKey analog input.</w:t>
            </w:r>
          </w:p>
        </w:tc>
      </w:tr>
      <w:tr>
        <w:trPr>
          <w:cantSplit/>
        </w:trPr>
        <w:tc>
          <w:tcPr>
            <w:tcW w:type="dxa" w:w="3360"/>
            <w:vAlign w:val="center"/>
          </w:tcPr>
          <w:p>
            <w:r/>
            <w:r>
              <w:rPr>
                <w:rFonts w:ascii="Aptos" w:hAnsi="Aptos"/>
                <w:b w:val="0"/>
                <w:sz w:val="18"/>
              </w:rPr>
              <w:t>LabHackers Device Manager</w:t>
            </w:r>
          </w:p>
        </w:tc>
        <w:tc>
          <w:tcPr>
            <w:tcW w:type="dxa" w:w="3360"/>
            <w:vAlign w:val="center"/>
          </w:tcPr>
          <w:p>
            <w:r/>
            <w:r>
              <w:rPr>
                <w:rFonts w:ascii="Aptos" w:hAnsi="Aptos"/>
                <w:b w:val="0"/>
                <w:sz w:val="18"/>
              </w:rPr>
              <w:t>Configures threshold and trigger behavior and displays sensor readings.</w:t>
            </w:r>
          </w:p>
        </w:tc>
        <w:tc>
          <w:tcPr>
            <w:tcW w:type="dxa" w:w="3360"/>
            <w:vAlign w:val="center"/>
          </w:tcPr>
          <w:p>
            <w:r/>
            <w:r>
              <w:rPr>
                <w:rFonts w:ascii="Aptos" w:hAnsi="Aptos"/>
                <w:b w:val="0"/>
                <w:sz w:val="18"/>
              </w:rPr>
              <w:t>Installed when configuration or live monitoring is needed.</w:t>
            </w:r>
          </w:p>
        </w:tc>
      </w:tr>
      <w:tr>
        <w:trPr>
          <w:cantSplit/>
        </w:trPr>
        <w:tc>
          <w:tcPr>
            <w:tcW w:type="dxa" w:w="3360"/>
            <w:vAlign w:val="center"/>
          </w:tcPr>
          <w:p>
            <w:r/>
            <w:r>
              <w:rPr>
                <w:rFonts w:ascii="Aptos" w:hAnsi="Aptos"/>
                <w:b w:val="0"/>
                <w:sz w:val="18"/>
              </w:rPr>
              <w:t>Experiment computer and monitor</w:t>
            </w:r>
          </w:p>
        </w:tc>
        <w:tc>
          <w:tcPr>
            <w:tcW w:type="dxa" w:w="3360"/>
            <w:vAlign w:val="center"/>
          </w:tcPr>
          <w:p>
            <w:r/>
            <w:r>
              <w:rPr>
                <w:rFonts w:ascii="Aptos" w:hAnsi="Aptos"/>
                <w:b w:val="0"/>
                <w:sz w:val="18"/>
              </w:rPr>
              <w:t>Presents the visual stimulus being tested.</w:t>
            </w:r>
          </w:p>
        </w:tc>
        <w:tc>
          <w:tcPr>
            <w:tcW w:type="dxa" w:w="3360"/>
            <w:vAlign w:val="center"/>
          </w:tcPr>
          <w:p>
            <w:r/>
            <w:r>
              <w:rPr>
                <w:rFonts w:ascii="Aptos" w:hAnsi="Aptos"/>
                <w:b w:val="0"/>
                <w:sz w:val="18"/>
              </w:rPr>
              <w:t>Refresh rate, scaling, HDR, and brightness settings documented.</w:t>
            </w:r>
          </w:p>
        </w:tc>
      </w:tr>
    </w:tbl>
    <w:p>
      <w:pPr>
        <w:pStyle w:val="Heading2"/>
      </w:pPr>
      <w:r>
        <w:t>Handling precautions</w:t>
      </w:r>
    </w:p>
    <w:p>
      <w:pPr>
        <w:pStyle w:val="ListBullet"/>
        <w:spacing w:after="40"/>
      </w:pPr>
      <w:r>
        <w:t>Do not sharply bend, pinch, or pull the sensor cable.</w:t>
      </w:r>
    </w:p>
    <w:p>
      <w:pPr>
        <w:pStyle w:val="ListBullet"/>
        <w:spacing w:after="40"/>
      </w:pPr>
      <w:r>
        <w:t>Attach the sensor without pressing hard on the display panel.</w:t>
      </w:r>
    </w:p>
    <w:p>
      <w:pPr>
        <w:pStyle w:val="ListBullet"/>
        <w:spacing w:after="40"/>
      </w:pPr>
      <w:r>
        <w:t>Use removable, low-residue tape or a non-damaging mounting method approved by HNL staff.</w:t>
      </w:r>
    </w:p>
    <w:p>
      <w:pPr>
        <w:pStyle w:val="ListBullet"/>
        <w:spacing w:after="40"/>
      </w:pPr>
      <w:r>
        <w:t>Keep the sensor face flat against or immediately in front of the target screen region.</w:t>
      </w:r>
    </w:p>
    <w:p>
      <w:pPr>
        <w:pStyle w:val="ListBullet"/>
        <w:spacing w:after="40"/>
      </w:pPr>
      <w:r>
        <w:t>Do not alter monitor brightness, refresh rate, HDR mode, color profile, or display scaling during a validation session.</w:t>
      </w:r>
    </w:p>
    <w:p>
      <w:pPr>
        <w:pStyle w:val="Heading1"/>
      </w:pPr>
      <w:r>
        <w:t>2. Hardware and Software Setup</w:t>
      </w:r>
    </w:p>
    <w:p>
      <w:pPr>
        <w:pStyle w:val="Heading2"/>
      </w:pPr>
      <w:r>
        <w:t>Connect the equipment</w:t>
      </w:r>
    </w:p>
    <w:p>
      <w:pPr>
        <w:pStyle w:val="ListNumber"/>
        <w:spacing w:after="60"/>
      </w:pPr>
      <w:r>
        <w:t>Close the experiment program before changing hardware connections.</w:t>
      </w:r>
    </w:p>
    <w:p>
      <w:pPr>
        <w:pStyle w:val="ListNumber"/>
        <w:spacing w:after="60"/>
      </w:pPr>
      <w:r>
        <w:t>Connect the DeLux sensor plug to the analog input on the compatible MilliKey response box.</w:t>
      </w:r>
    </w:p>
    <w:p>
      <w:pPr>
        <w:pStyle w:val="ListNumber"/>
        <w:spacing w:after="60"/>
      </w:pPr>
      <w:r>
        <w:t>Connect the MilliKey to the experiment computer by USB. A direct computer USB port is preferred over an unpowered hub.</w:t>
      </w:r>
    </w:p>
    <w:p>
      <w:pPr>
        <w:pStyle w:val="ListNumber"/>
        <w:spacing w:after="60"/>
      </w:pPr>
      <w:r>
        <w:t>Allow the operating system to detect the MilliKey. In keyboard mode, the device functions as a standard USB HID keyboard.</w:t>
      </w:r>
    </w:p>
    <w:p>
      <w:pPr>
        <w:pStyle w:val="ListNumber"/>
        <w:spacing w:after="60"/>
      </w:pPr>
      <w:r>
        <w:t>Open LabHackers Device Manager when threshold adjustment, live sensor monitoring, or serial configuration is required.</w:t>
      </w:r>
    </w:p>
    <w:p>
      <w:pPr>
        <w:pStyle w:val="Heading2"/>
      </w:pPr>
      <w:r>
        <w:t>Position the sensor</w:t>
      </w:r>
    </w:p>
    <w:p>
      <w:pPr>
        <w:pStyle w:val="ListNumber"/>
        <w:spacing w:after="60"/>
      </w:pPr>
      <w:r>
        <w:t>Create a small timing patch in the experiment display, typically a square that alternates between black and white at stimulus onset.</w:t>
      </w:r>
    </w:p>
    <w:p>
      <w:pPr>
        <w:pStyle w:val="ListNumber"/>
        <w:spacing w:after="60"/>
      </w:pPr>
      <w:r>
        <w:t>Place the patch away from task-relevant content, commonly in a screen corner.</w:t>
      </w:r>
    </w:p>
    <w:p>
      <w:pPr>
        <w:pStyle w:val="ListNumber"/>
        <w:spacing w:after="60"/>
      </w:pPr>
      <w:r>
        <w:t>Position the sensor so its photosensitive face is centered over the patch.</w:t>
      </w:r>
    </w:p>
    <w:p>
      <w:pPr>
        <w:pStyle w:val="ListNumber"/>
        <w:spacing w:after="60"/>
      </w:pPr>
      <w:r>
        <w:t>Secure the cable so it cannot pull the sensor away from the patch.</w:t>
      </w:r>
    </w:p>
    <w:p>
      <w:pPr>
        <w:pStyle w:val="ListNumber"/>
        <w:spacing w:after="60"/>
      </w:pPr>
      <w:r>
        <w:t>Confirm that the patch is completely covered by the sensing face and that neighboring screen content does not substantially affect the reading.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Pr>
          <w:p>
            <w:pPr>
              <w:spacing w:after="40"/>
            </w:pPr>
            <w:r>
              <w:rPr>
                <w:b/>
                <w:color w:val="007846"/>
                <w:sz w:val="21"/>
              </w:rPr>
              <w:t>Recommended timing patch</w:t>
            </w:r>
          </w:p>
          <w:p>
            <w:pPr>
              <w:spacing w:after="40"/>
            </w:pPr>
            <w:r>
              <w:rPr>
                <w:sz w:val="19"/>
              </w:rPr>
              <w:t>Use a high-contrast black-to-white transition. A larger patch is easier to align and typically provides a clearer threshold crossing. Keep its location, size, and colors identical across validation runs.</w:t>
            </w:r>
          </w:p>
        </w:tc>
      </w:tr>
    </w:tbl>
    <w:p>
      <w:pPr>
        <w:spacing w:after="0"/>
      </w:pPr>
    </w:p>
    <w:p>
      <w:pPr>
        <w:pStyle w:val="Heading2"/>
      </w:pPr>
      <w:r>
        <w:t>Configure the trigger threshold</w:t>
      </w:r>
    </w:p>
    <w:p>
      <w:r>
        <w:t>In Device Manager, view the light-sensor signal while the timing patch alternates between its dark and bright states. Set the digital threshold between the stable dark and bright readings, leaving adequate separation from both states.</w:t>
      </w:r>
    </w:p>
    <w:p>
      <w:pPr>
        <w:pStyle w:val="ListNumber"/>
        <w:spacing w:after="60"/>
      </w:pPr>
      <w:r>
        <w:t>Display the dark state and note the stable sensor value.</w:t>
      </w:r>
    </w:p>
    <w:p>
      <w:pPr>
        <w:pStyle w:val="ListNumber"/>
        <w:spacing w:after="60"/>
      </w:pPr>
      <w:r>
        <w:t>Display the bright state and note the stable sensor value.</w:t>
      </w:r>
    </w:p>
    <w:p>
      <w:pPr>
        <w:pStyle w:val="ListNumber"/>
        <w:spacing w:after="60"/>
      </w:pPr>
      <w:r>
        <w:t>Select a threshold approximately midway between the two readings as an initial setting.</w:t>
      </w:r>
    </w:p>
    <w:p>
      <w:pPr>
        <w:pStyle w:val="ListNumber"/>
        <w:spacing w:after="60"/>
      </w:pPr>
      <w:r>
        <w:t>Run repeated transitions and confirm that each intended change produces one trigger.</w:t>
      </w:r>
    </w:p>
    <w:p>
      <w:pPr>
        <w:pStyle w:val="ListNumber"/>
        <w:spacing w:after="60"/>
      </w:pPr>
      <w:r>
        <w:t>Raise the threshold if ambient or background changes cause false triggers; lower it if intended bright transitions are missed.</w:t>
      </w:r>
    </w:p>
    <w:p>
      <w:r>
        <w:br w:type="page"/>
      </w:r>
    </w:p>
    <w:p>
      <w:pPr>
        <w:pStyle w:val="Heading1"/>
      </w:pPr>
      <w:r>
        <w:t>3. Standard Timing-Validation Procedure</w:t>
      </w:r>
    </w:p>
    <w:p>
      <w:pPr>
        <w:pStyle w:val="Heading2"/>
      </w:pPr>
      <w:r>
        <w:t>Before collecting measurements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Pre-run check</w:t>
            </w:r>
          </w:p>
        </w:tc>
        <w:tc>
          <w:tcPr>
            <w:tcW w:type="dxa" w:w="5040"/>
            <w:vAlign w:val="center"/>
            <w:shd w:fill="1F4E78"/>
          </w:tcPr>
          <w:p>
            <w:r/>
            <w:r>
              <w:rPr>
                <w:rFonts w:ascii="Aptos" w:hAnsi="Aptos"/>
                <w:b/>
                <w:color w:val="FFFFFF"/>
                <w:sz w:val="19"/>
              </w:rPr>
              <w:t>Done</w:t>
            </w:r>
          </w:p>
        </w:tc>
      </w:tr>
      <w:tr>
        <w:trPr>
          <w:cantSplit/>
        </w:trPr>
        <w:tc>
          <w:tcPr>
            <w:tcW w:type="dxa" w:w="5040"/>
            <w:vAlign w:val="center"/>
          </w:tcPr>
          <w:p>
            <w:r/>
            <w:r>
              <w:rPr>
                <w:rFonts w:ascii="Aptos" w:hAnsi="Aptos"/>
                <w:b w:val="0"/>
                <w:sz w:val="19"/>
              </w:rPr>
              <w:t>Monitor warmed up and using the intended refresh rate</w:t>
            </w:r>
          </w:p>
        </w:tc>
        <w:tc>
          <w:tcPr>
            <w:tcW w:type="dxa" w:w="5040"/>
            <w:vAlign w:val="center"/>
          </w:tcPr>
          <w:p>
            <w:r/>
            <w:r>
              <w:rPr>
                <w:rFonts w:ascii="Aptos" w:hAnsi="Aptos"/>
                <w:b w:val="0"/>
                <w:sz w:val="24"/>
              </w:rPr>
              <w:t>☐</w:t>
            </w:r>
          </w:p>
        </w:tc>
      </w:tr>
      <w:tr>
        <w:trPr>
          <w:cantSplit/>
        </w:trPr>
        <w:tc>
          <w:tcPr>
            <w:tcW w:type="dxa" w:w="5040"/>
            <w:vAlign w:val="center"/>
          </w:tcPr>
          <w:p>
            <w:r/>
            <w:r>
              <w:rPr>
                <w:rFonts w:ascii="Aptos" w:hAnsi="Aptos"/>
                <w:b w:val="0"/>
                <w:sz w:val="19"/>
              </w:rPr>
              <w:t>Operating-system display scaling and HDR settings documented</w:t>
            </w:r>
          </w:p>
        </w:tc>
        <w:tc>
          <w:tcPr>
            <w:tcW w:type="dxa" w:w="5040"/>
            <w:vAlign w:val="center"/>
          </w:tcPr>
          <w:p>
            <w:r/>
            <w:r>
              <w:rPr>
                <w:rFonts w:ascii="Aptos" w:hAnsi="Aptos"/>
                <w:b w:val="0"/>
                <w:sz w:val="24"/>
              </w:rPr>
              <w:t>☐</w:t>
            </w:r>
          </w:p>
        </w:tc>
      </w:tr>
      <w:tr>
        <w:trPr>
          <w:cantSplit/>
        </w:trPr>
        <w:tc>
          <w:tcPr>
            <w:tcW w:type="dxa" w:w="5040"/>
            <w:vAlign w:val="center"/>
          </w:tcPr>
          <w:p>
            <w:r/>
            <w:r>
              <w:rPr>
                <w:rFonts w:ascii="Aptos" w:hAnsi="Aptos"/>
                <w:b w:val="0"/>
                <w:sz w:val="19"/>
              </w:rPr>
              <w:t>Experiment running full screen in the intended configuration</w:t>
            </w:r>
          </w:p>
        </w:tc>
        <w:tc>
          <w:tcPr>
            <w:tcW w:type="dxa" w:w="5040"/>
            <w:vAlign w:val="center"/>
          </w:tcPr>
          <w:p>
            <w:r/>
            <w:r>
              <w:rPr>
                <w:rFonts w:ascii="Aptos" w:hAnsi="Aptos"/>
                <w:b w:val="0"/>
                <w:sz w:val="24"/>
              </w:rPr>
              <w:t>☐</w:t>
            </w:r>
          </w:p>
        </w:tc>
      </w:tr>
      <w:tr>
        <w:trPr>
          <w:cantSplit/>
        </w:trPr>
        <w:tc>
          <w:tcPr>
            <w:tcW w:type="dxa" w:w="5040"/>
            <w:vAlign w:val="center"/>
          </w:tcPr>
          <w:p>
            <w:r/>
            <w:r>
              <w:rPr>
                <w:rFonts w:ascii="Aptos" w:hAnsi="Aptos"/>
                <w:b w:val="0"/>
                <w:sz w:val="19"/>
              </w:rPr>
              <w:t>Timing patch aligned with the sensor</w:t>
            </w:r>
          </w:p>
        </w:tc>
        <w:tc>
          <w:tcPr>
            <w:tcW w:type="dxa" w:w="5040"/>
            <w:vAlign w:val="center"/>
          </w:tcPr>
          <w:p>
            <w:r/>
            <w:r>
              <w:rPr>
                <w:rFonts w:ascii="Aptos" w:hAnsi="Aptos"/>
                <w:b w:val="0"/>
                <w:sz w:val="24"/>
              </w:rPr>
              <w:t>☐</w:t>
            </w:r>
          </w:p>
        </w:tc>
      </w:tr>
      <w:tr>
        <w:trPr>
          <w:cantSplit/>
        </w:trPr>
        <w:tc>
          <w:tcPr>
            <w:tcW w:type="dxa" w:w="5040"/>
            <w:vAlign w:val="center"/>
          </w:tcPr>
          <w:p>
            <w:r/>
            <w:r>
              <w:rPr>
                <w:rFonts w:ascii="Aptos" w:hAnsi="Aptos"/>
                <w:b w:val="0"/>
                <w:sz w:val="19"/>
              </w:rPr>
              <w:t>Dark and bright states clearly separated in Device Manager</w:t>
            </w:r>
          </w:p>
        </w:tc>
        <w:tc>
          <w:tcPr>
            <w:tcW w:type="dxa" w:w="5040"/>
            <w:vAlign w:val="center"/>
          </w:tcPr>
          <w:p>
            <w:r/>
            <w:r>
              <w:rPr>
                <w:rFonts w:ascii="Aptos" w:hAnsi="Aptos"/>
                <w:b w:val="0"/>
                <w:sz w:val="24"/>
              </w:rPr>
              <w:t>☐</w:t>
            </w:r>
          </w:p>
        </w:tc>
      </w:tr>
      <w:tr>
        <w:trPr>
          <w:cantSplit/>
        </w:trPr>
        <w:tc>
          <w:tcPr>
            <w:tcW w:type="dxa" w:w="5040"/>
            <w:vAlign w:val="center"/>
          </w:tcPr>
          <w:p>
            <w:r/>
            <w:r>
              <w:rPr>
                <w:rFonts w:ascii="Aptos" w:hAnsi="Aptos"/>
                <w:b w:val="0"/>
                <w:sz w:val="19"/>
              </w:rPr>
              <w:t>Correct event key or serial message identified</w:t>
            </w:r>
          </w:p>
        </w:tc>
        <w:tc>
          <w:tcPr>
            <w:tcW w:type="dxa" w:w="5040"/>
            <w:vAlign w:val="center"/>
          </w:tcPr>
          <w:p>
            <w:r/>
            <w:r>
              <w:rPr>
                <w:rFonts w:ascii="Aptos" w:hAnsi="Aptos"/>
                <w:b w:val="0"/>
                <w:sz w:val="24"/>
              </w:rPr>
              <w:t>☐</w:t>
            </w:r>
          </w:p>
        </w:tc>
      </w:tr>
      <w:tr>
        <w:trPr>
          <w:cantSplit/>
        </w:trPr>
        <w:tc>
          <w:tcPr>
            <w:tcW w:type="dxa" w:w="5040"/>
            <w:vAlign w:val="center"/>
          </w:tcPr>
          <w:p>
            <w:r/>
            <w:r>
              <w:rPr>
                <w:rFonts w:ascii="Aptos" w:hAnsi="Aptos"/>
                <w:b w:val="0"/>
                <w:sz w:val="19"/>
              </w:rPr>
              <w:t>Unneeded programs and notifications closed</w:t>
            </w:r>
          </w:p>
        </w:tc>
        <w:tc>
          <w:tcPr>
            <w:tcW w:type="dxa" w:w="5040"/>
            <w:vAlign w:val="center"/>
          </w:tcPr>
          <w:p>
            <w:r/>
            <w:r>
              <w:rPr>
                <w:rFonts w:ascii="Aptos" w:hAnsi="Aptos"/>
                <w:b w:val="0"/>
                <w:sz w:val="24"/>
              </w:rPr>
              <w:t>☐</w:t>
            </w:r>
          </w:p>
        </w:tc>
      </w:tr>
    </w:tbl>
    <w:p>
      <w:pPr>
        <w:pStyle w:val="Heading2"/>
      </w:pPr>
      <w:r>
        <w:t>Run the validation</w:t>
      </w:r>
    </w:p>
    <w:p>
      <w:pPr>
        <w:pStyle w:val="ListNumber"/>
        <w:spacing w:after="60"/>
      </w:pPr>
      <w:r>
        <w:t>Start the experiment and the event-recording method to be evaluated.</w:t>
      </w:r>
    </w:p>
    <w:p>
      <w:pPr>
        <w:pStyle w:val="ListNumber"/>
        <w:spacing w:after="60"/>
      </w:pPr>
      <w:r>
        <w:t>Present repeated visual transitions using the same drawing and screen-flip method used in the real task.</w:t>
      </w:r>
    </w:p>
    <w:p>
      <w:pPr>
        <w:pStyle w:val="ListNumber"/>
        <w:spacing w:after="60"/>
      </w:pPr>
      <w:r>
        <w:t>For each transition, save both the software timestamp and the corresponding MilliKey sensor-event timestamp.</w:t>
      </w:r>
    </w:p>
    <w:p>
      <w:pPr>
        <w:pStyle w:val="ListNumber"/>
        <w:spacing w:after="60"/>
      </w:pPr>
      <w:r>
        <w:t>Collect enough repetitions to assess both the average delay and trial-to-trial variability. A minimum of 50 transitions is a useful laboratory check; more repetitions are preferable for formal validation.</w:t>
      </w:r>
    </w:p>
    <w:p>
      <w:pPr>
        <w:pStyle w:val="ListNumber"/>
        <w:spacing w:after="60"/>
      </w:pPr>
      <w:r>
        <w:t>Repeat the test after any change to the monitor, refresh rate, graphics settings, computer, experiment software version, or stimulus-presentation code.</w:t>
      </w:r>
    </w:p>
    <w:p>
      <w:pPr>
        <w:pStyle w:val="Heading2"/>
      </w:pPr>
      <w:r>
        <w:t>Calculate display-onset latency</w:t>
      </w:r>
    </w:p>
    <w:p>
      <w:pPr>
        <w:jc w:val="center"/>
      </w:pPr>
      <w:r>
        <w:rPr>
          <w:b/>
          <w:color w:val="1F374E"/>
          <w:sz w:val="24"/>
        </w:rPr>
        <w:t>Display-onset latency = Sensor event time − Software stimulus-onset time</w:t>
      </w:r>
    </w:p>
    <w:p>
      <w:r>
        <w:t>Summarize the distribution rather than reporting only one trial. At minimum, record the number of transitions, mean or median latency, standard deviation or median absolute deviation, minimum, maximum, monitor refresh rate, and software configuration.</w:t>
      </w:r>
    </w:p>
    <w:p>
      <w:pPr>
        <w:pStyle w:val="Heading2"/>
      </w:pPr>
      <w:r>
        <w:t>Interpretation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F4E78"/>
          </w:tcPr>
          <w:p>
            <w:r/>
            <w:r>
              <w:rPr>
                <w:rFonts w:ascii="Aptos" w:hAnsi="Aptos"/>
                <w:b/>
                <w:color w:val="FFFFFF"/>
                <w:sz w:val="19"/>
              </w:rPr>
              <w:t>Pattern</w:t>
            </w:r>
          </w:p>
        </w:tc>
        <w:tc>
          <w:tcPr>
            <w:tcW w:type="dxa" w:w="5040"/>
            <w:vAlign w:val="center"/>
            <w:shd w:fill="1F4E78"/>
          </w:tcPr>
          <w:p>
            <w:r/>
            <w:r>
              <w:rPr>
                <w:rFonts w:ascii="Aptos" w:hAnsi="Aptos"/>
                <w:b/>
                <w:color w:val="FFFFFF"/>
                <w:sz w:val="19"/>
              </w:rPr>
              <w:t>Likely interpretation</w:t>
            </w:r>
          </w:p>
        </w:tc>
      </w:tr>
      <w:tr>
        <w:trPr>
          <w:cantSplit/>
        </w:trPr>
        <w:tc>
          <w:tcPr>
            <w:tcW w:type="dxa" w:w="5040"/>
            <w:vAlign w:val="center"/>
          </w:tcPr>
          <w:p>
            <w:r/>
            <w:r>
              <w:rPr>
                <w:rFonts w:ascii="Aptos" w:hAnsi="Aptos"/>
                <w:b w:val="0"/>
                <w:sz w:val="19"/>
              </w:rPr>
              <w:t>Stable delay near one or more refresh intervals</w:t>
            </w:r>
          </w:p>
        </w:tc>
        <w:tc>
          <w:tcPr>
            <w:tcW w:type="dxa" w:w="5040"/>
            <w:vAlign w:val="center"/>
          </w:tcPr>
          <w:p>
            <w:r/>
            <w:r>
              <w:rPr>
                <w:rFonts w:ascii="Aptos" w:hAnsi="Aptos"/>
                <w:b w:val="0"/>
                <w:sz w:val="19"/>
              </w:rPr>
              <w:t>The display update is synchronized to monitor refresh; the measured offset may be incorporated into documentation or corrected during analysis when appropriate.</w:t>
            </w:r>
          </w:p>
        </w:tc>
      </w:tr>
      <w:tr>
        <w:trPr>
          <w:cantSplit/>
        </w:trPr>
        <w:tc>
          <w:tcPr>
            <w:tcW w:type="dxa" w:w="5040"/>
            <w:vAlign w:val="center"/>
          </w:tcPr>
          <w:p>
            <w:r/>
            <w:r>
              <w:rPr>
                <w:rFonts w:ascii="Aptos" w:hAnsi="Aptos"/>
                <w:b w:val="0"/>
                <w:sz w:val="19"/>
              </w:rPr>
              <w:t>Delay varies by approximately one refresh interval</w:t>
            </w:r>
          </w:p>
        </w:tc>
        <w:tc>
          <w:tcPr>
            <w:tcW w:type="dxa" w:w="5040"/>
            <w:vAlign w:val="center"/>
          </w:tcPr>
          <w:p>
            <w:r/>
            <w:r>
              <w:rPr>
                <w:rFonts w:ascii="Aptos" w:hAnsi="Aptos"/>
                <w:b w:val="0"/>
                <w:sz w:val="19"/>
              </w:rPr>
              <w:t>Frames may occasionally be missed, or stimulus drawing/flip timing may be inconsistent.</w:t>
            </w:r>
          </w:p>
        </w:tc>
      </w:tr>
      <w:tr>
        <w:trPr>
          <w:cantSplit/>
        </w:trPr>
        <w:tc>
          <w:tcPr>
            <w:tcW w:type="dxa" w:w="5040"/>
            <w:vAlign w:val="center"/>
          </w:tcPr>
          <w:p>
            <w:r/>
            <w:r>
              <w:rPr>
                <w:rFonts w:ascii="Aptos" w:hAnsi="Aptos"/>
                <w:b w:val="0"/>
                <w:sz w:val="19"/>
              </w:rPr>
              <w:t>Multiple sensor triggers for one transition</w:t>
            </w:r>
          </w:p>
        </w:tc>
        <w:tc>
          <w:tcPr>
            <w:tcW w:type="dxa" w:w="5040"/>
            <w:vAlign w:val="center"/>
          </w:tcPr>
          <w:p>
            <w:r/>
            <w:r>
              <w:rPr>
                <w:rFonts w:ascii="Aptos" w:hAnsi="Aptos"/>
                <w:b w:val="0"/>
                <w:sz w:val="19"/>
              </w:rPr>
              <w:t>Threshold is too close to noise, the patch is flickering, or the sensor is not securely positioned.</w:t>
            </w:r>
          </w:p>
        </w:tc>
      </w:tr>
      <w:tr>
        <w:trPr>
          <w:cantSplit/>
        </w:trPr>
        <w:tc>
          <w:tcPr>
            <w:tcW w:type="dxa" w:w="5040"/>
            <w:vAlign w:val="center"/>
          </w:tcPr>
          <w:p>
            <w:r/>
            <w:r>
              <w:rPr>
                <w:rFonts w:ascii="Aptos" w:hAnsi="Aptos"/>
                <w:b w:val="0"/>
                <w:sz w:val="19"/>
              </w:rPr>
              <w:t>No sensor trigger</w:t>
            </w:r>
          </w:p>
        </w:tc>
        <w:tc>
          <w:tcPr>
            <w:tcW w:type="dxa" w:w="5040"/>
            <w:vAlign w:val="center"/>
          </w:tcPr>
          <w:p>
            <w:r/>
            <w:r>
              <w:rPr>
                <w:rFonts w:ascii="Aptos" w:hAnsi="Aptos"/>
                <w:b w:val="0"/>
                <w:sz w:val="19"/>
              </w:rPr>
              <w:t>Threshold is inappropriate, the sensor is misaligned, the cable is loose, or the event mode is not configured as expected.</w:t>
            </w:r>
          </w:p>
        </w:tc>
      </w:tr>
      <w:tr>
        <w:trPr>
          <w:cantSplit/>
        </w:trPr>
        <w:tc>
          <w:tcPr>
            <w:tcW w:type="dxa" w:w="5040"/>
            <w:vAlign w:val="center"/>
          </w:tcPr>
          <w:p>
            <w:r/>
            <w:r>
              <w:rPr>
                <w:rFonts w:ascii="Aptos" w:hAnsi="Aptos"/>
                <w:b w:val="0"/>
                <w:sz w:val="19"/>
              </w:rPr>
              <w:t>Large or irregular delays</w:t>
            </w:r>
          </w:p>
        </w:tc>
        <w:tc>
          <w:tcPr>
            <w:tcW w:type="dxa" w:w="5040"/>
            <w:vAlign w:val="center"/>
          </w:tcPr>
          <w:p>
            <w:r/>
            <w:r>
              <w:rPr>
                <w:rFonts w:ascii="Aptos" w:hAnsi="Aptos"/>
                <w:b w:val="0"/>
                <w:sz w:val="19"/>
              </w:rPr>
              <w:t>Check full-screen mode, graphics load, background processes, monitor processing modes, adapters, and experiment code.</w:t>
            </w:r>
          </w:p>
        </w:tc>
      </w:tr>
    </w:tbl>
    <w:p>
      <w:pPr>
        <w:pStyle w:val="Heading1"/>
      </w:pPr>
      <w:r>
        <w:t>4. PsychoPy Workflow</w:t>
      </w:r>
    </w:p>
    <w:p>
      <w:r>
        <w:t>The simplest approach is to configure the MilliKey sensor threshold to generate a keyboard event and then record that event with a standard PsychoPy Keyboard component or the psychopy.hardware.keyboard API. Serial mode can be used when direct 1000 Hz data access or custom device commands are required.</w:t>
      </w:r>
    </w:p>
    <w:p>
      <w:pPr>
        <w:pStyle w:val="Heading2"/>
      </w:pPr>
      <w:r>
        <w:t>Builder approach</w:t>
      </w:r>
    </w:p>
    <w:p>
      <w:pPr>
        <w:pStyle w:val="ListNumber"/>
        <w:spacing w:after="60"/>
      </w:pPr>
      <w:r>
        <w:t>Add a small Polygon or Image component to serve as the timing patch.</w:t>
      </w:r>
    </w:p>
    <w:p>
      <w:pPr>
        <w:pStyle w:val="ListNumber"/>
        <w:spacing w:after="60"/>
      </w:pPr>
      <w:r>
        <w:t>Set the patch to black before onset and white on the frame that contains the target stimulus onset.</w:t>
      </w:r>
    </w:p>
    <w:p>
      <w:pPr>
        <w:pStyle w:val="ListNumber"/>
        <w:spacing w:after="60"/>
      </w:pPr>
      <w:r>
        <w:t>Add a Keyboard component that listens for the key mapped to the sensor trigger.</w:t>
      </w:r>
    </w:p>
    <w:p>
      <w:pPr>
        <w:pStyle w:val="ListNumber"/>
        <w:spacing w:after="60"/>
      </w:pPr>
      <w:r>
        <w:t>Start the Keyboard component before the expected transition and store the key and reaction time.</w:t>
      </w:r>
    </w:p>
    <w:p>
      <w:pPr>
        <w:pStyle w:val="ListNumber"/>
        <w:spacing w:after="60"/>
      </w:pPr>
      <w:r>
        <w:t>Use the same screen flip that presents the experimental stimulus to change the timing patch.</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Pr>
          <w:p>
            <w:pPr>
              <w:spacing w:after="40"/>
            </w:pPr>
            <w:r>
              <w:rPr>
                <w:b/>
                <w:color w:val="1F374E"/>
                <w:sz w:val="21"/>
              </w:rPr>
              <w:t>Keyboard naming note</w:t>
            </w:r>
          </w:p>
          <w:p>
            <w:pPr>
              <w:spacing w:after="40"/>
            </w:pPr>
            <w:r>
              <w:rPr>
                <w:sz w:val="19"/>
              </w:rPr>
              <w:t>Some MilliKey button mappings may appear as numeric-keypad keys rather than number-row keys. In PsychoPy, these can be named num_1, num_2, and so forth. Confirm the exact key name on the experiment computer before data collection.</w:t>
            </w:r>
          </w:p>
        </w:tc>
      </w:tr>
    </w:tbl>
    <w:p>
      <w:pPr>
        <w:spacing w:after="0"/>
      </w:pPr>
    </w:p>
    <w:p>
      <w:pPr>
        <w:pStyle w:val="Heading2"/>
      </w:pPr>
      <w:r>
        <w:t>Coder example</w:t>
      </w:r>
    </w:p>
    <w:p>
      <w:pPr>
        <w:pStyle w:val="CodeBlock"/>
        <w:shd w:fill="F3F6F8"/>
      </w:pPr>
      <w:r>
        <w:t>from psychopy import visual, core</w:t>
        <w:br/>
        <w:t>from psychopy.hardware import keyboard</w:t>
        <w:br/>
        <w:br/>
        <w:t>win = visual.Window(fullscr=True, units="pix")</w:t>
        <w:br/>
        <w:t>kb = keyboard.Keyboard()</w:t>
        <w:br/>
        <w:br/>
        <w:t># Place the patch beneath the sensor, for example in the upper-left corner.</w:t>
        <w:br/>
        <w:t>patch = visual.Rect(</w:t>
        <w:br/>
        <w:t xml:space="preserve">    win,</w:t>
        <w:br/>
        <w:t xml:space="preserve">    width=120,</w:t>
        <w:br/>
        <w:t xml:space="preserve">    height=120,</w:t>
        <w:br/>
        <w:t xml:space="preserve">    pos=(-win.size[0] / 2 + 70, win.size[1] / 2 - 70),</w:t>
        <w:br/>
        <w:t xml:space="preserve">    fillColor="black",</w:t>
        <w:br/>
        <w:t xml:space="preserve">    lineColor="black"</w:t>
        <w:br/>
        <w:t>)</w:t>
        <w:br/>
        <w:br/>
        <w:t># Replace this with the key assigned to the sensor trigger.</w:t>
        <w:br/>
        <w:t>sensor_key = "space"</w:t>
        <w:br/>
        <w:br/>
        <w:t>records = []</w:t>
        <w:br/>
        <w:br/>
        <w:t>for trial in range(50):</w:t>
        <w:br/>
        <w:t xml:space="preserve">    # Dark baseline</w:t>
        <w:br/>
        <w:t xml:space="preserve">    patch.fillColor = "black"</w:t>
        <w:br/>
        <w:t xml:space="preserve">    patch.lineColor = "black"</w:t>
        <w:br/>
        <w:t xml:space="preserve">    patch.draw()</w:t>
        <w:br/>
        <w:t xml:space="preserve">    win.flip()</w:t>
        <w:br/>
        <w:t xml:space="preserve">    core.wait(0.5)</w:t>
        <w:br/>
        <w:br/>
        <w:t xml:space="preserve">    kb.clearEvents()</w:t>
        <w:br/>
        <w:t xml:space="preserve">    kb.clock.reset()</w:t>
        <w:br/>
        <w:br/>
        <w:t xml:space="preserve">    # Bright transition and software timestamp occur on the same flip.</w:t>
        <w:br/>
        <w:t xml:space="preserve">    patch.fillColor = "white"</w:t>
        <w:br/>
        <w:t xml:space="preserve">    patch.lineColor = "white"</w:t>
        <w:br/>
        <w:t xml:space="preserve">    patch.draw()</w:t>
        <w:br/>
        <w:t xml:space="preserve">    software_onset = win.flip()</w:t>
        <w:br/>
        <w:br/>
        <w:t xml:space="preserve">    keys = kb.waitKeys(</w:t>
        <w:br/>
        <w:t xml:space="preserve">        maxWait=0.2,</w:t>
        <w:br/>
        <w:t xml:space="preserve">        keyList=[sensor_key],</w:t>
        <w:br/>
        <w:t xml:space="preserve">        waitRelease=False,</w:t>
        <w:br/>
        <w:t xml:space="preserve">        clear=False</w:t>
        <w:br/>
        <w:t xml:space="preserve">    )</w:t>
        <w:br/>
        <w:br/>
        <w:t xml:space="preserve">    if keys:</w:t>
        <w:br/>
        <w:t xml:space="preserve">        sensor_rt = keys[0].rt</w:t>
        <w:br/>
        <w:t xml:space="preserve">        records.append({</w:t>
        <w:br/>
        <w:t xml:space="preserve">            "trial": trial + 1,</w:t>
        <w:br/>
        <w:t xml:space="preserve">            "software_onset": software_onset,</w:t>
        <w:br/>
        <w:t xml:space="preserve">            "sensor_rt_from_flip": sensor_rt</w:t>
        <w:br/>
        <w:t xml:space="preserve">        })</w:t>
        <w:br/>
        <w:t xml:space="preserve">    else:</w:t>
        <w:br/>
        <w:t xml:space="preserve">        records.append({</w:t>
        <w:br/>
        <w:t xml:space="preserve">            "trial": trial + 1,</w:t>
        <w:br/>
        <w:t xml:space="preserve">            "software_onset": software_onset,</w:t>
        <w:br/>
        <w:t xml:space="preserve">            "sensor_rt_from_flip": None</w:t>
        <w:br/>
        <w:t xml:space="preserve">        })</w:t>
        <w:br/>
        <w:br/>
        <w:t>win.close()</w:t>
        <w:br/>
      </w:r>
    </w:p>
    <w:p>
      <w:r>
        <w:t>Important: verify the event timing semantics used by your PsychoPy version and hardware configuration. The example is a starting template, not a substitute for testing the complete experiment on the actual acquisition computer.</w:t>
      </w:r>
    </w:p>
    <w:p>
      <w:r>
        <w:br w:type="page"/>
      </w:r>
    </w:p>
    <w:p>
      <w:pPr>
        <w:pStyle w:val="Heading1"/>
      </w:pPr>
      <w:r>
        <w:t>5. Troubleshooting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F4E78"/>
          </w:tcPr>
          <w:p>
            <w:r/>
            <w:r>
              <w:rPr>
                <w:rFonts w:ascii="Aptos" w:hAnsi="Aptos"/>
                <w:b/>
                <w:color w:val="FFFFFF"/>
                <w:sz w:val="19"/>
              </w:rPr>
              <w:t>Problem</w:t>
            </w:r>
          </w:p>
        </w:tc>
        <w:tc>
          <w:tcPr>
            <w:tcW w:type="dxa" w:w="3360"/>
            <w:vAlign w:val="center"/>
            <w:shd w:fill="1F4E78"/>
          </w:tcPr>
          <w:p>
            <w:r/>
            <w:r>
              <w:rPr>
                <w:rFonts w:ascii="Aptos" w:hAnsi="Aptos"/>
                <w:b/>
                <w:color w:val="FFFFFF"/>
                <w:sz w:val="19"/>
              </w:rPr>
              <w:t>Checks</w:t>
            </w:r>
          </w:p>
        </w:tc>
        <w:tc>
          <w:tcPr>
            <w:tcW w:type="dxa" w:w="3360"/>
            <w:vAlign w:val="center"/>
            <w:shd w:fill="1F4E78"/>
          </w:tcPr>
          <w:p>
            <w:r/>
            <w:r>
              <w:rPr>
                <w:rFonts w:ascii="Aptos" w:hAnsi="Aptos"/>
                <w:b/>
                <w:color w:val="FFFFFF"/>
                <w:sz w:val="19"/>
              </w:rPr>
              <w:t>Corrective action</w:t>
            </w:r>
          </w:p>
        </w:tc>
      </w:tr>
      <w:tr>
        <w:trPr>
          <w:cantSplit/>
        </w:trPr>
        <w:tc>
          <w:tcPr>
            <w:tcW w:type="dxa" w:w="3360"/>
            <w:vAlign w:val="center"/>
          </w:tcPr>
          <w:p>
            <w:r/>
            <w:r>
              <w:rPr>
                <w:rFonts w:ascii="Aptos" w:hAnsi="Aptos"/>
                <w:b w:val="0"/>
                <w:sz w:val="19"/>
              </w:rPr>
              <w:t>Device is not detected</w:t>
            </w:r>
          </w:p>
        </w:tc>
        <w:tc>
          <w:tcPr>
            <w:tcW w:type="dxa" w:w="3360"/>
            <w:vAlign w:val="center"/>
          </w:tcPr>
          <w:p>
            <w:r/>
            <w:r>
              <w:rPr>
                <w:rFonts w:ascii="Aptos" w:hAnsi="Aptos"/>
                <w:b w:val="0"/>
                <w:sz w:val="19"/>
              </w:rPr>
              <w:t>USB connection; hub; operating-system device list</w:t>
            </w:r>
          </w:p>
        </w:tc>
        <w:tc>
          <w:tcPr>
            <w:tcW w:type="dxa" w:w="3360"/>
            <w:vAlign w:val="center"/>
          </w:tcPr>
          <w:p>
            <w:r/>
            <w:r>
              <w:rPr>
                <w:rFonts w:ascii="Aptos" w:hAnsi="Aptos"/>
                <w:b w:val="0"/>
                <w:sz w:val="19"/>
              </w:rPr>
              <w:t>Reconnect directly to the computer, try another USB port, close and reopen Device Manager, and restart the computer if needed.</w:t>
            </w:r>
          </w:p>
        </w:tc>
      </w:tr>
      <w:tr>
        <w:trPr>
          <w:cantSplit/>
        </w:trPr>
        <w:tc>
          <w:tcPr>
            <w:tcW w:type="dxa" w:w="3360"/>
            <w:vAlign w:val="center"/>
          </w:tcPr>
          <w:p>
            <w:r/>
            <w:r>
              <w:rPr>
                <w:rFonts w:ascii="Aptos" w:hAnsi="Aptos"/>
                <w:b w:val="0"/>
                <w:sz w:val="19"/>
              </w:rPr>
              <w:t>Sensor value does not change</w:t>
            </w:r>
          </w:p>
        </w:tc>
        <w:tc>
          <w:tcPr>
            <w:tcW w:type="dxa" w:w="3360"/>
            <w:vAlign w:val="center"/>
          </w:tcPr>
          <w:p>
            <w:r/>
            <w:r>
              <w:rPr>
                <w:rFonts w:ascii="Aptos" w:hAnsi="Aptos"/>
                <w:b w:val="0"/>
                <w:sz w:val="19"/>
              </w:rPr>
              <w:t>Sensor alignment; analog connector; patch location</w:t>
            </w:r>
          </w:p>
        </w:tc>
        <w:tc>
          <w:tcPr>
            <w:tcW w:type="dxa" w:w="3360"/>
            <w:vAlign w:val="center"/>
          </w:tcPr>
          <w:p>
            <w:r/>
            <w:r>
              <w:rPr>
                <w:rFonts w:ascii="Aptos" w:hAnsi="Aptos"/>
                <w:b w:val="0"/>
                <w:sz w:val="19"/>
              </w:rPr>
              <w:t>Reseat the sensor cable, display a full white/black patch, and place the sensor directly over it.</w:t>
            </w:r>
          </w:p>
        </w:tc>
      </w:tr>
      <w:tr>
        <w:trPr>
          <w:cantSplit/>
        </w:trPr>
        <w:tc>
          <w:tcPr>
            <w:tcW w:type="dxa" w:w="3360"/>
            <w:vAlign w:val="center"/>
          </w:tcPr>
          <w:p>
            <w:r/>
            <w:r>
              <w:rPr>
                <w:rFonts w:ascii="Aptos" w:hAnsi="Aptos"/>
                <w:b w:val="0"/>
                <w:sz w:val="19"/>
              </w:rPr>
              <w:t>No trigger on bright transition</w:t>
            </w:r>
          </w:p>
        </w:tc>
        <w:tc>
          <w:tcPr>
            <w:tcW w:type="dxa" w:w="3360"/>
            <w:vAlign w:val="center"/>
          </w:tcPr>
          <w:p>
            <w:r/>
            <w:r>
              <w:rPr>
                <w:rFonts w:ascii="Aptos" w:hAnsi="Aptos"/>
                <w:b w:val="0"/>
                <w:sz w:val="19"/>
              </w:rPr>
              <w:t>Threshold and trigger direction</w:t>
            </w:r>
          </w:p>
        </w:tc>
        <w:tc>
          <w:tcPr>
            <w:tcW w:type="dxa" w:w="3360"/>
            <w:vAlign w:val="center"/>
          </w:tcPr>
          <w:p>
            <w:r/>
            <w:r>
              <w:rPr>
                <w:rFonts w:ascii="Aptos" w:hAnsi="Aptos"/>
                <w:b w:val="0"/>
                <w:sz w:val="19"/>
              </w:rPr>
              <w:t>Move the threshold between dark and bright readings and verify whether the trigger is configured for rising or falling brightness.</w:t>
            </w:r>
          </w:p>
        </w:tc>
      </w:tr>
      <w:tr>
        <w:trPr>
          <w:cantSplit/>
        </w:trPr>
        <w:tc>
          <w:tcPr>
            <w:tcW w:type="dxa" w:w="3360"/>
            <w:vAlign w:val="center"/>
          </w:tcPr>
          <w:p>
            <w:r/>
            <w:r>
              <w:rPr>
                <w:rFonts w:ascii="Aptos" w:hAnsi="Aptos"/>
                <w:b w:val="0"/>
                <w:sz w:val="19"/>
              </w:rPr>
              <w:t>False or repeated triggers</w:t>
            </w:r>
          </w:p>
        </w:tc>
        <w:tc>
          <w:tcPr>
            <w:tcW w:type="dxa" w:w="3360"/>
            <w:vAlign w:val="center"/>
          </w:tcPr>
          <w:p>
            <w:r/>
            <w:r>
              <w:rPr>
                <w:rFonts w:ascii="Aptos" w:hAnsi="Aptos"/>
                <w:b w:val="0"/>
                <w:sz w:val="19"/>
              </w:rPr>
              <w:t>Threshold noise; unstable mounting; nearby content</w:t>
            </w:r>
          </w:p>
        </w:tc>
        <w:tc>
          <w:tcPr>
            <w:tcW w:type="dxa" w:w="3360"/>
            <w:vAlign w:val="center"/>
          </w:tcPr>
          <w:p>
            <w:r/>
            <w:r>
              <w:rPr>
                <w:rFonts w:ascii="Aptos" w:hAnsi="Aptos"/>
                <w:b w:val="0"/>
                <w:sz w:val="19"/>
              </w:rPr>
              <w:t>Increase separation from noise, secure the sensor, enlarge the patch, and keep surrounding content stable.</w:t>
            </w:r>
          </w:p>
        </w:tc>
      </w:tr>
      <w:tr>
        <w:trPr>
          <w:cantSplit/>
        </w:trPr>
        <w:tc>
          <w:tcPr>
            <w:tcW w:type="dxa" w:w="3360"/>
            <w:vAlign w:val="center"/>
          </w:tcPr>
          <w:p>
            <w:r/>
            <w:r>
              <w:rPr>
                <w:rFonts w:ascii="Aptos" w:hAnsi="Aptos"/>
                <w:b w:val="0"/>
                <w:sz w:val="19"/>
              </w:rPr>
              <w:t>PsychoPy records no key</w:t>
            </w:r>
          </w:p>
        </w:tc>
        <w:tc>
          <w:tcPr>
            <w:tcW w:type="dxa" w:w="3360"/>
            <w:vAlign w:val="center"/>
          </w:tcPr>
          <w:p>
            <w:r/>
            <w:r>
              <w:rPr>
                <w:rFonts w:ascii="Aptos" w:hAnsi="Aptos"/>
                <w:b w:val="0"/>
                <w:sz w:val="19"/>
              </w:rPr>
              <w:t>Mapped key name; component start time; allowed keys</w:t>
            </w:r>
          </w:p>
        </w:tc>
        <w:tc>
          <w:tcPr>
            <w:tcW w:type="dxa" w:w="3360"/>
            <w:vAlign w:val="center"/>
          </w:tcPr>
          <w:p>
            <w:r/>
            <w:r>
              <w:rPr>
                <w:rFonts w:ascii="Aptos" w:hAnsi="Aptos"/>
                <w:b w:val="0"/>
                <w:sz w:val="19"/>
              </w:rPr>
              <w:t>Test in a text editor, identify whether it is a keypad key, and ensure the Keyboard component is active before the transition.</w:t>
            </w:r>
          </w:p>
        </w:tc>
      </w:tr>
      <w:tr>
        <w:trPr>
          <w:cantSplit/>
        </w:trPr>
        <w:tc>
          <w:tcPr>
            <w:tcW w:type="dxa" w:w="3360"/>
            <w:vAlign w:val="center"/>
          </w:tcPr>
          <w:p>
            <w:r/>
            <w:r>
              <w:rPr>
                <w:rFonts w:ascii="Aptos" w:hAnsi="Aptos"/>
                <w:b w:val="0"/>
                <w:sz w:val="19"/>
              </w:rPr>
              <w:t>Latency is consistently high</w:t>
            </w:r>
          </w:p>
        </w:tc>
        <w:tc>
          <w:tcPr>
            <w:tcW w:type="dxa" w:w="3360"/>
            <w:vAlign w:val="center"/>
          </w:tcPr>
          <w:p>
            <w:r/>
            <w:r>
              <w:rPr>
                <w:rFonts w:ascii="Aptos" w:hAnsi="Aptos"/>
                <w:b w:val="0"/>
                <w:sz w:val="19"/>
              </w:rPr>
              <w:t>Monitor processing, adapters, refresh rate, vsync</w:t>
            </w:r>
          </w:p>
        </w:tc>
        <w:tc>
          <w:tcPr>
            <w:tcW w:type="dxa" w:w="3360"/>
            <w:vAlign w:val="center"/>
          </w:tcPr>
          <w:p>
            <w:r/>
            <w:r>
              <w:rPr>
                <w:rFonts w:ascii="Aptos" w:hAnsi="Aptos"/>
                <w:b w:val="0"/>
                <w:sz w:val="19"/>
              </w:rPr>
              <w:t>Disable image-processing modes, use the intended native refresh rate, avoid unnecessary display adapters, and test a minimal task.</w:t>
            </w:r>
          </w:p>
        </w:tc>
      </w:tr>
      <w:tr>
        <w:trPr>
          <w:cantSplit/>
        </w:trPr>
        <w:tc>
          <w:tcPr>
            <w:tcW w:type="dxa" w:w="3360"/>
            <w:vAlign w:val="center"/>
          </w:tcPr>
          <w:p>
            <w:r/>
            <w:r>
              <w:rPr>
                <w:rFonts w:ascii="Aptos" w:hAnsi="Aptos"/>
                <w:b w:val="0"/>
                <w:sz w:val="19"/>
              </w:rPr>
              <w:t>Latency varies substantially</w:t>
            </w:r>
          </w:p>
        </w:tc>
        <w:tc>
          <w:tcPr>
            <w:tcW w:type="dxa" w:w="3360"/>
            <w:vAlign w:val="center"/>
          </w:tcPr>
          <w:p>
            <w:r/>
            <w:r>
              <w:rPr>
                <w:rFonts w:ascii="Aptos" w:hAnsi="Aptos"/>
                <w:b w:val="0"/>
                <w:sz w:val="19"/>
              </w:rPr>
              <w:t>Dropped frames; CPU/GPU load; drawing complexity</w:t>
            </w:r>
          </w:p>
        </w:tc>
        <w:tc>
          <w:tcPr>
            <w:tcW w:type="dxa" w:w="3360"/>
            <w:vAlign w:val="center"/>
          </w:tcPr>
          <w:p>
            <w:r/>
            <w:r>
              <w:rPr>
                <w:rFonts w:ascii="Aptos" w:hAnsi="Aptos"/>
                <w:b w:val="0"/>
                <w:sz w:val="19"/>
              </w:rPr>
              <w:t>Check PsychoPy frame-interval logs, simplify stimulus drawing, pre-load assets, and close background programs.</w:t>
            </w:r>
          </w:p>
        </w:tc>
      </w:tr>
    </w:tbl>
    <w:p>
      <w:pPr>
        <w:pStyle w:val="Heading2"/>
      </w:pPr>
      <w:r>
        <w:t>When to stop and contact HNL staff</w:t>
      </w:r>
    </w:p>
    <w:p>
      <w:pPr>
        <w:pStyle w:val="ListBullet"/>
        <w:spacing w:after="40"/>
      </w:pPr>
      <w:r>
        <w:t>The sensor or analog connector is physically damaged.</w:t>
      </w:r>
    </w:p>
    <w:p>
      <w:pPr>
        <w:pStyle w:val="ListBullet"/>
        <w:spacing w:after="40"/>
      </w:pPr>
      <w:r>
        <w:t>The cable must be held in a particular position to work.</w:t>
      </w:r>
    </w:p>
    <w:p>
      <w:pPr>
        <w:pStyle w:val="ListBullet"/>
        <w:spacing w:after="40"/>
      </w:pPr>
      <w:r>
        <w:t>The device produces triggers when the screen is not changing after threshold adjustment.</w:t>
      </w:r>
    </w:p>
    <w:p>
      <w:pPr>
        <w:pStyle w:val="ListBullet"/>
        <w:spacing w:after="40"/>
      </w:pPr>
      <w:r>
        <w:t>The timing distribution changes sharply from a previously validated configuration.</w:t>
      </w:r>
    </w:p>
    <w:p>
      <w:pPr>
        <w:pStyle w:val="ListBullet"/>
        <w:spacing w:after="40"/>
      </w:pPr>
      <w:r>
        <w:t>The setup requires serial commands, EEG/TTL integration, or changes to device firmware/settings.</w:t>
      </w:r>
    </w:p>
    <w:p>
      <w:pPr>
        <w:pStyle w:val="Heading1"/>
      </w:pPr>
      <w:r>
        <w:t>6. Documentation and Reporting</w:t>
      </w:r>
    </w:p>
    <w:p>
      <w:r>
        <w:t>Record the following information in the study equipment log or timing-validation report:</w:t>
      </w:r>
    </w:p>
    <w:p>
      <w:pPr>
        <w:pStyle w:val="ListBullet"/>
        <w:spacing w:after="40"/>
      </w:pPr>
      <w:r>
        <w:t>Date, operator, room, computer, and monitor.</w:t>
      </w:r>
    </w:p>
    <w:p>
      <w:pPr>
        <w:pStyle w:val="ListBullet"/>
        <w:spacing w:after="40"/>
      </w:pPr>
      <w:r>
        <w:t>MilliKey model and device identifier, if available.</w:t>
      </w:r>
    </w:p>
    <w:p>
      <w:pPr>
        <w:pStyle w:val="ListBullet"/>
        <w:spacing w:after="40"/>
      </w:pPr>
      <w:r>
        <w:t>Experiment software and version.</w:t>
      </w:r>
    </w:p>
    <w:p>
      <w:pPr>
        <w:pStyle w:val="ListBullet"/>
        <w:spacing w:after="40"/>
      </w:pPr>
      <w:r>
        <w:t>Operating system, display resolution, scaling, refresh rate, HDR state, and connection type.</w:t>
      </w:r>
    </w:p>
    <w:p>
      <w:pPr>
        <w:pStyle w:val="ListBullet"/>
        <w:spacing w:after="40"/>
      </w:pPr>
      <w:r>
        <w:t>Timing-patch size, position, colors, and sensor threshold.</w:t>
      </w:r>
    </w:p>
    <w:p>
      <w:pPr>
        <w:pStyle w:val="ListBullet"/>
        <w:spacing w:after="40"/>
      </w:pPr>
      <w:r>
        <w:t>Number of transitions and latency summary statistics.</w:t>
      </w:r>
    </w:p>
    <w:p>
      <w:pPr>
        <w:pStyle w:val="ListBullet"/>
        <w:spacing w:after="40"/>
      </w:pPr>
      <w:r>
        <w:t>Any missed, duplicate, or excluded sensor events.</w:t>
      </w:r>
    </w:p>
    <w:p>
      <w:pPr>
        <w:pStyle w:val="ListBullet"/>
        <w:spacing w:after="40"/>
      </w:pPr>
      <w:r>
        <w:t>Whether the measured offset will be reported, corrected, or used only as a quality-control check.</w:t>
      </w:r>
    </w:p>
    <w:p>
      <w:pPr>
        <w:pStyle w:val="Heading2"/>
      </w:pPr>
      <w:r>
        <w:t>Example reporting language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Pr>
          <w:p>
            <w:pPr>
              <w:spacing w:after="40"/>
            </w:pPr>
            <w:r>
              <w:rPr>
                <w:b/>
                <w:color w:val="1F374E"/>
                <w:sz w:val="21"/>
              </w:rPr>
              <w:t>Methods example</w:t>
            </w:r>
          </w:p>
          <w:p>
            <w:pPr>
              <w:spacing w:after="40"/>
            </w:pPr>
            <w:r>
              <w:rPr>
                <w:sz w:val="19"/>
              </w:rPr>
              <w:t>Visual display timing was assessed using a LabHackers MilliKey DeLux Light Sensor positioned over a black-to-white timing patch. The sensor generated an event when luminance crossed a configured threshold. Display-onset latency was calculated as the difference between the sensor-event timestamp and the software-recorded screen-flip timestamp across repeated transitions. The validation was performed on the same computer, monitor, refresh rate, and software configuration used for data collection.</w:t>
            </w:r>
          </w:p>
        </w:tc>
      </w:tr>
    </w:tbl>
    <w:p>
      <w:pPr>
        <w:spacing w:after="0"/>
      </w:pPr>
    </w:p>
    <w:p>
      <w:pPr>
        <w:pStyle w:val="Heading1"/>
      </w:pPr>
      <w:r>
        <w:t>7. Cleaning, Storage, and Maintenance</w:t>
      </w:r>
    </w:p>
    <w:p>
      <w:pPr>
        <w:pStyle w:val="ListBullet"/>
        <w:spacing w:after="40"/>
      </w:pPr>
      <w:r>
        <w:t>Disconnect the MilliKey from USB before cleaning or storing the system.</w:t>
      </w:r>
    </w:p>
    <w:p>
      <w:pPr>
        <w:pStyle w:val="ListBullet"/>
        <w:spacing w:after="40"/>
      </w:pPr>
      <w:r>
        <w:t>Wipe the exterior gently with a dry microfiber cloth. Do not apply liquid directly to the sensor or connectors.</w:t>
      </w:r>
    </w:p>
    <w:p>
      <w:pPr>
        <w:pStyle w:val="ListBullet"/>
        <w:spacing w:after="40"/>
      </w:pPr>
      <w:r>
        <w:t>Remove tape residue from the mounting surface without scraping the sensor face.</w:t>
      </w:r>
    </w:p>
    <w:p>
      <w:pPr>
        <w:pStyle w:val="ListBullet"/>
        <w:spacing w:after="40"/>
      </w:pPr>
      <w:r>
        <w:t>Coil the cable loosely; do not wrap it tightly around the response box.</w:t>
      </w:r>
    </w:p>
    <w:p>
      <w:pPr>
        <w:pStyle w:val="ListBullet"/>
        <w:spacing w:after="40"/>
      </w:pPr>
      <w:r>
        <w:t>Store the sensor so that the sensing face and connector are protected from impact.</w:t>
      </w:r>
    </w:p>
    <w:p>
      <w:pPr>
        <w:pStyle w:val="ListBullet"/>
        <w:spacing w:after="40"/>
      </w:pPr>
      <w:r>
        <w:t>Perform a short black-to-white trigger test before each new study and a full validation after system changes.</w:t>
      </w:r>
    </w:p>
    <w:p>
      <w:pPr>
        <w:pStyle w:val="Heading1"/>
      </w:pPr>
      <w:r>
        <w:t>8. References and Support</w:t>
      </w:r>
    </w:p>
    <w:p>
      <w:pPr>
        <w:pStyle w:val="ListBullet"/>
        <w:spacing w:after="60"/>
      </w:pPr>
      <w:r>
        <w:t>LabHackers. MilliKey Response Box and MilliKey DeLux Light Sensor product information. https://www.labhackers.com/millikey.html</w:t>
      </w:r>
    </w:p>
    <w:p>
      <w:pPr>
        <w:pStyle w:val="ListBullet"/>
        <w:spacing w:after="60"/>
      </w:pPr>
      <w:r>
        <w:t>LabHackers. Downloads: Device Manager, MilliKey examples, DeLux Light Sensor Python/PsychoPy examples, and Quickstart Guides. https://www.labhackers.com/downloads.html</w:t>
      </w:r>
    </w:p>
    <w:p>
      <w:pPr>
        <w:pStyle w:val="ListBullet"/>
        <w:spacing w:after="60"/>
      </w:pPr>
      <w:r>
        <w:t>LabHackers technical support: support@labhackers.com</w:t>
      </w:r>
    </w:p>
    <w:p>
      <w:pPr>
        <w:pStyle w:val="ListBullet"/>
        <w:spacing w:after="60"/>
      </w:pPr>
      <w:r>
        <w:t>HNL equipment questions: contact the HNL Director or designated laboratory staff.</w:t>
      </w:r>
    </w:p>
    <w:tbl>
      <w:tblPr>
        <w:tblW w:type="auto" w:w="0"/>
        <w:jc w:val="center"/>
        <w:tblLayout w:type="autofit"/>
        <w:tblLook w:firstColumn="1" w:firstRow="1" w:lastColumn="0" w:lastRow="0" w:noHBand="0" w:noVBand="1" w:val="04A0"/>
      </w:tblPr>
      <w:tblGrid>
        <w:gridCol w:w="10080"/>
      </w:tblGrid>
      <w:tr>
        <w:trPr>
          <w:cantSplit/>
        </w:trPr>
        <w:tc>
          <w:tcPr>
            <w:tcW w:type="dxa" w:w="10080"/>
            <w:shd w:fill="F2F2F2"/>
          </w:tcPr>
          <w:p>
            <w:pPr>
              <w:spacing w:after="40"/>
            </w:pPr>
            <w:r>
              <w:rPr>
                <w:b/>
                <w:color w:val="1F374E"/>
                <w:sz w:val="21"/>
              </w:rPr>
              <w:t>Scope note</w:t>
            </w:r>
          </w:p>
          <w:p>
            <w:pPr>
              <w:spacing w:after="40"/>
            </w:pPr>
            <w:r>
              <w:rPr>
                <w:sz w:val="19"/>
              </w:rPr>
              <w:t>This laboratory guide supplements, but does not replace, manufacturer documentation. Device Manager labels and available settings may differ by hardware revision or software version.</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HNL Equipment Guide | MilliKey DeLux Light Sensor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7"/>
      </w:rPr>
      <w:t>Boston College Human Neuroscience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right="21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