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11155</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&lt;- read_csv(here::here("manuscript", "data",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0.256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-0.001 to 0.171.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3913     2876</w:t>
      </w:r>
      <w:r>
        <w:br/>
      </w:r>
      <w:r>
        <w:rPr>
          <w:rStyle w:val="VerbatimChar"/>
        </w:rPr>
        <w:t xml:space="preserve">FluencyFluent     0.08      0.04    -0.00     0.17 1.00     3687     2855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3753     3110</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{brms}the package determines a ROPE based on the data (roughly reflecting</w:t>
      </w:r>
      <w:r>
        <w:t xml:space="preserve"> </w:t>
      </w:r>
      <w:r>
        <w:t xml:space="preserve">“negligible”</w:t>
      </w:r>
      <w:r>
        <w:t xml:space="preserve"> </w:t>
      </w:r>
      <w:r>
        <w:t xml:space="preserve">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difference in precision between the fluent and disfluent conditions is credible.</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[0.249, 0.348]</w:t>
            </w:r>
          </w:p>
        </w:tc>
      </w:tr>
      <w:tr>
        <w:tc>
          <w:tcPr/>
          <w:p>
            <w:pPr>
              <w:pStyle w:val="Compact"/>
            </w:pPr>
            <w:r>
              <w:t xml:space="preserve">Fluent</w:t>
            </w:r>
          </w:p>
        </w:tc>
        <w:tc>
          <w:tcPr/>
          <w:p>
            <w:pPr>
              <w:pStyle w:val="Compact"/>
            </w:pPr>
            <w:r>
              <w:t xml:space="preserve">0.353</w:t>
            </w:r>
          </w:p>
        </w:tc>
        <w:tc>
          <w:tcPr/>
          <w:p>
            <w:pPr>
              <w:pStyle w:val="Compact"/>
            </w:pPr>
            <w:r>
              <w:t xml:space="preserve">[0.301, 0.409]</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[-0.037, 0.12]</w:t>
            </w:r>
          </w:p>
        </w:tc>
        <w:tc>
          <w:tcPr/>
          <w:p>
            <w:pPr>
              <w:pStyle w:val="Compact"/>
            </w:pPr>
            <w:r>
              <w:t xml:space="preserve">0.874</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681"/>
        <w:tblLayout w:type="fixed"/>
        <w:tblLook w:firstRow="1" w:lastRow="0" w:firstColumn="0" w:lastColumn="0" w:noHBand="0" w:noVBand="0" w:val="0020"/>
      </w:tblPr>
      <w:tblGrid>
        <w:gridCol w:w="2310"/>
        <w:gridCol w:w="77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w:t>
            </w:r>
          </w:p>
        </w:tc>
        <w:tc>
          <w:tcPr/>
          <w:p>
            <w:pPr>
              <w:pStyle w:val="Compact"/>
            </w:pPr>
            <w:r>
              <w:t xml:space="preserve">[-1.041, 6.62]</w:t>
            </w:r>
          </w:p>
        </w:tc>
        <w:tc>
          <w:tcPr/>
          <w:p>
            <w:pPr>
              <w:pStyle w:val="Compact"/>
            </w:pPr>
            <w:r>
              <w:t xml:space="preserve">0.923</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[-0.017, 0.139]</w:t>
            </w:r>
          </w:p>
        </w:tc>
        <w:tc>
          <w:tcPr/>
          <w:p>
            <w:pPr>
              <w:pStyle w:val="Compact"/>
            </w:pPr>
            <w:r>
              <w:t xml:space="preserve">0.938</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[-3.56, -2.42]</w:t>
            </w:r>
          </w:p>
        </w:tc>
      </w:tr>
      <w:tr>
        <w:tc>
          <w:tcPr/>
          <w:p>
            <w:pPr>
              <w:pStyle w:val="Compact"/>
            </w:pPr>
            <w:r>
              <w:t xml:space="preserve">cutone</w:t>
            </w:r>
          </w:p>
        </w:tc>
        <w:tc>
          <w:tcPr/>
          <w:p>
            <w:pPr>
              <w:pStyle w:val="Compact"/>
            </w:pPr>
            <w:r>
              <w:t xml:space="preserve">1.85</w:t>
            </w:r>
          </w:p>
        </w:tc>
        <w:tc>
          <w:tcPr/>
          <w:p>
            <w:pPr>
              <w:pStyle w:val="Compact"/>
            </w:pPr>
            <w:r>
              <w:t xml:space="preserve">[1.64, 2.08]</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73"/>
        <w:gridCol w:w="1232"/>
        <w:gridCol w:w="1232"/>
        <w:gridCol w:w="1232"/>
        <w:gridCol w:w="1173"/>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0.256</w:t>
            </w:r>
          </w:p>
        </w:tc>
        <w:tc>
          <w:tcPr/>
          <w:p>
            <w:pPr>
              <w:pStyle w:val="Compact"/>
            </w:pPr>
            <w:r>
              <w:t xml:space="preserve">-0.829</w:t>
            </w:r>
          </w:p>
        </w:tc>
        <w:tc>
          <w:tcPr/>
          <w:p>
            <w:pPr>
              <w:pStyle w:val="Compact"/>
            </w:pPr>
            <w:r>
              <w:t xml:space="preserve">-0.830</w:t>
            </w:r>
          </w:p>
        </w:tc>
        <w:tc>
          <w:tcPr/>
          <w:p>
            <w:pPr>
              <w:pStyle w:val="Compact"/>
            </w:pPr>
            <w:r>
              <w:t xml:space="preserve">-0.829</w:t>
            </w:r>
          </w:p>
        </w:tc>
        <w:tc>
          <w:tcPr/>
          <w:p>
            <w:pPr>
              <w:pStyle w:val="Compact"/>
            </w:pPr>
            <w:r>
              <w:t xml:space="preserve">-0.863</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0.314]</w:t>
            </w:r>
          </w:p>
        </w:tc>
        <w:tc>
          <w:tcPr/>
          <w:p>
            <w:pPr>
              <w:pStyle w:val="Compact"/>
            </w:pPr>
            <w:r>
              <w:rPr>
                <w:i/>
                <w:iCs/>
              </w:rPr>
              <w:t xml:space="preserve">[-1.095, -0.554]</w:t>
            </w:r>
          </w:p>
        </w:tc>
        <w:tc>
          <w:tcPr/>
          <w:p>
            <w:pPr>
              <w:pStyle w:val="Compact"/>
            </w:pPr>
            <w:r>
              <w:rPr>
                <w:i/>
                <w:iCs/>
              </w:rPr>
              <w:t xml:space="preserve">[-1.094, -0.552]</w:t>
            </w:r>
          </w:p>
        </w:tc>
        <w:tc>
          <w:tcPr/>
          <w:p>
            <w:pPr>
              <w:pStyle w:val="Compact"/>
            </w:pPr>
            <w:r>
              <w:rPr>
                <w:i/>
                <w:iCs/>
              </w:rPr>
              <w:t xml:space="preserve">[-1.092, -0.565]</w:t>
            </w:r>
          </w:p>
        </w:tc>
        <w:tc>
          <w:tcPr/>
          <w:p>
            <w:pPr>
              <w:pStyle w:val="Compact"/>
            </w:pPr>
            <w:r>
              <w:rPr>
                <w:i/>
                <w:iCs/>
              </w:rPr>
              <w:t xml:space="preserve">[-1.131, -0.6]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0.084</w:t>
            </w:r>
          </w:p>
        </w:tc>
        <w:tc>
          <w:tcPr/>
          <w:p>
            <w:pPr>
              <w:pStyle w:val="Compact"/>
            </w:pPr>
            <w:r>
              <w:t xml:space="preserve">0.200</w:t>
            </w:r>
          </w:p>
        </w:tc>
        <w:tc>
          <w:tcPr/>
          <w:p>
            <w:pPr>
              <w:pStyle w:val="Compact"/>
            </w:pPr>
            <w:r>
              <w:t xml:space="preserve">0.202</w:t>
            </w:r>
          </w:p>
        </w:tc>
        <w:tc>
          <w:tcPr/>
          <w:p>
            <w:pPr>
              <w:pStyle w:val="Compact"/>
            </w:pPr>
            <w:r>
              <w:t xml:space="preserve">0.202</w:t>
            </w:r>
          </w:p>
        </w:tc>
        <w:tc>
          <w:tcPr/>
          <w:p>
            <w:pPr>
              <w:pStyle w:val="Compact"/>
            </w:pPr>
            <w:r>
              <w:t xml:space="preserve">0.260</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[-0.001, 0.171]</w:t>
            </w:r>
          </w:p>
        </w:tc>
        <w:tc>
          <w:tcPr/>
          <w:p>
            <w:pPr>
              <w:pStyle w:val="Compact"/>
            </w:pPr>
            <w:r>
              <w:rPr>
                <w:i/>
                <w:iCs/>
              </w:rPr>
              <w:t xml:space="preserve">[-0.146, 0.544]</w:t>
            </w:r>
          </w:p>
        </w:tc>
        <w:tc>
          <w:tcPr/>
          <w:p>
            <w:pPr>
              <w:pStyle w:val="Compact"/>
            </w:pPr>
            <w:r>
              <w:rPr>
                <w:i/>
                <w:iCs/>
              </w:rPr>
              <w:t xml:space="preserve">[-0.167, 0.558]</w:t>
            </w:r>
          </w:p>
        </w:tc>
        <w:tc>
          <w:tcPr/>
          <w:p>
            <w:pPr>
              <w:pStyle w:val="Compact"/>
            </w:pPr>
            <w:r>
              <w:rPr>
                <w:i/>
                <w:iCs/>
              </w:rPr>
              <w:t xml:space="preserve">[-0.137, 0.535]</w:t>
            </w:r>
          </w:p>
        </w:tc>
        <w:tc>
          <w:tcPr/>
          <w:p>
            <w:pPr>
              <w:pStyle w:val="Compact"/>
            </w:pPr>
            <w:r>
              <w:rPr>
                <w:i/>
                <w:iCs/>
              </w:rPr>
              <w:t xml:space="preserve">[-0.072, 0.598]</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0.974</w:t>
            </w:r>
          </w:p>
        </w:tc>
        <w:tc>
          <w:tcPr/>
          <w:p>
            <w:pPr>
              <w:pStyle w:val="Compact"/>
            </w:pPr>
            <w:r>
              <w:rPr>
                <w:i/>
                <w:iCs/>
              </w:rPr>
              <w:t xml:space="preserve">0.873</w:t>
            </w:r>
          </w:p>
        </w:tc>
        <w:tc>
          <w:tcPr/>
          <w:p>
            <w:pPr>
              <w:pStyle w:val="Compact"/>
            </w:pPr>
            <w:r>
              <w:rPr>
                <w:i/>
                <w:iCs/>
              </w:rPr>
              <w:t xml:space="preserve">0.874</w:t>
            </w:r>
          </w:p>
        </w:tc>
        <w:tc>
          <w:tcPr/>
          <w:p>
            <w:pPr>
              <w:pStyle w:val="Compact"/>
            </w:pPr>
            <w:r>
              <w:rPr>
                <w:i/>
                <w:iCs/>
              </w:rPr>
              <w:t xml:space="preserve">0.880</w:t>
            </w:r>
          </w:p>
        </w:tc>
        <w:tc>
          <w:tcPr/>
          <w:p>
            <w:pPr>
              <w:pStyle w:val="Compact"/>
            </w:pPr>
            <w:r>
              <w:rPr>
                <w:i/>
                <w:iCs/>
              </w:rPr>
              <w:t xml:space="preserve">0.938</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[0.181, 0.24]</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1.603</w:t>
            </w:r>
          </w:p>
        </w:tc>
        <w:tc>
          <w:tcPr/>
          <w:p>
            <w:pPr>
              <w:pStyle w:val="Compact"/>
            </w:pPr>
            <w:r>
              <w:t xml:space="preserve">1.595</w:t>
            </w:r>
          </w:p>
        </w:tc>
        <w:tc>
          <w:tcPr/>
          <w:p>
            <w:pPr>
              <w:pStyle w:val="Compact"/>
            </w:pPr>
            <w:r>
              <w:t xml:space="preserve">1.605</w:t>
            </w:r>
          </w:p>
        </w:tc>
        <w:tc>
          <w:tcPr/>
          <w:p>
            <w:pPr>
              <w:pStyle w:val="Compact"/>
            </w:pPr>
            <w:r>
              <w:t xml:space="preserve">1.614</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[1.165, 1.969]</w:t>
            </w:r>
          </w:p>
        </w:tc>
        <w:tc>
          <w:tcPr/>
          <w:p>
            <w:pPr>
              <w:pStyle w:val="Compact"/>
            </w:pPr>
            <w:r>
              <w:rPr>
                <w:i/>
                <w:iCs/>
              </w:rPr>
              <w:t xml:space="preserve">[1.164, 1.983]</w:t>
            </w:r>
          </w:p>
        </w:tc>
        <w:tc>
          <w:tcPr/>
          <w:p>
            <w:pPr>
              <w:pStyle w:val="Compact"/>
            </w:pPr>
            <w:r>
              <w:rPr>
                <w:i/>
                <w:iCs/>
              </w:rPr>
              <w:t xml:space="preserve">[1.179, 1.98]</w:t>
            </w:r>
          </w:p>
        </w:tc>
        <w:tc>
          <w:tcPr/>
          <w:p>
            <w:pPr>
              <w:pStyle w:val="Compact"/>
            </w:pPr>
            <w:r>
              <w:rPr>
                <w:i/>
                <w:iCs/>
              </w:rPr>
              <w:t xml:space="preserve">[1.187, 1.992]</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0.422</w:t>
            </w:r>
          </w:p>
        </w:tc>
        <w:tc>
          <w:tcPr/>
          <w:p>
            <w:pPr>
              <w:pStyle w:val="Compact"/>
            </w:pPr>
            <w:r>
              <w:t xml:space="preserve">0.429</w:t>
            </w:r>
          </w:p>
        </w:tc>
        <w:tc>
          <w:tcPr/>
          <w:p>
            <w:pPr>
              <w:pStyle w:val="Compact"/>
            </w:pPr>
            <w:r>
              <w:t xml:space="preserve">0.422</w:t>
            </w:r>
          </w:p>
        </w:tc>
        <w:tc>
          <w:tcPr/>
          <w:p>
            <w:pPr>
              <w:pStyle w:val="Compact"/>
            </w:pPr>
            <w:r>
              <w:t xml:space="preserve">0.408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[-0.132, 0.981]</w:t>
            </w:r>
          </w:p>
        </w:tc>
        <w:tc>
          <w:tcPr/>
          <w:p>
            <w:pPr>
              <w:pStyle w:val="Compact"/>
            </w:pPr>
            <w:r>
              <w:rPr>
                <w:i/>
                <w:iCs/>
              </w:rPr>
              <w:t xml:space="preserve">[-0.178, 0.998]</w:t>
            </w:r>
          </w:p>
        </w:tc>
        <w:tc>
          <w:tcPr/>
          <w:p>
            <w:pPr>
              <w:pStyle w:val="Compact"/>
            </w:pPr>
            <w:r>
              <w:rPr>
                <w:i/>
                <w:iCs/>
              </w:rPr>
              <w:t xml:space="preserve">[-0.159, 1.023]</w:t>
            </w:r>
          </w:p>
        </w:tc>
        <w:tc>
          <w:tcPr/>
          <w:p>
            <w:pPr>
              <w:pStyle w:val="Compact"/>
            </w:pPr>
            <w:r>
              <w:rPr>
                <w:i/>
                <w:iCs/>
              </w:rPr>
              <w:t xml:space="preserve">[-0.147, 0.957]</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0.927</w:t>
            </w:r>
          </w:p>
        </w:tc>
        <w:tc>
          <w:tcPr/>
          <w:p>
            <w:pPr>
              <w:pStyle w:val="Compact"/>
            </w:pPr>
            <w:r>
              <w:rPr>
                <w:i/>
                <w:iCs/>
              </w:rPr>
              <w:t xml:space="preserve">0.923</w:t>
            </w:r>
          </w:p>
        </w:tc>
        <w:tc>
          <w:tcPr/>
          <w:p>
            <w:pPr>
              <w:pStyle w:val="Compact"/>
            </w:pPr>
            <w:r>
              <w:rPr>
                <w:i/>
                <w:iCs/>
              </w:rPr>
              <w:t xml:space="preserve">0.924</w:t>
            </w:r>
          </w:p>
        </w:tc>
        <w:tc>
          <w:tcPr/>
          <w:p>
            <w:pPr>
              <w:pStyle w:val="Compact"/>
            </w:pPr>
            <w:r>
              <w:rPr>
                <w:i/>
                <w:iCs/>
              </w:rPr>
              <w:t xml:space="preserve">0.922</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-1.661</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[-2.504, -0.968]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-2.124</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[-4.496, -0.29]</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0.988</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[-2.282, -0.862]</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-2.237</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[-4.572, -0.494]</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-2.062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[-4.54, -0.296]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0.288</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[-6.63, 5.645]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0.582</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11155</vt:lpwstr>
  </property>
  <property fmtid="{D5CDD505-2E9C-101B-9397-08002B2CF9AE}" pid="67" name="zerocitations">
    <vt:lpwstr>False</vt:lpwstr>
  </property>
</Properties>
</file>