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0.png" ContentType="image/png"/>
  <Override PartName="/word/media/rId101.png" ContentType="image/png"/>
  <Override PartName="/word/media/rId66.png" ContentType="image/png"/>
  <Override PartName="/word/media/rId147.png" ContentType="image/png"/>
  <Override PartName="/word/media/rId57.png" ContentType="image/png"/>
  <Override PartName="/word/media/rId92.png" ContentType="image/png"/>
  <Override PartName="/word/media/rId82.png" ContentType="image/png"/>
  <Override PartName="/word/media/rId142.png" ContentType="image/png"/>
  <Override PartName="/word/media/rId78.png" ContentType="image/png"/>
  <Override PartName="/word/media/rId73.png" ContentType="image/png"/>
  <Override PartName="/word/media/rId118.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https://github.com/jgeller112/beta_regression_tutorial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resources, supervision, validation,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w:t>
      </w:r>
      <w:r>
        <w:t xml:space="preserve"> </w:t>
      </w:r>
      <w:r>
        <w:rPr>
          <w:rStyle w:val="VerbatimChar"/>
        </w:rPr>
        <w:t xml:space="preserve">brms</w:t>
      </w:r>
      <w:r>
        <w:t xml:space="preserve"> </w:t>
      </w:r>
      <w:r>
        <w:t xml:space="preserve">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https://github.com/jgeller112/beta_regression_tutorial.</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11064</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2"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8"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w:t>
      </w:r>
      <w:r>
        <w:t xml:space="preserve"> </w:t>
      </w:r>
      <w:r>
        <w:rPr>
          <w:rStyle w:val="VerbatimChar"/>
        </w:rPr>
        <w:t xml:space="preserve">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rPr>
          <w:rStyle w:val="FootnoteReference"/>
        </w:rPr>
        <w:footnoteReference w:id="47"/>
      </w:r>
      <w:r>
        <w:t xml:space="preserve">.</w:t>
      </w:r>
    </w:p>
    <w:bookmarkEnd w:id="48"/>
    <w:bookmarkStart w:id="54"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a preferred distribution for this type of response because of certain unique properties. The beta distribution is defined as a distribution of the uncertainty of probabilities, which must lie within 0 and 1. As a consequence, the beta distribution is the maximum entropy distribution for any bounded continuous random variable, which means that the beta distribution can represent the full range of possibilities of such a scale.</w:t>
      </w:r>
      <w:r>
        <w:rPr>
          <w:rStyle w:val="FootnoteReference"/>
        </w:rPr>
        <w:footnoteReference w:id="49"/>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3"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1" name="Picture"/>
            <a:graphic>
              <a:graphicData uri="http://schemas.openxmlformats.org/drawingml/2006/picture">
                <pic:pic>
                  <pic:nvPicPr>
                    <pic:cNvPr descr="ms_files/figure-docx/fig-curves-1.png" id="52" name="Picture"/>
                    <pic:cNvPicPr>
                      <a:picLocks noChangeArrowheads="1" noChangeAspect="1"/>
                    </pic:cNvPicPr>
                  </pic:nvPicPr>
                  <pic:blipFill>
                    <a:blip r:embed="rId50"/>
                    <a:stretch>
                      <a:fillRect/>
                    </a:stretch>
                  </pic:blipFill>
                  <pic:spPr bwMode="auto">
                    <a:xfrm>
                      <a:off x="0" y="0"/>
                      <a:ext cx="5504749" cy="2862469"/>
                    </a:xfrm>
                    <a:prstGeom prst="rect">
                      <a:avLst/>
                    </a:prstGeom>
                    <a:noFill/>
                    <a:ln w="9525">
                      <a:noFill/>
                      <a:headEnd/>
                      <a:tailEnd/>
                    </a:ln>
                  </pic:spPr>
                </pic:pic>
              </a:graphicData>
            </a:graphic>
          </wp:inline>
        </w:drawing>
      </w:r>
    </w:p>
    <w:bookmarkEnd w:id="53"/>
    <w:bookmarkEnd w:id="54"/>
    <w:bookmarkStart w:id="56"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5"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5"/>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here Similarly, the strictly positive dispersion parameter is usually modeled through a log link function, ensuring it remains positive.</w:t>
      </w:r>
    </w:p>
    <w:p>
      <w:pPr>
        <w:pStyle w:val="BodyText"/>
      </w:pPr>
      <w:r>
        <w:t xml:space="preserve">By accounting for the observations’ natural limits and non-constant variance across different values, the beta distribution is useful in psychology where outcomes like performance rates or response scales frequently exhibit these features.</w:t>
      </w:r>
    </w:p>
    <w:bookmarkEnd w:id="56"/>
    <w:bookmarkStart w:id="61"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Additonaly, the use of Bayesin statistics in psychology has been steadily growing</w:t>
      </w:r>
      <w:r>
        <w:t xml:space="preserve"> </w:t>
      </w:r>
      <w:r>
        <w:t xml:space="preserve">(</w:t>
      </w:r>
      <w:r>
        <w:rPr>
          <w:b/>
          <w:bCs/>
        </w:rPr>
        <w:t xml:space="preserve">Pfadt2025?</w:t>
      </w:r>
      <w:r>
        <w:t xml:space="preserve">)</w:t>
      </w:r>
      <w:r>
        <w:t xml:space="preserve">. In principle, most Bayesian models can also be estimated with frequentist approaches (e.g., maximum likelihood). However, as model complexity increases, frequentist estimation often requires additional adjustments such as bootstrapping or custom optimization, whereas Bayesian modeling handles these extensions more naturally through hierarchical structure and prior specification.</w:t>
      </w:r>
    </w:p>
    <w:p>
      <w:pPr>
        <w:pStyle w:val="BodyText"/>
      </w:pP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making advanced Bayesian modeling accessible to researchers with standard regression backgrounds. The package also supports parallelization, which substantially reduces computation time for large datasets.</w:t>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 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(weakly informative) priors provided by {brms}. These priors are intentionally modest,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strictly positive or negative. When a uniform prior is used (all values equally likely in the prior), a pd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0"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8" name="Picture"/>
            <a:graphic>
              <a:graphicData uri="http://schemas.openxmlformats.org/drawingml/2006/picture">
                <pic:pic>
                  <pic:nvPicPr>
                    <pic:cNvPr descr="ms_files/figure-docx/fig-p-value-pd-comp-1.png" id="59" name="Picture"/>
                    <pic:cNvPicPr>
                      <a:picLocks noChangeArrowheads="1" noChangeAspect="1"/>
                    </pic:cNvPicPr>
                  </pic:nvPicPr>
                  <pic:blipFill>
                    <a:blip r:embed="rId57"/>
                    <a:stretch>
                      <a:fillRect/>
                    </a:stretch>
                  </pic:blipFill>
                  <pic:spPr bwMode="auto">
                    <a:xfrm>
                      <a:off x="0" y="0"/>
                      <a:ext cx="5504749" cy="4403799"/>
                    </a:xfrm>
                    <a:prstGeom prst="rect">
                      <a:avLst/>
                    </a:prstGeom>
                    <a:noFill/>
                    <a:ln w="9525">
                      <a:noFill/>
                      <a:headEnd/>
                      <a:tailEnd/>
                    </a:ln>
                  </pic:spPr>
                </pic:pic>
              </a:graphicData>
            </a:graphic>
          </wp:inline>
        </w:drawing>
      </w:r>
    </w:p>
    <w:bookmarkEnd w:id="60"/>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1"/>
    <w:bookmarkEnd w:id="62"/>
    <w:bookmarkStart w:id="154" w:name="beta-regression-tutorial"/>
    <w:p>
      <w:pPr>
        <w:pStyle w:val="Heading1"/>
      </w:pPr>
      <w:r>
        <w:t xml:space="preserve">Beta Regression Tutorial</w:t>
      </w:r>
    </w:p>
    <w:bookmarkStart w:id="65"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participants (</w:t>
      </w:r>
      <w:r>
        <w:rPr>
          <w:i/>
          <w:iCs/>
        </w:rPr>
        <w:t xml:space="preserve">N</w:t>
      </w:r>
      <w:r>
        <w:t xml:space="preserve"> </w:t>
      </w:r>
      <w:r>
        <w:t xml:space="preserve">= 96)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3"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github</w:t>
            </w:r>
            <w:r>
              <w:br/>
            </w:r>
            <w:r>
              <w:rPr>
                <w:rStyle w:val="VerbatimChar"/>
              </w:rPr>
              <w:t xml:space="preserve">url &lt;- str_glue(</w:t>
            </w:r>
            <w:r>
              <w:br/>
            </w:r>
            <w:r>
              <w:rPr>
                <w:rStyle w:val="VerbatimChar"/>
              </w:rPr>
              <w:t xml:space="preserve">  "https://raw.githubusercontent.com/jgeller112/",</w:t>
            </w:r>
            <w:r>
              <w:br/>
            </w:r>
            <w:r>
              <w:rPr>
                <w:rStyle w:val="VerbatimChar"/>
              </w:rPr>
              <w:t xml:space="preserve">  "beta_regression_tutorial/refs/heads/main/",</w:t>
            </w:r>
            <w:r>
              <w:br/>
            </w:r>
            <w:r>
              <w:rPr>
                <w:rStyle w:val="VerbatimChar"/>
              </w:rPr>
              <w:t xml:space="preserve">  "manuscript/data/fluency_data.csv"</w:t>
            </w:r>
            <w:r>
              <w:br/>
            </w:r>
            <w:r>
              <w:rPr>
                <w:rStyle w:val="VerbatimChar"/>
              </w:rPr>
              <w:t xml:space="preserve">)</w:t>
            </w:r>
            <w:r>
              <w:br/>
            </w:r>
            <w:r>
              <w:rPr>
                <w:rStyle w:val="VerbatimChar"/>
              </w:rPr>
              <w:t xml:space="preserve">fluency_data &lt;- read.csv(url)</w:t>
            </w:r>
          </w:p>
          <w:bookmarkEnd w:id="63"/>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treat outcomes as normally distributed.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4"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4"/>
    <w:bookmarkEnd w:id="65"/>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9"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to illustrate variability and central tendency.</w:t>
      </w:r>
    </w:p>
    <w:p>
      <w:pPr>
        <w:pStyle w:val="FigureWithoutNote"/>
      </w:pPr>
      <w:r>
        <w:drawing>
          <wp:inline>
            <wp:extent cx="5504749" cy="4403799"/>
            <wp:effectExtent b="0" l="0" r="0" t="0"/>
            <wp:docPr descr="" title="" id="67" name="Picture"/>
            <a:graphic>
              <a:graphicData uri="http://schemas.openxmlformats.org/drawingml/2006/picture">
                <pic:pic>
                  <pic:nvPicPr>
                    <pic:cNvPr descr="ms_files/figure-docx/fig-flu1-1.png" id="68" name="Picture"/>
                    <pic:cNvPicPr>
                      <a:picLocks noChangeArrowheads="1" noChangeAspect="1"/>
                    </pic:cNvPicPr>
                  </pic:nvPicPr>
                  <pic:blipFill>
                    <a:blip r:embed="rId66"/>
                    <a:stretch>
                      <a:fillRect/>
                    </a:stretch>
                  </pic:blipFill>
                  <pic:spPr bwMode="auto">
                    <a:xfrm>
                      <a:off x="0" y="0"/>
                      <a:ext cx="5504749" cy="4403799"/>
                    </a:xfrm>
                    <a:prstGeom prst="rect">
                      <a:avLst/>
                    </a:prstGeom>
                    <a:noFill/>
                    <a:ln w="9525">
                      <a:noFill/>
                      <a:headEnd/>
                      <a:tailEnd/>
                    </a:ln>
                  </pic:spPr>
                </pic:pic>
              </a:graphicData>
            </a:graphic>
          </wp:inline>
        </w:drawing>
      </w:r>
    </w:p>
    <w:bookmarkEnd w:id="69"/>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0"/>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1"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1"/>
        </w:tc>
      </w:tr>
    </w:tbl>
    <w:tbl>
      <w:tblPr>
        <w:tblStyle w:val="Table"/>
        <w:tblW w:type="pct" w:w="5000"/>
        <w:tblLayout w:type="fixed"/>
        <w:tblLook w:firstRow="0" w:lastRow="0" w:firstColumn="0" w:lastColumn="0" w:noHBand="0" w:noVBand="0" w:val="0000"/>
      </w:tblPr>
      <w:tblGrid>
        <w:gridCol w:w="7920"/>
      </w:tblGrid>
      <w:tr>
        <w:tc>
          <w:tcPr/>
          <w:bookmarkStart w:id="72"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"model_reg_bayes"</w:t>
            </w:r>
            <w:r>
              <w:br/>
            </w:r>
            <w:r>
              <w:rPr>
                <w:rStyle w:val="VerbatimChar"/>
              </w:rPr>
              <w:t xml:space="preserve">)</w:t>
            </w:r>
          </w:p>
          <w:bookmarkEnd w:id="72"/>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2</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0.256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0.086. The 95% Cr.I for this estimate spans from 0.003 to 0.172.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0.32 1.00     4064     3170</w:t>
      </w:r>
      <w:r>
        <w:br/>
      </w:r>
      <w:r>
        <w:rPr>
          <w:rStyle w:val="VerbatimChar"/>
        </w:rPr>
        <w:t xml:space="preserve">FluencyFluent     0.09      0.04     0.00     0.17 1.00     3994     2989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4469     3139</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2</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 (akin to p &lt; .05).</w:t>
      </w:r>
    </w:p>
    <w:p>
      <w:pPr>
        <w:pStyle w:val="BodyText"/>
      </w:pPr>
      <w:r>
        <w:t xml:space="preserve">Importantly, pd does not indicate whether an effect is meaningfully different from a point value—it only reflects the proportion of the posterior in one direction. To address questions of practical significance, we encourage readers to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ultimately be guided by theoretical considerations, prior research, and the substantive context of the study. In</w:t>
      </w:r>
      <w:r>
        <w:t xml:space="preserve"> </w:t>
      </w:r>
      <w:r>
        <w:rPr>
          <w:b/>
          <w:bCs/>
        </w:rPr>
        <w:t xml:space="preserve">?@lst-rope</w:t>
      </w:r>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 Going forward we do not include a discussion of ROPE values, but we encourage readers to adopt it in their own research when appropriate.</w:t>
      </w:r>
    </w:p>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4403799"/>
                    </a:xfrm>
                    <a:prstGeom prst="rect">
                      <a:avLst/>
                    </a:prstGeom>
                    <a:noFill/>
                    <a:ln w="9525">
                      <a:noFill/>
                      <a:headEnd/>
                      <a:tailEnd/>
                    </a:ln>
                  </pic:spPr>
                </pic:pic>
              </a:graphicData>
            </a:graphic>
          </wp:inline>
        </w:drawing>
      </w:r>
    </w:p>
    <w:bookmarkEnd w:id="76"/>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homoscedacity.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4</w:t>
        </w:r>
      </w:hyperlink>
      <w:r>
        <w:t xml:space="preserve"> </w:t>
      </w:r>
      <w:r>
        <w:t xml:space="preserve">automatically produces</w:t>
      </w:r>
      <w:r>
        <w:t xml:space="preserve"> </w:t>
      </w:r>
      <w:hyperlink w:anchor="fig-reg-assump">
        <w:r>
          <w:rPr>
            <w:rStyle w:val="Hyperlink"/>
          </w:rPr>
          <w:t xml:space="preserve">Figure 5</w:t>
        </w:r>
      </w:hyperlink>
      <w:r>
        <w:t xml:space="preserve">. We can see some issues with our data.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4: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77"/>
        </w:tc>
      </w:tr>
    </w:tbl>
    <w:bookmarkStart w:id="81" w:name="fig-reg-assump"/>
    <w:p>
      <w:pPr>
        <w:pStyle w:val="FigureTitle"/>
      </w:pPr>
      <w:r>
        <w:t xml:space="preserve">Figure 5</w:t>
      </w:r>
    </w:p>
    <w:p>
      <w:pPr>
        <w:pStyle w:val="Caption"/>
      </w:pPr>
      <w:r>
        <w:t xml:space="preserve">Two assumption checks for our OLS model: Normality (left) and Homoskedasticity (right)</w:t>
      </w:r>
    </w:p>
    <w:p>
      <w:pPr>
        <w:pStyle w:val="FigureWithoutNote"/>
      </w:pPr>
      <w:r>
        <w:drawing>
          <wp:inline>
            <wp:extent cx="5504749" cy="4403799"/>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4403799"/>
                    </a:xfrm>
                    <a:prstGeom prst="rect">
                      <a:avLst/>
                    </a:prstGeom>
                    <a:noFill/>
                    <a:ln w="9525">
                      <a:noFill/>
                      <a:headEnd/>
                      <a:tailEnd/>
                    </a:ln>
                  </pic:spPr>
                </pic:pic>
              </a:graphicData>
            </a:graphic>
          </wp:inline>
        </w:drawing>
      </w:r>
    </w:p>
    <w:bookmarkEnd w:id="81"/>
    <w:bookmarkStart w:id="85" w:name="fig-ppcheckall"/>
    <w:p>
      <w:pPr>
        <w:pStyle w:val="FigureTitle"/>
      </w:pPr>
      <w:r>
        <w:t xml:space="preserve">Figure 6</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83" name="Picture"/>
            <a:graphic>
              <a:graphicData uri="http://schemas.openxmlformats.org/drawingml/2006/picture">
                <pic:pic>
                  <pic:nvPicPr>
                    <pic:cNvPr descr="ms_files/figure-docx/fig-ppcheckall-1.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draws or repetitions from the posterior distribution and plotting it against the observed data. Ideally, the predictive draws (the light blue lines) should show reasonable resemblance with the observed data (dark blue line). In our example (see</w:t>
      </w:r>
      <w:r>
        <w:t xml:space="preserve"> </w:t>
      </w:r>
      <w:hyperlink w:anchor="fig-ppcheckall">
        <w:r>
          <w:rPr>
            <w:rStyle w:val="Hyperlink"/>
          </w:rPr>
          <w:t xml:space="preserve">Figure 6</w:t>
        </w:r>
      </w:hyperlink>
      <w:r>
        <w:t xml:space="preserve"> </w:t>
      </w:r>
      <w:r>
        <w:t xml:space="preserve">(A)) the model-predicted density is slightly too peaked and narrow compared to the data. In addition, some of the draws extend into negative accuracy values.</w:t>
      </w:r>
    </w:p>
    <w:bookmarkEnd w:id="86"/>
    <w:bookmarkEnd w:id="87"/>
    <w:bookmarkStart w:id="112"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However, in a Bayesian framework, we can address these issues more directly and transparently by fitting distributional models</w:t>
      </w:r>
      <w:r>
        <w:t xml:space="preserve"> </w:t>
      </w:r>
      <w:r>
        <w:t xml:space="preserve">(</w:t>
      </w:r>
      <w:r>
        <w:rPr>
          <w:b/>
          <w:bCs/>
        </w:rPr>
        <w:t xml:space="preserve">kruschke2013?</w:t>
      </w:r>
      <w:r>
        <w:t xml:space="preserve">;</w:t>
      </w:r>
      <w:r>
        <w:t xml:space="preserve"> </w:t>
      </w:r>
      <w:r>
        <w:rPr>
          <w:b/>
          <w:bCs/>
        </w:rPr>
        <w:t xml:space="preserve">kneib2023?</w:t>
      </w:r>
      <w:r>
        <w:t xml:space="preserve">)</w:t>
      </w:r>
      <w:r>
        <w:t xml:space="preserve">. A key advantage of Bayesian distributional modeling approach is that we are not limited to modeling only the mean or median of the outcome; we can also model parameters such as the variance (or other shape parameters) as functions of predictors. This allows us to examine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5</w:t>
        </w:r>
      </w:hyperlink>
      <w:r>
        <w:t xml:space="preserve">). We fit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Fluency as a function of Accuracy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5</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5: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"model_beta_bayes_reg_01"</w:t>
            </w:r>
            <w:r>
              <w:br/>
            </w:r>
            <w:r>
              <w:rPr>
                <w:rStyle w:val="VerbatimChar"/>
              </w:rPr>
              <w:t xml:space="preserve">)</w:t>
            </w:r>
          </w:p>
          <w:bookmarkEnd w:id="88"/>
        </w:tc>
      </w:tr>
    </w:tbl>
    <w:bookmarkStart w:id="89" w:name="tbl-all"/>
    <w:p>
      <w:pPr>
        <w:pStyle w:val="FigureTitle"/>
      </w:pPr>
      <w:r>
        <w:t xml:space="preserve">Table 2</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22"/>
        <w:gridCol w:w="1182"/>
        <w:gridCol w:w="1241"/>
        <w:gridCol w:w="1241"/>
        <w:gridCol w:w="1241"/>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-0.830</w:t>
            </w:r>
          </w:p>
        </w:tc>
        <w:tc>
          <w:tcPr/>
          <w:p>
            <w:pPr>
              <w:pStyle w:val="Compact"/>
            </w:pPr>
            <w:r>
              <w:t xml:space="preserve">-0.832</w:t>
            </w:r>
          </w:p>
        </w:tc>
        <w:tc>
          <w:tcPr/>
          <w:p>
            <w:pPr>
              <w:pStyle w:val="Compact"/>
            </w:pPr>
            <w:r>
              <w:t xml:space="preserve">-0.831</w:t>
            </w:r>
          </w:p>
        </w:tc>
        <w:tc>
          <w:tcPr/>
          <w:p>
            <w:pPr>
              <w:pStyle w:val="Compact"/>
            </w:pPr>
            <w:r>
              <w:t xml:space="preserve">-0.865</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[0.199, 0.315]</w:t>
            </w:r>
          </w:p>
        </w:tc>
        <w:tc>
          <w:tcPr/>
          <w:p>
            <w:pPr>
              <w:pStyle w:val="Compact"/>
            </w:pPr>
            <w:r>
              <w:rPr>
                <w:i/>
                <w:iCs/>
              </w:rPr>
              <w:t xml:space="preserve">[-1.087, -0.55]</w:t>
            </w:r>
          </w:p>
        </w:tc>
        <w:tc>
          <w:tcPr/>
          <w:p>
            <w:pPr>
              <w:pStyle w:val="Compact"/>
            </w:pPr>
            <w:r>
              <w:rPr>
                <w:i/>
                <w:iCs/>
              </w:rPr>
              <w:t xml:space="preserve">[-1.094, -0.552]</w:t>
            </w:r>
          </w:p>
        </w:tc>
        <w:tc>
          <w:tcPr/>
          <w:p>
            <w:pPr>
              <w:pStyle w:val="Compact"/>
            </w:pPr>
            <w:r>
              <w:rPr>
                <w:i/>
                <w:iCs/>
              </w:rPr>
              <w:t xml:space="preserve">[-1.098, -0.559]</w:t>
            </w:r>
          </w:p>
        </w:tc>
        <w:tc>
          <w:tcPr/>
          <w:p>
            <w:pPr>
              <w:pStyle w:val="Compact"/>
            </w:pPr>
            <w:r>
              <w:rPr>
                <w:i/>
                <w:iCs/>
              </w:rPr>
              <w:t xml:space="preserve">[-1.119, -0.596]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0.204</w:t>
            </w:r>
          </w:p>
        </w:tc>
        <w:tc>
          <w:tcPr/>
          <w:p>
            <w:pPr>
              <w:pStyle w:val="Compact"/>
            </w:pPr>
            <w:r>
              <w:t xml:space="preserve">0.204</w:t>
            </w:r>
          </w:p>
        </w:tc>
        <w:tc>
          <w:tcPr/>
          <w:p>
            <w:pPr>
              <w:pStyle w:val="Compact"/>
            </w:pPr>
            <w:r>
              <w:t xml:space="preserve">0.203</w:t>
            </w:r>
          </w:p>
        </w:tc>
        <w:tc>
          <w:tcPr/>
          <w:p>
            <w:pPr>
              <w:pStyle w:val="Compact"/>
            </w:pPr>
            <w:r>
              <w:t xml:space="preserve">0.262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[0.002, 0.166]</w:t>
            </w:r>
          </w:p>
        </w:tc>
        <w:tc>
          <w:tcPr/>
          <w:p>
            <w:pPr>
              <w:pStyle w:val="Compact"/>
            </w:pPr>
            <w:r>
              <w:rPr>
                <w:i/>
                <w:iCs/>
              </w:rPr>
              <w:t xml:space="preserve">[-0.155, 0.539]</w:t>
            </w:r>
          </w:p>
        </w:tc>
        <w:tc>
          <w:tcPr/>
          <w:p>
            <w:pPr>
              <w:pStyle w:val="Compact"/>
            </w:pPr>
            <w:r>
              <w:rPr>
                <w:i/>
                <w:iCs/>
              </w:rPr>
              <w:t xml:space="preserve">[-0.139, 0.545]</w:t>
            </w:r>
          </w:p>
        </w:tc>
        <w:tc>
          <w:tcPr/>
          <w:p>
            <w:pPr>
              <w:pStyle w:val="Compact"/>
            </w:pPr>
            <w:r>
              <w:rPr>
                <w:i/>
                <w:iCs/>
              </w:rPr>
              <w:t xml:space="preserve">[-0.147, 0.541]</w:t>
            </w:r>
          </w:p>
        </w:tc>
        <w:tc>
          <w:tcPr/>
          <w:p>
            <w:pPr>
              <w:pStyle w:val="Compact"/>
            </w:pPr>
            <w:r>
              <w:rPr>
                <w:i/>
                <w:iCs/>
              </w:rPr>
              <w:t xml:space="preserve">[-0.07, 0.598]</w:t>
            </w:r>
          </w:p>
        </w:tc>
      </w:tr>
      <w:tr>
        <w:tc>
          <w:tcPr/>
          <w:p>
            <w:pPr>
              <w:pStyle w:val="Compact"/>
            </w:pPr>
            <w:r>
              <w:t xml:space="preserve">**</w:t>
            </w:r>
          </w:p>
        </w:tc>
        <w:tc>
          <w:tcPr/>
          <w:p>
            <w:pPr>
              <w:pStyle w:val="Compact"/>
            </w:pPr>
            <w:r>
              <w:rPr>
                <w:i/>
                <w:iCs/>
              </w:rPr>
              <w:t xml:space="preserve">pd</w:t>
            </w:r>
          </w:p>
        </w:tc>
        <w:tc>
          <w:tcPr/>
          <w:p>
            <w:pPr>
              <w:pStyle w:val="Compact"/>
            </w:pPr>
            <w:r>
              <w:t xml:space="preserve">*0.977**</w:t>
            </w:r>
          </w:p>
        </w:tc>
        <w:tc>
          <w:tcPr/>
          <w:p>
            <w:pPr>
              <w:pStyle w:val="Compact"/>
            </w:pPr>
            <w:r>
              <w:rPr>
                <w:i/>
                <w:iCs/>
              </w:rPr>
              <w:t xml:space="preserve">0.875</w:t>
            </w:r>
          </w:p>
        </w:tc>
        <w:tc>
          <w:tcPr/>
          <w:p>
            <w:pPr>
              <w:pStyle w:val="Compact"/>
            </w:pPr>
            <w:r>
              <w:rPr>
                <w:i/>
                <w:iCs/>
              </w:rPr>
              <w:t xml:space="preserve">0.872</w:t>
            </w:r>
          </w:p>
        </w:tc>
        <w:tc>
          <w:tcPr/>
          <w:p>
            <w:pPr>
              <w:pStyle w:val="Compact"/>
            </w:pPr>
            <w:r>
              <w:rPr>
                <w:i/>
                <w:iCs/>
              </w:rPr>
              <w:t xml:space="preserve">0.880</w:t>
            </w:r>
          </w:p>
        </w:tc>
        <w:tc>
          <w:tcPr/>
          <w:p>
            <w:pPr>
              <w:pStyle w:val="Compact"/>
            </w:pPr>
            <w:r>
              <w:rPr>
                <w:i/>
                <w:iCs/>
              </w:rPr>
              <w:t xml:space="preserve">0.936</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[0.179, 0.245]</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1.609</w:t>
            </w:r>
          </w:p>
        </w:tc>
        <w:tc>
          <w:tcPr/>
          <w:p>
            <w:pPr>
              <w:pStyle w:val="Compact"/>
            </w:pPr>
            <w:r>
              <w:t xml:space="preserve">1.601</w:t>
            </w:r>
          </w:p>
        </w:tc>
        <w:tc>
          <w:tcPr/>
          <w:p>
            <w:pPr>
              <w:pStyle w:val="Compact"/>
            </w:pPr>
            <w:r>
              <w:t xml:space="preserve">1.604</w:t>
            </w:r>
          </w:p>
        </w:tc>
        <w:tc>
          <w:tcPr/>
          <w:p>
            <w:pPr>
              <w:pStyle w:val="Compact"/>
            </w:pPr>
            <w:r>
              <w:t xml:space="preserve">1.609</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[1.193, 2]</w:t>
            </w:r>
          </w:p>
        </w:tc>
        <w:tc>
          <w:tcPr/>
          <w:p>
            <w:pPr>
              <w:pStyle w:val="Compact"/>
            </w:pPr>
            <w:r>
              <w:rPr>
                <w:i/>
                <w:iCs/>
              </w:rPr>
              <w:t xml:space="preserve">[1.187, 1.988]</w:t>
            </w:r>
          </w:p>
        </w:tc>
        <w:tc>
          <w:tcPr/>
          <w:p>
            <w:pPr>
              <w:pStyle w:val="Compact"/>
            </w:pPr>
            <w:r>
              <w:rPr>
                <w:i/>
                <w:iCs/>
              </w:rPr>
              <w:t xml:space="preserve">[1.183, 1.989]</w:t>
            </w:r>
          </w:p>
        </w:tc>
        <w:tc>
          <w:tcPr/>
          <w:p>
            <w:pPr>
              <w:pStyle w:val="Compact"/>
            </w:pPr>
            <w:r>
              <w:rPr>
                <w:i/>
                <w:iCs/>
              </w:rPr>
              <w:t xml:space="preserve">[1.179, 1.993]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0.420</w:t>
            </w:r>
          </w:p>
        </w:tc>
        <w:tc>
          <w:tcPr/>
          <w:p>
            <w:pPr>
              <w:pStyle w:val="Compact"/>
            </w:pPr>
            <w:r>
              <w:t xml:space="preserve">0.425</w:t>
            </w:r>
          </w:p>
        </w:tc>
        <w:tc>
          <w:tcPr/>
          <w:p>
            <w:pPr>
              <w:pStyle w:val="Compact"/>
            </w:pPr>
            <w:r>
              <w:t xml:space="preserve">0.426</w:t>
            </w:r>
          </w:p>
        </w:tc>
        <w:tc>
          <w:tcPr/>
          <w:p>
            <w:pPr>
              <w:pStyle w:val="Compact"/>
            </w:pPr>
            <w:r>
              <w:t xml:space="preserve">0.408</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[-0.143, 0.993]</w:t>
            </w:r>
          </w:p>
        </w:tc>
        <w:tc>
          <w:tcPr/>
          <w:p>
            <w:pPr>
              <w:pStyle w:val="Compact"/>
            </w:pPr>
            <w:r>
              <w:rPr>
                <w:i/>
                <w:iCs/>
              </w:rPr>
              <w:t xml:space="preserve">[-0.158, 0.994]</w:t>
            </w:r>
          </w:p>
        </w:tc>
        <w:tc>
          <w:tcPr/>
          <w:p>
            <w:pPr>
              <w:pStyle w:val="Compact"/>
            </w:pPr>
            <w:r>
              <w:rPr>
                <w:i/>
                <w:iCs/>
              </w:rPr>
              <w:t xml:space="preserve">[-0.126, 0.994]</w:t>
            </w:r>
          </w:p>
        </w:tc>
        <w:tc>
          <w:tcPr/>
          <w:p>
            <w:pPr>
              <w:pStyle w:val="Compact"/>
            </w:pPr>
            <w:r>
              <w:rPr>
                <w:i/>
                <w:iCs/>
              </w:rPr>
              <w:t xml:space="preserve">[-0.156, 0.983]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0.931</w:t>
            </w:r>
          </w:p>
        </w:tc>
        <w:tc>
          <w:tcPr/>
          <w:p>
            <w:pPr>
              <w:pStyle w:val="Compact"/>
            </w:pPr>
            <w:r>
              <w:rPr>
                <w:i/>
                <w:iCs/>
              </w:rPr>
              <w:t xml:space="preserve">0.926</w:t>
            </w:r>
          </w:p>
        </w:tc>
        <w:tc>
          <w:tcPr/>
          <w:p>
            <w:pPr>
              <w:pStyle w:val="Compact"/>
            </w:pPr>
            <w:r>
              <w:rPr>
                <w:i/>
                <w:iCs/>
              </w:rPr>
              <w:t xml:space="preserve">0.930</w:t>
            </w:r>
          </w:p>
        </w:tc>
        <w:tc>
          <w:tcPr/>
          <w:p>
            <w:pPr>
              <w:pStyle w:val="Compact"/>
            </w:pPr>
            <w:r>
              <w:rPr>
                <w:i/>
                <w:iCs/>
              </w:rPr>
              <w:t xml:space="preserve">0.918</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-1.673</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[-2.46, -0.978]</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-2.137</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[-4.618, -0.34]</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[-2.339, -0.859]</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-2.201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[-4.449, -0.465]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-2.022</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[-4.408, -0.287]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0.245</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[-6.946, 5.716]</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0.571</w:t>
            </w:r>
          </w:p>
        </w:tc>
        <w:tc>
          <w:tcPr/>
          <w:p>
            <w:pPr>
              <w:pStyle w:val="Compact"/>
            </w:pPr>
            <w:r>
              <w:rPr>
                <w:i/>
                <w:iCs/>
              </w:rPr>
              <w:t xml:space="preserve">-</w:t>
            </w:r>
          </w:p>
        </w:tc>
      </w:tr>
    </w:tbl>
    <w:bookmarkEnd w:id="89"/>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p>
      <w:pPr>
        <w:pStyle w:val="Heading5"/>
        <w:rPr>
          <w:vanish/>
          <w:specVanish/>
        </w:rPr>
      </w:pPr>
      <w:r>
        <w:t>Model Parameters.</w:t>
      </w:r>
      <w:r>
        <w:t xml:space="preserve"> </w:t>
      </w:r>
    </w:p>
    <w:p>
      <w:pPr>
        <w:pStyle w:val="BodyText"/>
      </w:pPr>
      <w:r>
        <w:t xml:space="preserve">In</w:t>
      </w:r>
      <w:r>
        <w:t xml:space="preserve"> </w:t>
      </w:r>
      <w:hyperlink w:anchor="tbl-all">
        <w:r>
          <w:rPr>
            <w:rStyle w:val="Hyperlink"/>
          </w:rPr>
          <w:t xml:space="preserve">Table 2</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interpreted on the scale of the logit, meaning they represent linear changes on a nonlinear space.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2</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2</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 w:name="lst-betadis"/>
          <w:p>
            <w:pPr>
              <w:jc w:val="center"/>
            </w:pPr>
            <w:pPr>
              <w:jc w:val="start"/>
              <w:spacing w:before="200"/>
              <w:pStyle w:val="ImageCaption"/>
            </w:pPr>
            <w:r>
              <w:t xml:space="preserve">Listing 6: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"model_beta_bayes_dis_run01"</w:t>
            </w:r>
            <w:r>
              <w:br/>
            </w:r>
            <w:r>
              <w:rPr>
                <w:rStyle w:val="VerbatimChar"/>
              </w:rPr>
              <w:t xml:space="preserve">)</w:t>
            </w:r>
          </w:p>
          <w:bookmarkEnd w:id="90"/>
        </w:tc>
      </w:tr>
    </w:tbl>
    <w:p>
      <w:pPr>
        <w:pStyle w:val="FirstParagraph"/>
      </w:pPr>
      <w:hyperlink w:anchor="tbl-all">
        <w:r>
          <w:rPr>
            <w:rStyle w:val="Hyperlink"/>
          </w:rPr>
          <w:t xml:space="preserve">Table 2</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significance of our coefficients. The inclusion of dispersion in the our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7</w:t>
        </w:r>
      </w:hyperlink>
      <w:r>
        <w:t xml:space="preserve">). This suggests that failing to account for the dispersion of the variables might lead to biased estimates.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1"/>
      </w:r>
    </w:p>
    <w:bookmarkStart w:id="95" w:name="fig-plt-diff"/>
    <w:p>
      <w:pPr>
        <w:pStyle w:val="FigureTitle"/>
      </w:pPr>
      <w:r>
        <w:t xml:space="preserve">Figure 7</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3" name="Picture"/>
            <a:graphic>
              <a:graphicData uri="http://schemas.openxmlformats.org/drawingml/2006/picture">
                <pic:pic>
                  <pic:nvPicPr>
                    <pic:cNvPr descr="ms_files/figure-docx/fig-plt-diff-1.png" id="94" name="Picture"/>
                    <pic:cNvPicPr>
                      <a:picLocks noChangeArrowheads="1" noChangeAspect="1"/>
                    </pic:cNvPicPr>
                  </pic:nvPicPr>
                  <pic:blipFill>
                    <a:blip r:embed="rId92"/>
                    <a:stretch>
                      <a:fillRect/>
                    </a:stretch>
                  </pic:blipFill>
                  <pic:spPr bwMode="auto">
                    <a:xfrm>
                      <a:off x="0" y="0"/>
                      <a:ext cx="5504749" cy="4403799"/>
                    </a:xfrm>
                    <a:prstGeom prst="rect">
                      <a:avLst/>
                    </a:prstGeom>
                    <a:noFill/>
                    <a:ln w="9525">
                      <a:noFill/>
                      <a:headEnd/>
                      <a:tailEnd/>
                    </a:ln>
                  </pic:spPr>
                </pic:pic>
              </a:graphicData>
            </a:graphic>
          </wp:inline>
        </w:drawing>
      </w:r>
    </w:p>
    <w:bookmarkEnd w:id="95"/>
    <w:bookmarkStart w:id="105" w:name="predicted-probabilities"/>
    <w:p>
      <w:pPr>
        <w:pStyle w:val="Heading3"/>
      </w:pPr>
      <w:r>
        <w:t xml:space="preserve">Predicted Probabilities</w:t>
      </w:r>
    </w:p>
    <w:p>
      <w:pPr>
        <w:pStyle w:val="FirstParagraph"/>
      </w:pPr>
      <w:r>
        <w:t xml:space="preserve">Parameter estimates are usually difficult to interpret on their own and can require a lot of mathematical gymnastics to get the estimate you need. We argue that researchers should not spend too much time interpreting raw coefficients from non-linear models. We report them in this tutorial for completeness. Instead researchers should discuss the effects of the predictor on the actual outcome of interest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what is interesting to applied researchers.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This is pretty easy to do manually, but when your model has many predictors,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7</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3</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6" w:name="lst-me"/>
          <w:p>
            <w:pPr>
              <w:jc w:val="center"/>
            </w:pPr>
            <w:pPr>
              <w:jc w:val="start"/>
              <w:spacing w:before="200"/>
              <w:pStyle w:val="ImageCaption"/>
            </w:pPr>
            <w:r>
              <w:t xml:space="preserve">Listing 7: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6"/>
        </w:tc>
      </w:tr>
    </w:tbl>
    <w:tbl>
      <w:tblPr>
        <w:tblStyle w:val="Table"/>
        <w:tblW w:type="pct" w:w="5000"/>
        <w:tblLayout w:type="fixed"/>
        <w:tblLook w:firstRow="0" w:lastRow="0" w:firstColumn="0" w:lastColumn="0" w:noHBand="0" w:noVBand="0" w:val="0000"/>
      </w:tblPr>
      <w:tblGrid>
        <w:gridCol w:w="7920"/>
      </w:tblGrid>
      <w:tr>
        <w:tc>
          <w:tcPr/>
          <w:bookmarkStart w:id="97" w:name="lst-pred"/>
          <w:p>
            <w:pPr>
              <w:jc w:val="center"/>
            </w:pPr>
            <w:pPr>
              <w:jc w:val="start"/>
              <w:spacing w:before="200"/>
              <w:pStyle w:val="ImageCaption"/>
            </w:pPr>
            <w:r>
              <w:t xml:space="preserve">Listing 8: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7"/>
        </w:tc>
      </w:tr>
    </w:tbl>
    <w:bookmarkStart w:id="98" w:name="tbl-predict-prob"/>
    <w:p>
      <w:pPr>
        <w:pStyle w:val="FigureTitle"/>
      </w:pPr>
      <w:r>
        <w:t xml:space="preserve">Table 3</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[0.249, 0.347]</w:t>
            </w:r>
          </w:p>
        </w:tc>
      </w:tr>
      <w:tr>
        <w:tc>
          <w:tcPr/>
          <w:p>
            <w:pPr>
              <w:pStyle w:val="Compact"/>
            </w:pPr>
            <w:r>
              <w:t xml:space="preserve">Fluent</w:t>
            </w:r>
          </w:p>
        </w:tc>
        <w:tc>
          <w:tcPr/>
          <w:p>
            <w:pPr>
              <w:pStyle w:val="Compact"/>
            </w:pPr>
            <w:r>
              <w:t xml:space="preserve">0.353</w:t>
            </w:r>
          </w:p>
        </w:tc>
        <w:tc>
          <w:tcPr/>
          <w:p>
            <w:pPr>
              <w:pStyle w:val="Compact"/>
            </w:pPr>
            <w:r>
              <w:t xml:space="preserve">[0.301, 0.406]</w:t>
            </w:r>
          </w:p>
        </w:tc>
      </w:tr>
    </w:tbl>
    <w:bookmarkEnd w:id="98"/>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lotbeta"/>
          <w:p>
            <w:pPr>
              <w:jc w:val="center"/>
            </w:pPr>
            <w:pPr>
              <w:jc w:val="start"/>
              <w:spacing w:before="200"/>
              <w:pStyle w:val="ImageCaption"/>
            </w:pPr>
            <w:r>
              <w:t xml:space="preserve">Listing 9: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9"/>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10</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0" w:name="lst-posdraws"/>
          <w:p>
            <w:pPr>
              <w:jc w:val="center"/>
            </w:pPr>
            <w:pPr>
              <w:jc w:val="start"/>
              <w:spacing w:before="200"/>
              <w:pStyle w:val="ImageCaption"/>
            </w:pPr>
            <w:r>
              <w:t xml:space="preserve">Listing 10: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100"/>
        </w:tc>
      </w:tr>
    </w:tbl>
    <w:bookmarkStart w:id="104" w:name="fig-draws-fluency"/>
    <w:p>
      <w:pPr>
        <w:pStyle w:val="FigureTitle"/>
      </w:pPr>
      <w:r>
        <w:t xml:space="preserve">Figure 8</w:t>
      </w:r>
    </w:p>
    <w:p>
      <w:pPr>
        <w:pStyle w:val="Caption"/>
      </w:pPr>
      <w:r>
        <w:t xml:space="preserve">Predicted probablity posterior distributions by fluency</w:t>
      </w:r>
    </w:p>
    <w:p>
      <w:pPr>
        <w:pStyle w:val="FigureWithoutNote"/>
      </w:pPr>
      <w:r>
        <w:drawing>
          <wp:inline>
            <wp:extent cx="5504749" cy="4403799"/>
            <wp:effectExtent b="0" l="0" r="0" t="0"/>
            <wp:docPr descr="" title="" id="102" name="Picture"/>
            <a:graphic>
              <a:graphicData uri="http://schemas.openxmlformats.org/drawingml/2006/picture">
                <pic:pic>
                  <pic:nvPicPr>
                    <pic:cNvPr descr="ms_files/figure-docx/fig-draws-fluency-1.png" id="103" name="Picture"/>
                    <pic:cNvPicPr>
                      <a:picLocks noChangeArrowheads="1" noChangeAspect="1"/>
                    </pic:cNvPicPr>
                  </pic:nvPicPr>
                  <pic:blipFill>
                    <a:blip r:embed="rId101"/>
                    <a:stretch>
                      <a:fillRect/>
                    </a:stretch>
                  </pic:blipFill>
                  <pic:spPr bwMode="auto">
                    <a:xfrm>
                      <a:off x="0" y="0"/>
                      <a:ext cx="5504749" cy="4403799"/>
                    </a:xfrm>
                    <a:prstGeom prst="rect">
                      <a:avLst/>
                    </a:prstGeom>
                    <a:noFill/>
                    <a:ln w="9525">
                      <a:noFill/>
                      <a:headEnd/>
                      <a:tailEnd/>
                    </a:ln>
                  </pic:spPr>
                </pic:pic>
              </a:graphicData>
            </a:graphic>
          </wp:inline>
        </w:drawing>
      </w:r>
    </w:p>
    <w:bookmarkEnd w:id="104"/>
    <w:bookmarkEnd w:id="105"/>
    <w:bookmarkStart w:id="110"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w:t>
      </w:r>
      <w:r>
        <w:t xml:space="preserve"> </w:t>
      </w:r>
      <w:r>
        <w:rPr>
          <w:b/>
          <w:bCs/>
        </w:rPr>
        <w:t xml:space="preserve">In recent years, there has been a thrust to move away from reporting regression coefficients alone, focusing instead on estimates that are easier to interpret and communicate—particularly in non-linear models</w:t>
      </w:r>
      <w:r>
        <w:rPr>
          <w:b/>
          <w:bCs/>
        </w:rPr>
        <w:t xml:space="preserve"> </w:t>
      </w:r>
      <w:r>
        <w:rPr>
          <w:b/>
          <w:bCs/>
        </w:rP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11</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6" w:name="lst-avgcomp"/>
          <w:p>
            <w:pPr>
              <w:jc w:val="center"/>
            </w:pPr>
            <w:pPr>
              <w:jc w:val="start"/>
              <w:spacing w:before="200"/>
              <w:pStyle w:val="ImageCaption"/>
            </w:pPr>
            <w:r>
              <w:t xml:space="preserve">Listing 11: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6"/>
        </w:tc>
      </w:tr>
    </w:tbl>
    <w:bookmarkStart w:id="107" w:name="tbl-ame1"/>
    <w:p>
      <w:pPr>
        <w:pStyle w:val="FigureTitle"/>
      </w:pPr>
      <w:r>
        <w:t xml:space="preserve">Table 4</w:t>
      </w:r>
    </w:p>
    <w:p>
      <w:pPr>
        <w:pStyle w:val="Caption"/>
      </w:pPr>
      <w:r>
        <w:t xml:space="preserve">Fluency difference</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0.056</w:t>
            </w:r>
          </w:p>
        </w:tc>
        <w:tc>
          <w:tcPr/>
          <w:p>
            <w:pPr>
              <w:pStyle w:val="Compact"/>
            </w:pPr>
            <w:r>
              <w:t xml:space="preserve">[-0.016, 0.127]</w:t>
            </w:r>
          </w:p>
        </w:tc>
      </w:tr>
    </w:tbl>
    <w:bookmarkEnd w:id="107"/>
    <w:p>
      <w:pPr>
        <w:pStyle w:val="AfterWithoutNote"/>
      </w:pPr>
      <w:hyperlink w:anchor="tbl-ame1">
        <w:r>
          <w:rPr>
            <w:rStyle w:val="Hyperlink"/>
          </w:rPr>
          <w:t xml:space="preserve">Table 4</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lst-avgphi"/>
          <w:p>
            <w:pPr>
              <w:jc w:val="center"/>
            </w:pPr>
            <w:pPr>
              <w:jc w:val="start"/>
              <w:spacing w:before="200"/>
              <w:pStyle w:val="ImageCaption"/>
            </w:pPr>
            <w:r>
              <w:t xml:space="preserve">Listing 12: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8"/>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9"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9"/>
    </w:p>
    <w:bookmarkEnd w:id="110"/>
    <w:bookmarkStart w:id="111" w:name="posterior-predictive-check"/>
    <w:p>
      <w:pPr>
        <w:pStyle w:val="Heading3"/>
      </w:pPr>
      <w:r>
        <w:t xml:space="preserve">Posterior Predictive Check</w:t>
      </w:r>
    </w:p>
    <w:p>
      <w:pPr>
        <w:pStyle w:val="FirstParagraph"/>
      </w:pPr>
      <w:hyperlink w:anchor="fig-ppcheckall">
        <w:r>
          <w:rPr>
            <w:rStyle w:val="Hyperlink"/>
          </w:rPr>
          <w:t xml:space="preserve">Figure 6</w:t>
        </w:r>
      </w:hyperlink>
      <w:r>
        <w:t xml:space="preserve"> </w:t>
      </w:r>
      <w:r>
        <w:t xml:space="preserve">(B) shows the predictive check for our beta model. The model does a pretty good job at capturing the data (The draws are now between 0-1) and the predicted values from the model follow the observed data. However, it could be better.</w:t>
      </w:r>
    </w:p>
    <w:bookmarkEnd w:id="111"/>
    <w:bookmarkEnd w:id="112"/>
    <w:bookmarkStart w:id="123"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1—it cannot handle values exactly equal to 0 or 1.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3" w:name="lst-zib"/>
          <w:p>
            <w:pPr>
              <w:jc w:val="center"/>
            </w:pPr>
            <w:pPr>
              <w:jc w:val="start"/>
              <w:spacing w:before="200"/>
              <w:pStyle w:val="ImageCaption"/>
            </w:pPr>
            <w:r>
              <w:t xml:space="preserve">Listing 13: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"bayes_zib_model0not1"</w:t>
            </w:r>
            <w:r>
              <w:br/>
            </w:r>
            <w:r>
              <w:rPr>
                <w:rStyle w:val="VerbatimChar"/>
              </w:rPr>
              <w:t xml:space="preserve">)</w:t>
            </w:r>
          </w:p>
          <w:bookmarkEnd w:id="113"/>
        </w:tc>
      </w:tr>
    </w:tbl>
    <w:bookmarkStart w:id="114"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6</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4"/>
    <w:bookmarkStart w:id="117"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2</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5</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5" w:name="tbl-marg-mu-brms"/>
    <w:p>
      <w:pPr>
        <w:pStyle w:val="FigureTitle"/>
      </w:pPr>
      <w:r>
        <w:t xml:space="preserve">Table 5</w:t>
      </w:r>
    </w:p>
    <w:p>
      <w:pPr>
        <w:pStyle w:val="Caption"/>
      </w:pPr>
      <w:r>
        <w:t xml:space="preserve">Probablity fluency difference (</w:t>
      </w:r>
      <m:oMath>
        <m:r>
          <m:t>μ</m:t>
        </m:r>
      </m:oMath>
      <w:r>
        <w:t xml:space="preserve">)</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0.044</w:t>
            </w:r>
          </w:p>
        </w:tc>
        <w:tc>
          <w:tcPr/>
          <w:p>
            <w:pPr>
              <w:pStyle w:val="Compact"/>
            </w:pPr>
            <w:r>
              <w:t xml:space="preserve">[-0.033, 0.116]</w:t>
            </w:r>
          </w:p>
        </w:tc>
      </w:tr>
    </w:tbl>
    <w:bookmarkEnd w:id="115"/>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6</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6" w:name="tbl-marg-phi-brms"/>
    <w:p>
      <w:pPr>
        <w:pStyle w:val="FigureTitle"/>
      </w:pPr>
      <w:r>
        <w:t xml:space="preserve">Table 6</w:t>
      </w:r>
    </w:p>
    <w:p>
      <w:pPr>
        <w:pStyle w:val="Caption"/>
      </w:pPr>
      <w:r>
        <w:t xml:space="preserve">Probablity fluency difference (</w:t>
      </w:r>
      <m:oMath>
        <m:r>
          <m:t>ϕ</m:t>
        </m:r>
      </m:oMath>
      <w:r>
        <w:t xml:space="preserve">)</w:t>
      </w:r>
    </w:p>
    <w:tbl>
      <w:tblPr>
        <w:tblStyle w:val="Table"/>
        <w:tblW w:type="pct" w:w="3194"/>
        <w:tblLayout w:type="fixed"/>
        <w:tblLook w:firstRow="1" w:lastRow="0" w:firstColumn="0" w:lastColumn="0" w:noHBand="0" w:noVBand="0" w:val="0020"/>
      </w:tblPr>
      <w:tblGrid>
        <w:gridCol w:w="2310"/>
        <w:gridCol w:w="77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2.7</w:t>
            </w:r>
          </w:p>
        </w:tc>
        <w:tc>
          <w:tcPr/>
          <w:p>
            <w:pPr>
              <w:pStyle w:val="Compact"/>
            </w:pPr>
            <w:r>
              <w:t xml:space="preserve">[-0.928, 6.877]</w:t>
            </w:r>
          </w:p>
        </w:tc>
      </w:tr>
    </w:tbl>
    <w:bookmarkEnd w:id="116"/>
    <w:bookmarkEnd w:id="117"/>
    <w:bookmarkStart w:id="122"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9</w:t>
        </w:r>
      </w:hyperlink>
      <w:r>
        <w:t xml:space="preserve">). In</w:t>
      </w:r>
      <w:r>
        <w:t xml:space="preserve"> </w:t>
      </w:r>
      <w:hyperlink w:anchor="fig-zi-plot">
        <w:r>
          <w:rPr>
            <w:rStyle w:val="Hyperlink"/>
          </w:rPr>
          <w:t xml:space="preserve">Figure 9</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21" w:name="fig-zi-plot"/>
    <w:p>
      <w:pPr>
        <w:pStyle w:val="FigureTitle"/>
      </w:pPr>
      <w:r>
        <w:t xml:space="preserve">Figure 9</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9" name="Picture"/>
            <a:graphic>
              <a:graphicData uri="http://schemas.openxmlformats.org/drawingml/2006/picture">
                <pic:pic>
                  <pic:nvPicPr>
                    <pic:cNvPr descr="ms_files/figure-docx/fig-zi-plot-1.png" id="120" name="Picture"/>
                    <pic:cNvPicPr>
                      <a:picLocks noChangeArrowheads="1" noChangeAspect="1"/>
                    </pic:cNvPicPr>
                  </pic:nvPicPr>
                  <pic:blipFill>
                    <a:blip r:embed="rId118"/>
                    <a:stretch>
                      <a:fillRect/>
                    </a:stretch>
                  </pic:blipFill>
                  <pic:spPr bwMode="auto">
                    <a:xfrm>
                      <a:off x="0" y="0"/>
                      <a:ext cx="5504749" cy="4403799"/>
                    </a:xfrm>
                    <a:prstGeom prst="rect">
                      <a:avLst/>
                    </a:prstGeom>
                    <a:noFill/>
                    <a:ln w="9525">
                      <a:noFill/>
                      <a:headEnd/>
                      <a:tailEnd/>
                    </a:ln>
                  </pic:spPr>
                </pic:pic>
              </a:graphicData>
            </a:graphic>
          </wp:inline>
        </w:drawing>
      </w:r>
    </w:p>
    <w:bookmarkEnd w:id="121"/>
    <w:bookmarkEnd w:id="122"/>
    <w:bookmarkEnd w:id="123"/>
    <w:bookmarkStart w:id="133" w:name="zero-one-inflated-beta-zoib"/>
    <w:p>
      <w:pPr>
        <w:pStyle w:val="Heading2"/>
      </w:pPr>
      <w:r>
        <w:t xml:space="preserve">Zero-One-Inflated beta (ZOIB)</w:t>
      </w:r>
    </w:p>
    <w:p>
      <w:pPr>
        <w:pStyle w:val="FirstParagraph"/>
      </w:pPr>
      <w:r>
        <w:t xml:space="preserve">The ZIB model works well if you have 0s in your data, but not 1s.</w:t>
      </w:r>
      <w:r>
        <w:rPr>
          <w:rStyle w:val="FootnoteReference"/>
        </w:rPr>
        <w:footnoteReference w:id="124"/>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10</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8" w:name="fig-zoib"/>
    <w:p>
      <w:pPr>
        <w:pStyle w:val="FigureTitle"/>
      </w:pPr>
      <w:r>
        <w:t xml:space="preserve">Figure 10</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6" name="Picture"/>
            <a:graphic>
              <a:graphicData uri="http://schemas.openxmlformats.org/drawingml/2006/picture">
                <pic:pic>
                  <pic:nvPicPr>
                    <pic:cNvPr descr="ms_files/figure-docx/fig-zoib-1.png" id="127" name="Picture"/>
                    <pic:cNvPicPr>
                      <a:picLocks noChangeArrowheads="1" noChangeAspect="1"/>
                    </pic:cNvPicPr>
                  </pic:nvPicPr>
                  <pic:blipFill>
                    <a:blip r:embed="rId125"/>
                    <a:stretch>
                      <a:fillRect/>
                    </a:stretch>
                  </pic:blipFill>
                  <pic:spPr bwMode="auto">
                    <a:xfrm>
                      <a:off x="0" y="0"/>
                      <a:ext cx="5943600" cy="4754880"/>
                    </a:xfrm>
                    <a:prstGeom prst="rect">
                      <a:avLst/>
                    </a:prstGeom>
                    <a:noFill/>
                    <a:ln w="9525">
                      <a:noFill/>
                      <a:headEnd/>
                      <a:tailEnd/>
                    </a:ln>
                  </pic:spPr>
                </pic:pic>
              </a:graphicData>
            </a:graphic>
          </wp:inline>
        </w:drawing>
      </w:r>
    </w:p>
    <w:bookmarkEnd w:id="128"/>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14</w:t>
        </w:r>
      </w:hyperlink>
      <w:r>
        <w:t xml:space="preserve">). The summary of the output is in</w:t>
      </w:r>
      <w:r>
        <w:t xml:space="preserve"> </w:t>
      </w:r>
      <w:hyperlink w:anchor="tbl-all">
        <w:r>
          <w:rPr>
            <w:rStyle w:val="Hyperlink"/>
          </w:rPr>
          <w:t xml:space="preserve">Table 2</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9" w:name="lst-zoib"/>
          <w:p>
            <w:pPr>
              <w:jc w:val="center"/>
            </w:pPr>
            <w:pPr>
              <w:jc w:val="start"/>
              <w:spacing w:before="200"/>
              <w:pStyle w:val="ImageCaption"/>
            </w:pPr>
            <w:r>
              <w:t xml:space="preserve">Listing 14: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"bayes_zoib_model"</w:t>
            </w:r>
            <w:r>
              <w:br/>
            </w:r>
            <w:r>
              <w:rPr>
                <w:rStyle w:val="VerbatimChar"/>
              </w:rPr>
              <w:t xml:space="preserve">)</w:t>
            </w:r>
          </w:p>
          <w:bookmarkEnd w:id="129"/>
        </w:tc>
      </w:tr>
    </w:tbl>
    <w:bookmarkStart w:id="130"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30"/>
    <w:bookmarkStart w:id="132"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31" w:name="lst-coi"/>
          <w:p>
            <w:pPr>
              <w:jc w:val="center"/>
            </w:pPr>
            <w:pPr>
              <w:jc w:val="start"/>
              <w:spacing w:before="200"/>
              <w:pStyle w:val="ImageCaption"/>
            </w:pPr>
            <w:r>
              <w:t xml:space="preserve">Listing 15: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31"/>
        </w:tc>
      </w:tr>
    </w:tbl>
    <w:bookmarkEnd w:id="132"/>
    <w:bookmarkEnd w:id="133"/>
    <w:bookmarkStart w:id="153"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2</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4"/>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 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5"/>
      </w:r>
    </w:p>
    <w:bookmarkStart w:id="141" w:name="fitting-an-ordered-beta-regression"/>
    <w:p>
      <w:pPr>
        <w:pStyle w:val="Heading3"/>
      </w:pPr>
      <w:r>
        <w:t xml:space="preserve">Fitting an Ordered Beta Regression</w:t>
      </w:r>
    </w:p>
    <w:p>
      <w:pPr>
        <w:pStyle w:val="FirstParagraph"/>
      </w:pPr>
      <w:r>
        <w:t xml:space="preserve">To fit an ordered beta regression in a Bayesian context we use the</w:t>
      </w:r>
      <w:r>
        <w:t xml:space="preserve"> </w:t>
      </w:r>
      <w:r>
        <w:rPr>
          <w:rStyle w:val="VerbatimChar"/>
        </w:rPr>
        <w:t xml:space="preserve">ordbetareg</w:t>
      </w:r>
      <w:r>
        <w:t xml:space="preserve"> </w:t>
      </w:r>
      <w:r>
        <w:t xml:space="preserve">(Kubinec, 2023)</w:t>
      </w:r>
      <w:r>
        <w:t xml:space="preserve"> </w:t>
      </w:r>
      <w:r>
        <w:t xml:space="preserve">package.</w:t>
      </w:r>
      <w:r>
        <w:t xml:space="preserve"> </w:t>
      </w:r>
      <w:r>
        <w:rPr>
          <w:rStyle w:val="VerbatimChar"/>
        </w:rPr>
        <w:t xml:space="preserve">ordbetareg</w:t>
      </w:r>
      <w:r>
        <w:t xml:space="preserve"> </w:t>
      </w:r>
      <w:r>
        <w:t xml:space="preserve">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w:t>
      </w:r>
      <w:r>
        <w:t xml:space="preserve"> </w:t>
      </w:r>
      <w:r>
        <w:rPr>
          <w:rStyle w:val="VerbatimChar"/>
        </w:rPr>
        <w:t xml:space="preserve">ordbetareg</w:t>
      </w:r>
      <w:r>
        <w:t xml:space="preserve"> </w:t>
      </w:r>
      <w:r>
        <w:t xml:space="preserve">models. (We note that the</w:t>
      </w:r>
      <w:r>
        <w:t xml:space="preserve"> </w:t>
      </w:r>
      <w:r>
        <w:rPr>
          <w:rStyle w:val="VerbatimChar"/>
        </w:rPr>
        <w:t xml:space="preserve">ordbeta</w:t>
      </w:r>
      <w:r>
        <w:t xml:space="preserve"> </w:t>
      </w:r>
      <w:r>
        <w:t xml:space="preserve">model is also available as a maximum-likelihood variant in the R package</w:t>
      </w:r>
      <w:r>
        <w:t xml:space="preserve"> </w:t>
      </w:r>
      <w:r>
        <w:rPr>
          <w:rStyle w:val="VerbatimChar"/>
        </w:rPr>
        <w:t xml:space="preserve">glmmTMB</w:t>
      </w:r>
      <w:r>
        <w:t xml:space="preserve">.) We first load the</w:t>
      </w:r>
      <w:r>
        <w:t xml:space="preserve"> </w:t>
      </w:r>
      <w:r>
        <w:rPr>
          <w:rStyle w:val="VerbatimChar"/>
        </w:rPr>
        <w:t xml:space="preserve">ordbetareg</w:t>
      </w:r>
      <w:r>
        <w:t xml:space="preserve"> </w:t>
      </w:r>
      <w:r>
        <w:t xml:space="preserve">package (see</w:t>
      </w:r>
      <w:r>
        <w:t xml:space="preserve"> </w:t>
      </w:r>
      <w:hyperlink w:anchor="lst-ordbeta">
        <w:r>
          <w:rPr>
            <w:rStyle w:val="Hyperlink"/>
          </w:rPr>
          <w:t xml:space="preserve">Listing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6" w:name="lst-ordbeta"/>
          <w:p>
            <w:pPr>
              <w:jc w:val="center"/>
            </w:pPr>
            <w:pPr>
              <w:jc w:val="start"/>
              <w:spacing w:before="200"/>
              <w:pStyle w:val="ImageCaption"/>
            </w:pPr>
            <w:r>
              <w:t xml:space="preserve">Listing 16: Load</w:t>
            </w:r>
            <w:r>
              <w:t xml:space="preserve"> </w:t>
            </w:r>
            <w:r>
              <w:rPr>
                <w:rStyle w:val="VerbatimChar"/>
              </w:rPr>
              <w:t xml:space="preserve">ordbetareg</w:t>
            </w:r>
          </w:p>
          <w:p>
            <w:pPr>
              <w:pStyle w:val="SourceCode"/>
              <w:jc w:val="center"/>
            </w:pPr>
            <w:r>
              <w:rPr>
                <w:rStyle w:val="VerbatimChar"/>
              </w:rPr>
              <w:t xml:space="preserve">library(ordbetareg)</w:t>
            </w:r>
          </w:p>
          <w:bookmarkEnd w:id="136"/>
        </w:tc>
      </w:tr>
    </w:tbl>
    <w:p>
      <w:pPr>
        <w:pStyle w:val="FirstParagraph"/>
      </w:pPr>
      <w:r>
        <w:t xml:space="preserve">The</w:t>
      </w:r>
      <w:r>
        <w:t xml:space="preserve"> </w:t>
      </w:r>
      <w:r>
        <w:rPr>
          <w:rStyle w:val="VerbatimChar"/>
        </w:rPr>
        <w:t xml:space="preserve">ordbetareg</w:t>
      </w:r>
      <w:r>
        <w:t xml:space="preserve"> </w:t>
      </w:r>
      <w:r>
        <w:t xml:space="preserve">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7" w:name="lst-fitordbeta"/>
          <w:p>
            <w:pPr>
              <w:jc w:val="center"/>
            </w:pPr>
            <w:pPr>
              <w:jc w:val="start"/>
              <w:spacing w:before="200"/>
              <w:pStyle w:val="ImageCaption"/>
            </w:pPr>
            <w:r>
              <w:t xml:space="preserve">Listing 17: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"bayes_ordbeta_model"</w:t>
            </w:r>
            <w:r>
              <w:br/>
            </w:r>
            <w:r>
              <w:rPr>
                <w:rStyle w:val="VerbatimChar"/>
              </w:rPr>
              <w:t xml:space="preserve">)</w:t>
            </w:r>
          </w:p>
          <w:bookmarkEnd w:id="137"/>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18</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8" w:name="lst-ordbetadisp"/>
          <w:p>
            <w:pPr>
              <w:jc w:val="center"/>
            </w:pPr>
            <w:pPr>
              <w:jc w:val="start"/>
              <w:spacing w:before="200"/>
              <w:pStyle w:val="ImageCaption"/>
            </w:pPr>
            <w:r>
              <w:t xml:space="preserve">Listing 18: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"bayes_ordbeta_phi_model"</w:t>
            </w:r>
            <w:r>
              <w:br/>
            </w:r>
            <w:r>
              <w:rPr>
                <w:rStyle w:val="VerbatimChar"/>
              </w:rPr>
              <w:t xml:space="preserve">)</w:t>
            </w:r>
          </w:p>
          <w:bookmarkEnd w:id="138"/>
        </w:tc>
      </w:tr>
    </w:tbl>
    <w:p>
      <w:pPr>
        <w:pStyle w:val="Heading4"/>
        <w:rPr>
          <w:vanish/>
          <w:specVanish/>
        </w:rPr>
      </w:pPr>
      <w:r>
        <w:t>Marginal Effects.</w:t>
      </w:r>
      <w:r>
        <w:t xml:space="preserve"> </w:t>
      </w:r>
    </w:p>
    <w:p>
      <w:pPr>
        <w:pStyle w:val="FirstParagraph"/>
      </w:pPr>
      <w:hyperlink w:anchor="tbl-all">
        <w:r>
          <w:rPr>
            <w:rStyle w:val="Hyperlink"/>
          </w:rPr>
          <w:t xml:space="preserve">Table 2</w:t>
        </w:r>
      </w:hyperlink>
      <w:r>
        <w:t xml:space="preserve"> </w:t>
      </w:r>
      <w:r>
        <w:t xml:space="preserve">presents the posterior summary. We can use {marginaleffects} to calculate differences on the response scale that average over (or marginalize over) all our parameters.</w:t>
      </w:r>
    </w:p>
    <w:bookmarkStart w:id="139" w:name="tbl-ordbeta"/>
    <w:p>
      <w:pPr>
        <w:pStyle w:val="FigureTitle"/>
      </w:pPr>
      <w:r>
        <w:t xml:space="preserve">Table 7</w:t>
      </w:r>
    </w:p>
    <w:p>
      <w:pPr>
        <w:pStyle w:val="Caption"/>
      </w:pPr>
      <w:r>
        <w:t xml:space="preserve">Marginal effect of fluency ordered beta model</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0.061</w:t>
            </w:r>
          </w:p>
        </w:tc>
        <w:tc>
          <w:tcPr/>
          <w:p>
            <w:pPr>
              <w:pStyle w:val="Compact"/>
            </w:pPr>
            <w:r>
              <w:t xml:space="preserve">[-0.017, 0.136]</w:t>
            </w:r>
          </w:p>
        </w:tc>
      </w:tr>
    </w:tbl>
    <w:bookmarkEnd w:id="139"/>
    <w:p>
      <w:pPr>
        <w:pStyle w:val="AfterWithoutNote"/>
      </w:pPr>
      <w:r>
        <w:t xml:space="preserve">In</w:t>
      </w:r>
      <w:r>
        <w:t xml:space="preserve"> </w:t>
      </w:r>
      <w:hyperlink w:anchor="tbl-ordbeta">
        <w:r>
          <w:rPr>
            <w:rStyle w:val="Hyperlink"/>
          </w:rPr>
          <w:t xml:space="preserve">Table 7</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40" w:name="tbl-cutpoints"/>
    <w:p>
      <w:pPr>
        <w:pStyle w:val="FigureTitle"/>
      </w:pPr>
      <w:r>
        <w:t xml:space="preserve">Table 8</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[-3.59, -2.42]</w:t>
            </w:r>
          </w:p>
        </w:tc>
      </w:tr>
      <w:tr>
        <w:tc>
          <w:tcPr/>
          <w:p>
            <w:pPr>
              <w:pStyle w:val="Compact"/>
            </w:pPr>
            <w:r>
              <w:t xml:space="preserve">cutone</w:t>
            </w:r>
          </w:p>
        </w:tc>
        <w:tc>
          <w:tcPr/>
          <w:p>
            <w:pPr>
              <w:pStyle w:val="Compact"/>
            </w:pPr>
            <w:r>
              <w:t xml:space="preserve">1.85</w:t>
            </w:r>
          </w:p>
        </w:tc>
        <w:tc>
          <w:tcPr/>
          <w:p>
            <w:pPr>
              <w:pStyle w:val="Compact"/>
            </w:pPr>
            <w:r>
              <w:t xml:space="preserve">[1.65, 2.08]</w:t>
            </w:r>
          </w:p>
        </w:tc>
      </w:tr>
    </w:tbl>
    <w:bookmarkEnd w:id="140"/>
    <w:p>
      <w:pPr>
        <w:pStyle w:val="AfterWithoutNote"/>
      </w:pPr>
      <w:r>
        <w:t xml:space="preserve">In</w:t>
      </w:r>
      <w:r>
        <w:t xml:space="preserve"> </w:t>
      </w:r>
      <w:hyperlink w:anchor="tbl-cutpoints">
        <w:r>
          <w:rPr>
            <w:rStyle w:val="Hyperlink"/>
          </w:rPr>
          <w:t xml:space="preserve">Table 8</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you can test the influence of different factors on these boundaries.</w:t>
      </w:r>
    </w:p>
    <w:bookmarkEnd w:id="141"/>
    <w:bookmarkStart w:id="146"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w:t>
      </w:r>
      <w:r>
        <w:t xml:space="preserve"> </w:t>
      </w:r>
      <w:r>
        <w:rPr>
          <w:rStyle w:val="VerbatimChar"/>
        </w:rPr>
        <w:t xml:space="preserve">ordbetareg</w:t>
      </w:r>
      <w:r>
        <w:t xml:space="preserve"> </w:t>
      </w:r>
      <w:r>
        <w:t xml:space="preserve">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w:t>
      </w:r>
      <w:r>
        <w:t xml:space="preserve"> </w:t>
      </w:r>
      <w:r>
        <w:rPr>
          <w:rStyle w:val="VerbatimChar"/>
        </w:rPr>
        <w:t xml:space="preserve">ordbetareg</w:t>
      </w:r>
      <w:r>
        <w:t xml:space="preserve"> </w:t>
      </w:r>
      <w:r>
        <w:t xml:space="preserve">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w:t>
      </w:r>
      <w:r>
        <w:t xml:space="preserve"> </w:t>
      </w:r>
      <w:r>
        <w:rPr>
          <w:rStyle w:val="VerbatimChar"/>
        </w:rPr>
        <w:t xml:space="preserve">ggplot2</w:t>
      </w:r>
      <w:r>
        <w:t xml:space="preserve"> </w:t>
      </w:r>
      <w:r>
        <w:t xml:space="preserve">objects (see</w:t>
      </w:r>
      <w:r>
        <w:t xml:space="preserve"> </w:t>
      </w:r>
      <w:hyperlink w:anchor="fig-ppcheckord">
        <w:r>
          <w:rPr>
            <w:rStyle w:val="Hyperlink"/>
          </w:rPr>
          <w:t xml:space="preserve">Figure 11</w:t>
        </w:r>
      </w:hyperlink>
      <w:r>
        <w:t xml:space="preserve">).</w:t>
      </w:r>
    </w:p>
    <w:bookmarkStart w:id="145" w:name="fig-ppcheckord"/>
    <w:p>
      <w:pPr>
        <w:pStyle w:val="FigureTitle"/>
      </w:pPr>
      <w:r>
        <w:t xml:space="preserve">Figure 11</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3" name="Picture"/>
            <a:graphic>
              <a:graphicData uri="http://schemas.openxmlformats.org/drawingml/2006/picture">
                <pic:pic>
                  <pic:nvPicPr>
                    <pic:cNvPr descr="ms_files/figure-docx/fig-ppcheckord-1.png" id="144" name="Picture"/>
                    <pic:cNvPicPr>
                      <a:picLocks noChangeArrowheads="1" noChangeAspect="1"/>
                    </pic:cNvPicPr>
                  </pic:nvPicPr>
                  <pic:blipFill>
                    <a:blip r:embed="rId142"/>
                    <a:stretch>
                      <a:fillRect/>
                    </a:stretch>
                  </pic:blipFill>
                  <pic:spPr bwMode="auto">
                    <a:xfrm>
                      <a:off x="0" y="0"/>
                      <a:ext cx="5943600" cy="4754880"/>
                    </a:xfrm>
                    <a:prstGeom prst="rect">
                      <a:avLst/>
                    </a:prstGeom>
                    <a:noFill/>
                    <a:ln w="9525">
                      <a:noFill/>
                      <a:headEnd/>
                      <a:tailEnd/>
                    </a:ln>
                  </pic:spPr>
                </pic:pic>
              </a:graphicData>
            </a:graphic>
          </wp:inline>
        </w:drawing>
      </w:r>
    </w:p>
    <w:bookmarkEnd w:id="145"/>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6"/>
    <w:bookmarkStart w:id="151" w:name="model-visualization"/>
    <w:p>
      <w:pPr>
        <w:pStyle w:val="Heading3"/>
      </w:pPr>
      <w:r>
        <w:t xml:space="preserve">Model Visualization</w:t>
      </w:r>
    </w:p>
    <w:p>
      <w:pPr>
        <w:pStyle w:val="FirstParagraph"/>
      </w:pPr>
      <w:r>
        <w:rPr>
          <w:rStyle w:val="VerbatimChar"/>
        </w:rPr>
        <w:t xml:space="preserve">ordbetareg</w:t>
      </w:r>
      <w:r>
        <w:t xml:space="preserve"> </w:t>
      </w:r>
      <w:r>
        <w:t xml:space="preserve">provides a neat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12</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50" w:name="fig-heiss"/>
    <w:p>
      <w:pPr>
        <w:pStyle w:val="FigureTitle"/>
      </w:pPr>
      <w:r>
        <w:t xml:space="preserve">Figure 12</w:t>
      </w:r>
    </w:p>
    <w:p>
      <w:pPr>
        <w:pStyle w:val="Caption"/>
      </w:pPr>
      <w:r>
        <w:t xml:space="preserve">Heiss plot of predicted probabilities across the scale (0-100)</w:t>
      </w:r>
    </w:p>
    <w:p>
      <w:pPr>
        <w:pStyle w:val="FigureWithoutNote"/>
      </w:pPr>
      <w:r>
        <w:drawing>
          <wp:inline>
            <wp:extent cx="5504749" cy="4403799"/>
            <wp:effectExtent b="0" l="0" r="0" t="0"/>
            <wp:docPr descr="" title="" id="148" name="Picture"/>
            <a:graphic>
              <a:graphicData uri="http://schemas.openxmlformats.org/drawingml/2006/picture">
                <pic:pic>
                  <pic:nvPicPr>
                    <pic:cNvPr descr="ms_files/figure-docx/fig-heiss-1.png" id="149" name="Picture"/>
                    <pic:cNvPicPr>
                      <a:picLocks noChangeArrowheads="1" noChangeAspect="1"/>
                    </pic:cNvPicPr>
                  </pic:nvPicPr>
                  <pic:blipFill>
                    <a:blip r:embed="rId147"/>
                    <a:stretch>
                      <a:fillRect/>
                    </a:stretch>
                  </pic:blipFill>
                  <pic:spPr bwMode="auto">
                    <a:xfrm>
                      <a:off x="0" y="0"/>
                      <a:ext cx="5504749" cy="4403799"/>
                    </a:xfrm>
                    <a:prstGeom prst="rect">
                      <a:avLst/>
                    </a:prstGeom>
                    <a:noFill/>
                    <a:ln w="9525">
                      <a:noFill/>
                      <a:headEnd/>
                      <a:tailEnd/>
                    </a:ln>
                  </pic:spPr>
                </pic:pic>
              </a:graphicData>
            </a:graphic>
          </wp:inline>
        </w:drawing>
      </w:r>
    </w:p>
    <w:bookmarkEnd w:id="150"/>
    <w:bookmarkEnd w:id="151"/>
    <w:bookmarkStart w:id="152" w:name="ordered-beta-scale"/>
    <w:p>
      <w:pPr>
        <w:pStyle w:val="Heading3"/>
      </w:pPr>
      <w:r>
        <w:t xml:space="preserve">Ordered Beta Scale</w:t>
      </w:r>
    </w:p>
    <w:p>
      <w:pPr>
        <w:pStyle w:val="FirstParagraph"/>
      </w:pPr>
      <w:r>
        <w:t xml:space="preserve">In the</w:t>
      </w:r>
      <w:r>
        <w:t xml:space="preserve"> </w:t>
      </w:r>
      <w:r>
        <w:rPr>
          <w:rStyle w:val="VerbatimChar"/>
        </w:rPr>
        <w:t xml:space="preserve">ordbetareg</w:t>
      </w:r>
      <w:r>
        <w:t xml:space="preserve"> </w:t>
      </w:r>
      <w:r>
        <w:t xml:space="preserve">function there is a</w:t>
      </w:r>
      <w:r>
        <w:t xml:space="preserve"> </w:t>
      </w:r>
      <w:r>
        <w:rPr>
          <w:rStyle w:val="VerbatimChar"/>
        </w:rPr>
        <w:t xml:space="preserve">true_bound</w:t>
      </w:r>
      <w:r>
        <w:t xml:space="preserve"> </w:t>
      </w:r>
      <w:r>
        <w:t xml:space="preserve">argument. In cases where your data is not bounded between 0-1, you can use this argument to specify the bounds of the argument to fit the ordered beta regression. For example, you data might be bounded between 1 and 7. If so, you can model it as such and</w:t>
      </w:r>
      <w:r>
        <w:t xml:space="preserve"> </w:t>
      </w:r>
      <w:r>
        <w:rPr>
          <w:rStyle w:val="VerbatimChar"/>
        </w:rPr>
        <w:t xml:space="preserve">ordbetareg</w:t>
      </w:r>
      <w:r>
        <w:t xml:space="preserve"> </w:t>
      </w:r>
      <w:r>
        <w:t xml:space="preserve">will convert the model predictions back to the true bounds after estimation.</w:t>
      </w:r>
    </w:p>
    <w:bookmarkEnd w:id="152"/>
    <w:bookmarkEnd w:id="153"/>
    <w:bookmarkEnd w:id="154"/>
    <w:bookmarkStart w:id="156"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5"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5"/>
    <w:bookmarkEnd w:id="156"/>
    <w:bookmarkStart w:id="268" w:name="references"/>
    <w:p>
      <w:pPr>
        <w:pStyle w:val="Heading1"/>
      </w:pPr>
      <w:r>
        <w:t xml:space="preserve">References</w:t>
      </w:r>
    </w:p>
    <w:bookmarkStart w:id="267" w:name="refs"/>
    <w:bookmarkStart w:id="158"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7">
        <w:r>
          <w:rPr>
            <w:rStyle w:val="Hyperlink"/>
          </w:rPr>
          <w:t xml:space="preserve">https://CRAN.R-project.org/package=marginaleffects</w:t>
        </w:r>
      </w:hyperlink>
    </w:p>
    <w:bookmarkEnd w:id="158"/>
    <w:bookmarkStart w:id="160"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59">
        <w:r>
          <w:rPr>
            <w:rStyle w:val="Hyperlink"/>
          </w:rPr>
          <w:t xml:space="preserve">https://doi.org/10.18637/jss.v111.i09</w:t>
        </w:r>
      </w:hyperlink>
    </w:p>
    <w:bookmarkEnd w:id="160"/>
    <w:bookmarkStart w:id="162"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1">
        <w:r>
          <w:rPr>
            <w:rStyle w:val="Hyperlink"/>
          </w:rPr>
          <w:t xml:space="preserve">https://doi.org/10.2307/2983678</w:t>
        </w:r>
      </w:hyperlink>
    </w:p>
    <w:bookmarkEnd w:id="162"/>
    <w:bookmarkStart w:id="164"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3">
        <w:r>
          <w:rPr>
            <w:rStyle w:val="Hyperlink"/>
          </w:rPr>
          <w:t xml:space="preserve">https://doi.org/10.1037/met0000553</w:t>
        </w:r>
      </w:hyperlink>
    </w:p>
    <w:bookmarkEnd w:id="164"/>
    <w:bookmarkStart w:id="166"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5">
        <w:r>
          <w:rPr>
            <w:rStyle w:val="Hyperlink"/>
          </w:rPr>
          <w:t xml:space="preserve">https://doi.org/10.32614/RJ-2017-066</w:t>
        </w:r>
      </w:hyperlink>
    </w:p>
    <w:bookmarkEnd w:id="166"/>
    <w:bookmarkStart w:id="168"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7">
        <w:r>
          <w:rPr>
            <w:rStyle w:val="Hyperlink"/>
          </w:rPr>
          <w:t xml:space="preserve">https://doi.org/10.18637/jss.v080.i01</w:t>
        </w:r>
      </w:hyperlink>
    </w:p>
    <w:bookmarkEnd w:id="168"/>
    <w:bookmarkStart w:id="170"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69">
        <w:r>
          <w:rPr>
            <w:rStyle w:val="Hyperlink"/>
          </w:rPr>
          <w:t xml:space="preserve">https://mc-stan.org/posterior/</w:t>
        </w:r>
      </w:hyperlink>
    </w:p>
    <w:bookmarkEnd w:id="170"/>
    <w:bookmarkStart w:id="172"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1">
        <w:r>
          <w:rPr>
            <w:rStyle w:val="Hyperlink"/>
          </w:rPr>
          <w:t xml:space="preserve">https://doi.org/10.1177/2515245918823199</w:t>
        </w:r>
      </w:hyperlink>
    </w:p>
    <w:bookmarkEnd w:id="172"/>
    <w:bookmarkStart w:id="174"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3">
        <w:r>
          <w:rPr>
            <w:rStyle w:val="Hyperlink"/>
          </w:rPr>
          <w:t xml:space="preserve">https://doi.org/10.3758/s13423-013-0442-z</w:t>
        </w:r>
      </w:hyperlink>
    </w:p>
    <w:bookmarkEnd w:id="174"/>
    <w:bookmarkStart w:id="175"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5"/>
    <w:bookmarkStart w:id="177"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6">
        <w:r>
          <w:rPr>
            <w:rStyle w:val="Hyperlink"/>
          </w:rPr>
          <w:t xml:space="preserve">https://doi.org/10.31219/osf.io/f9rqg_v1</w:t>
        </w:r>
      </w:hyperlink>
      <w:r>
        <w:t xml:space="preserve">.</w:t>
      </w:r>
    </w:p>
    <w:bookmarkEnd w:id="177"/>
    <w:bookmarkStart w:id="179"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8">
        <w:r>
          <w:rPr>
            <w:rStyle w:val="Hyperlink"/>
          </w:rPr>
          <w:t xml:space="preserve">https://doi.org/10.1126/science.adq1814</w:t>
        </w:r>
      </w:hyperlink>
    </w:p>
    <w:bookmarkEnd w:id="179"/>
    <w:bookmarkStart w:id="181"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0">
        <w:r>
          <w:rPr>
            <w:rStyle w:val="Hyperlink"/>
          </w:rPr>
          <w:t xml:space="preserve">https://doi.org/10.18637/jss.v034.i02</w:t>
        </w:r>
      </w:hyperlink>
    </w:p>
    <w:bookmarkEnd w:id="181"/>
    <w:bookmarkStart w:id="183"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2">
        <w:r>
          <w:rPr>
            <w:rStyle w:val="Hyperlink"/>
          </w:rPr>
          <w:t xml:space="preserve">https://nixos.org/</w:t>
        </w:r>
      </w:hyperlink>
    </w:p>
    <w:bookmarkEnd w:id="183"/>
    <w:bookmarkStart w:id="185"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4">
        <w:r>
          <w:rPr>
            <w:rStyle w:val="Hyperlink"/>
          </w:rPr>
          <w:t xml:space="preserve">https://doi.org/10.1080/0266476042000214501</w:t>
        </w:r>
      </w:hyperlink>
    </w:p>
    <w:bookmarkEnd w:id="185"/>
    <w:bookmarkStart w:id="187"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6">
        <w:r>
          <w:rPr>
            <w:rStyle w:val="Hyperlink"/>
          </w:rPr>
          <w:t xml:space="preserve">https://doi.org/10.1007/s11121-021-01302-y</w:t>
        </w:r>
      </w:hyperlink>
    </w:p>
    <w:bookmarkEnd w:id="187"/>
    <w:bookmarkStart w:id="189"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8">
        <w:r>
          <w:rPr>
            <w:rStyle w:val="Hyperlink"/>
          </w:rPr>
          <w:t xml:space="preserve">https://mc-stan.org/cmdstanr/</w:t>
        </w:r>
      </w:hyperlink>
    </w:p>
    <w:bookmarkEnd w:id="189"/>
    <w:bookmarkStart w:id="191"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0">
        <w:r>
          <w:rPr>
            <w:rStyle w:val="Hyperlink"/>
          </w:rPr>
          <w:t xml:space="preserve">https://stat.columbia.edu/~gelman/book/</w:t>
        </w:r>
      </w:hyperlink>
    </w:p>
    <w:bookmarkEnd w:id="191"/>
    <w:bookmarkStart w:id="193"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2">
        <w:r>
          <w:rPr>
            <w:rStyle w:val="Hyperlink"/>
          </w:rPr>
          <w:t xml:space="preserve">http://dx.doi.org/10.59350/7p1a4-0tw75</w:t>
        </w:r>
      </w:hyperlink>
    </w:p>
    <w:bookmarkEnd w:id="193"/>
    <w:bookmarkStart w:id="195"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4">
        <w:r>
          <w:rPr>
            <w:rStyle w:val="Hyperlink"/>
          </w:rPr>
          <w:t xml:space="preserve">https://doi.org/10.1525/collabra.140755</w:t>
        </w:r>
      </w:hyperlink>
    </w:p>
    <w:bookmarkEnd w:id="195"/>
    <w:bookmarkStart w:id="196"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6"/>
    <w:bookmarkStart w:id="198"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197">
        <w:r>
          <w:rPr>
            <w:rStyle w:val="Hyperlink"/>
          </w:rPr>
          <w:t xml:space="preserve">https://doi.org/10.1016/j.wocn.2016.08.006</w:t>
        </w:r>
      </w:hyperlink>
    </w:p>
    <w:bookmarkEnd w:id="198"/>
    <w:bookmarkStart w:id="200"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199">
        <w:r>
          <w:rPr>
            <w:rStyle w:val="Hyperlink"/>
          </w:rPr>
          <w:t xml:space="preserve">https://doi.org/10.1111/j.1467-9280.2008.02127.x</w:t>
        </w:r>
      </w:hyperlink>
    </w:p>
    <w:bookmarkEnd w:id="200"/>
    <w:bookmarkStart w:id="202"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1">
        <w:r>
          <w:rPr>
            <w:rStyle w:val="Hyperlink"/>
          </w:rPr>
          <w:t xml:space="preserve">https://doi.org/10.1093/jrsssc/qlaf039</w:t>
        </w:r>
      </w:hyperlink>
    </w:p>
    <w:bookmarkEnd w:id="202"/>
    <w:bookmarkStart w:id="203"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3"/>
    <w:bookmarkStart w:id="205"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4">
        <w:r>
          <w:rPr>
            <w:rStyle w:val="Hyperlink"/>
          </w:rPr>
          <w:t xml:space="preserve">https://doi.org/10.1177/2515245918771304</w:t>
        </w:r>
      </w:hyperlink>
    </w:p>
    <w:bookmarkEnd w:id="205"/>
    <w:bookmarkStart w:id="207"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06">
        <w:r>
          <w:rPr>
            <w:rStyle w:val="Hyperlink"/>
          </w:rPr>
          <w:t xml:space="preserve">https://doi.org/10.1017/pan.2022.20</w:t>
        </w:r>
      </w:hyperlink>
    </w:p>
    <w:bookmarkEnd w:id="207"/>
    <w:bookmarkStart w:id="209"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08">
        <w:r>
          <w:rPr>
            <w:rStyle w:val="Hyperlink"/>
          </w:rPr>
          <w:t xml:space="preserve">https://CRAN.R-project.org/package=ordbetareg</w:t>
        </w:r>
      </w:hyperlink>
    </w:p>
    <w:bookmarkEnd w:id="209"/>
    <w:bookmarkStart w:id="211"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0">
        <w:r>
          <w:rPr>
            <w:rStyle w:val="Hyperlink"/>
          </w:rPr>
          <w:t xml:space="preserve">https://doi.org/10.32614/CRAN.package.emmeans</w:t>
        </w:r>
      </w:hyperlink>
    </w:p>
    <w:bookmarkEnd w:id="211"/>
    <w:bookmarkStart w:id="213"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2">
        <w:r>
          <w:rPr>
            <w:rStyle w:val="Hyperlink"/>
          </w:rPr>
          <w:t xml:space="preserve">https://doi.org/10.32614/rj-2015-019</w:t>
        </w:r>
      </w:hyperlink>
    </w:p>
    <w:bookmarkEnd w:id="213"/>
    <w:bookmarkStart w:id="215"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4">
        <w:r>
          <w:rPr>
            <w:rStyle w:val="Hyperlink"/>
          </w:rPr>
          <w:t xml:space="preserve">https://easystats.github.io/easystats/</w:t>
        </w:r>
      </w:hyperlink>
    </w:p>
    <w:bookmarkEnd w:id="215"/>
    <w:bookmarkStart w:id="217"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16">
        <w:r>
          <w:rPr>
            <w:rStyle w:val="Hyperlink"/>
          </w:rPr>
          <w:t xml:space="preserve">https://doi.org/10.3389/fpsyg.2019.02767</w:t>
        </w:r>
      </w:hyperlink>
    </w:p>
    <w:bookmarkEnd w:id="217"/>
    <w:bookmarkStart w:id="219"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18">
        <w:r>
          <w:rPr>
            <w:rStyle w:val="Hyperlink"/>
          </w:rPr>
          <w:t xml:space="preserve">https://doi.org/10.21105/joss.01541</w:t>
        </w:r>
      </w:hyperlink>
    </w:p>
    <w:bookmarkEnd w:id="219"/>
    <w:bookmarkStart w:id="221"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0">
        <w:r>
          <w:rPr>
            <w:rStyle w:val="Hyperlink"/>
          </w:rPr>
          <w:t xml:space="preserve">https://doi.org/10.31234/osf.io/z68v3_v1</w:t>
        </w:r>
      </w:hyperlink>
    </w:p>
    <w:bookmarkEnd w:id="221"/>
    <w:bookmarkStart w:id="223"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2">
        <w:r>
          <w:rPr>
            <w:rStyle w:val="Hyperlink"/>
          </w:rPr>
          <w:t xml:space="preserve">https://doi.org/10.1177/0013164416669201</w:t>
        </w:r>
      </w:hyperlink>
    </w:p>
    <w:bookmarkEnd w:id="223"/>
    <w:bookmarkStart w:id="225"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4">
        <w:r>
          <w:rPr>
            <w:rStyle w:val="Hyperlink"/>
          </w:rPr>
          <w:t xml:space="preserve">https://doi.org/10.1098/rsos.231713</w:t>
        </w:r>
      </w:hyperlink>
    </w:p>
    <w:bookmarkEnd w:id="225"/>
    <w:bookmarkStart w:id="227"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26">
        <w:r>
          <w:rPr>
            <w:rStyle w:val="Hyperlink"/>
          </w:rPr>
          <w:t xml:space="preserve">https://doi.org/10.1080/00273171.2020.1868966</w:t>
        </w:r>
      </w:hyperlink>
    </w:p>
    <w:bookmarkEnd w:id="227"/>
    <w:bookmarkStart w:id="229"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28">
        <w:r>
          <w:rPr>
            <w:rStyle w:val="Hyperlink"/>
          </w:rPr>
          <w:t xml:space="preserve">https://doi.org/10.1201/9780429029608</w:t>
        </w:r>
      </w:hyperlink>
    </w:p>
    <w:bookmarkEnd w:id="229"/>
    <w:bookmarkStart w:id="231"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0">
        <w:r>
          <w:rPr>
            <w:rStyle w:val="Hyperlink"/>
          </w:rPr>
          <w:t xml:space="preserve">https://doi.org/10.2307/2344614</w:t>
        </w:r>
      </w:hyperlink>
    </w:p>
    <w:bookmarkEnd w:id="231"/>
    <w:bookmarkStart w:id="233"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2">
        <w:r>
          <w:rPr>
            <w:rStyle w:val="Hyperlink"/>
          </w:rPr>
          <w:t xml:space="preserve">https://www.sciencedirect.com/science/article/pii/S0048969723041505</w:t>
        </w:r>
      </w:hyperlink>
    </w:p>
    <w:bookmarkEnd w:id="233"/>
    <w:bookmarkStart w:id="235"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4">
        <w:r>
          <w:rPr>
            <w:rStyle w:val="Hyperlink"/>
          </w:rPr>
          <w:t xml:space="preserve">https://doi.org/10.1093/oxfordjournals.pan.a004873</w:t>
        </w:r>
      </w:hyperlink>
    </w:p>
    <w:bookmarkEnd w:id="235"/>
    <w:bookmarkStart w:id="237"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36">
        <w:r>
          <w:rPr>
            <w:rStyle w:val="Hyperlink"/>
          </w:rPr>
          <w:t xml:space="preserve">https://www.R-project.org/</w:t>
        </w:r>
      </w:hyperlink>
    </w:p>
    <w:bookmarkEnd w:id="237"/>
    <w:bookmarkStart w:id="238"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38"/>
    <w:bookmarkStart w:id="240"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39">
        <w:r>
          <w:rPr>
            <w:rStyle w:val="Hyperlink"/>
          </w:rPr>
          <w:t xml:space="preserve">https://docs.ropensci.org/rix/</w:t>
        </w:r>
      </w:hyperlink>
    </w:p>
    <w:bookmarkEnd w:id="240"/>
    <w:bookmarkStart w:id="242"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1">
        <w:r>
          <w:rPr>
            <w:rStyle w:val="Hyperlink"/>
          </w:rPr>
          <w:t xml:space="preserve">https://doi.org/10.31234/osf.io/g4s2a_v1</w:t>
        </w:r>
      </w:hyperlink>
    </w:p>
    <w:bookmarkEnd w:id="242"/>
    <w:bookmarkStart w:id="244"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43">
        <w:r>
          <w:rPr>
            <w:rStyle w:val="Hyperlink"/>
          </w:rPr>
          <w:t xml:space="preserve">https://doi.org/10.1177/08902070241239834</w:t>
        </w:r>
      </w:hyperlink>
    </w:p>
    <w:bookmarkEnd w:id="244"/>
    <w:bookmarkStart w:id="246"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45">
        <w:r>
          <w:rPr>
            <w:rStyle w:val="Hyperlink"/>
          </w:rPr>
          <w:t xml:space="preserve">https://doi.org/10.31234/osf.io/4rznt</w:t>
        </w:r>
      </w:hyperlink>
    </w:p>
    <w:bookmarkEnd w:id="246"/>
    <w:bookmarkStart w:id="248"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47">
        <w:r>
          <w:rPr>
            <w:rStyle w:val="Hyperlink"/>
          </w:rPr>
          <w:t xml:space="preserve">https://doi.org/10.1001/jamanetworkopen.2023.53401</w:t>
        </w:r>
      </w:hyperlink>
    </w:p>
    <w:bookmarkEnd w:id="248"/>
    <w:bookmarkStart w:id="250"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49">
        <w:r>
          <w:rPr>
            <w:rStyle w:val="Hyperlink"/>
          </w:rPr>
          <w:t xml:space="preserve">https://doi.org/10.1037/1082-989x.11.1.54</w:t>
        </w:r>
      </w:hyperlink>
    </w:p>
    <w:bookmarkEnd w:id="250"/>
    <w:bookmarkStart w:id="252"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1">
        <w:r>
          <w:rPr>
            <w:rStyle w:val="Hyperlink"/>
          </w:rPr>
          <w:t xml:space="preserve">https://mc-stan.org</w:t>
        </w:r>
      </w:hyperlink>
    </w:p>
    <w:bookmarkEnd w:id="252"/>
    <w:bookmarkStart w:id="254"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53">
        <w:r>
          <w:rPr>
            <w:rStyle w:val="Hyperlink"/>
          </w:rPr>
          <w:t xml:space="preserve">https://doi.org/10.1007/s11409-017-9175-0</w:t>
        </w:r>
      </w:hyperlink>
    </w:p>
    <w:bookmarkEnd w:id="254"/>
    <w:bookmarkStart w:id="256" w:name="ref-vuorre2019"/>
    <w:p>
      <w:pPr>
        <w:pStyle w:val="Bibliography"/>
      </w:pPr>
      <w:r>
        <w:t xml:space="preserve">Vuorre, M. (2019, February 18).</w:t>
      </w:r>
      <w:r>
        <w:t xml:space="preserve"> </w:t>
      </w:r>
      <w:r>
        <w:rPr>
          <w:i/>
          <w:iCs/>
        </w:rPr>
        <w:t xml:space="preserve">How to Analyze Visual Analog (Slider) Scale Data?</w:t>
      </w:r>
      <w:r>
        <w:t xml:space="preserve"> </w:t>
      </w:r>
      <w:hyperlink r:id="rId255">
        <w:r>
          <w:rPr>
            <w:rStyle w:val="Hyperlink"/>
          </w:rPr>
          <w:t xml:space="preserve">https://vuorre.com/posts/2019-02-18-analyze-analog-scale-ratings-with-zero-one-inflated-beta-models</w:t>
        </w:r>
      </w:hyperlink>
    </w:p>
    <w:bookmarkEnd w:id="256"/>
    <w:bookmarkStart w:id="258"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57">
        <w:r>
          <w:rPr>
            <w:rStyle w:val="Hyperlink"/>
          </w:rPr>
          <w:t xml:space="preserve">https://r4ds.hadley.nz/</w:t>
        </w:r>
      </w:hyperlink>
    </w:p>
    <w:bookmarkEnd w:id="258"/>
    <w:bookmarkStart w:id="260"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59">
        <w:r>
          <w:rPr>
            <w:rStyle w:val="Hyperlink"/>
          </w:rPr>
          <w:t xml:space="preserve">https://doi.org/10.1002/acp.3724</w:t>
        </w:r>
      </w:hyperlink>
    </w:p>
    <w:bookmarkEnd w:id="260"/>
    <w:bookmarkStart w:id="262"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1">
        <w:r>
          <w:rPr>
            <w:rStyle w:val="Hyperlink"/>
          </w:rPr>
          <w:t xml:space="preserve">https://doi.org/10.1111/gcb.17422</w:t>
        </w:r>
      </w:hyperlink>
    </w:p>
    <w:bookmarkEnd w:id="262"/>
    <w:bookmarkStart w:id="264"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63">
        <w:r>
          <w:rPr>
            <w:rStyle w:val="Hyperlink"/>
          </w:rPr>
          <w:t xml:space="preserve">https://doi.org/10.1037/mac0000003</w:t>
        </w:r>
      </w:hyperlink>
    </w:p>
    <w:bookmarkEnd w:id="264"/>
    <w:bookmarkStart w:id="266"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65">
        <w:r>
          <w:rPr>
            <w:rStyle w:val="Hyperlink"/>
          </w:rPr>
          <w:t xml:space="preserve">https://stats.andrewheiss.com/compassionate-clam/manuscript/output/manuscript.html</w:t>
        </w:r>
      </w:hyperlink>
    </w:p>
    <w:bookmarkEnd w:id="266"/>
    <w:bookmarkEnd w:id="267"/>
    <w:sectPr>
      <w:lnNumType w:countBy="1" w:restart="continuous"/>
    </w:sectPr>
    <w:bookmarkEnd w:id="268"/>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7">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9">
    <w:p>
      <w:pPr>
        <w:pStyle w:val="FootnoteText"/>
      </w:pPr>
      <w:r>
        <w:rPr>
          <w:rStyle w:val="FootnoteReference"/>
        </w:rPr>
        <w:footnoteRef/>
      </w:r>
      <w:r>
        <w:t xml:space="preserve"> </w:t>
      </w:r>
      <w:r>
        <w:t xml:space="preserve">Technically, this maximum entropy condition is satisfied because the beta(1,1) distribution is uniform over its support.</w:t>
      </w:r>
    </w:p>
  </w:footnote>
  <w:footnote w:id="70">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1">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24">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4">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5">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0" Target="media/rId50.png" /><Relationship Type="http://schemas.openxmlformats.org/officeDocument/2006/relationships/image" Id="rId101" Target="media/rId101.png" /><Relationship Type="http://schemas.openxmlformats.org/officeDocument/2006/relationships/image" Id="rId66" Target="media/rId66.png" /><Relationship Type="http://schemas.openxmlformats.org/officeDocument/2006/relationships/image" Id="rId147" Target="media/rId147.png" /><Relationship Type="http://schemas.openxmlformats.org/officeDocument/2006/relationships/image" Id="rId57" Target="media/rId57.png" /><Relationship Type="http://schemas.openxmlformats.org/officeDocument/2006/relationships/image" Id="rId92" Target="media/rId92.png" /><Relationship Type="http://schemas.openxmlformats.org/officeDocument/2006/relationships/image" Id="rId82" Target="media/rId82.png" /><Relationship Type="http://schemas.openxmlformats.org/officeDocument/2006/relationships/image" Id="rId142" Target="media/rId142.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08" Target="https://CRAN.R-project.org/package=ordbetareg" TargetMode="External" /><Relationship Type="http://schemas.openxmlformats.org/officeDocument/2006/relationships/hyperlink" Id="rId239" Target="https://docs.ropensci.org/rix/" TargetMode="External" /><Relationship Type="http://schemas.openxmlformats.org/officeDocument/2006/relationships/hyperlink" Id="rId247" Target="https://doi.org/10.1001/jamanetworkopen.2023.53401" TargetMode="External" /><Relationship Type="http://schemas.openxmlformats.org/officeDocument/2006/relationships/hyperlink" Id="rId259"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3" Target="https://doi.org/10.1007/s11409-017-9175-0" TargetMode="External" /><Relationship Type="http://schemas.openxmlformats.org/officeDocument/2006/relationships/hyperlink" Id="rId197" Target="https://doi.org/10.1016/j.wocn.2016.08.006" TargetMode="External" /><Relationship Type="http://schemas.openxmlformats.org/officeDocument/2006/relationships/hyperlink" Id="rId206" Target="https://doi.org/10.1017/pan.2022.20" TargetMode="External" /><Relationship Type="http://schemas.openxmlformats.org/officeDocument/2006/relationships/hyperlink" Id="rId249" Target="https://doi.org/10.1037/1082-989x.11.1.54" TargetMode="External" /><Relationship Type="http://schemas.openxmlformats.org/officeDocument/2006/relationships/hyperlink" Id="rId263"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26"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1" Target="https://doi.org/10.1093/jrsssc/qlaf039" TargetMode="External" /><Relationship Type="http://schemas.openxmlformats.org/officeDocument/2006/relationships/hyperlink" Id="rId234" Target="https://doi.org/10.1093/oxfordjournals.pan.a004873" TargetMode="External" /><Relationship Type="http://schemas.openxmlformats.org/officeDocument/2006/relationships/hyperlink" Id="rId224" Target="https://doi.org/10.1098/rsos.231713" TargetMode="External" /><Relationship Type="http://schemas.openxmlformats.org/officeDocument/2006/relationships/hyperlink" Id="rId261" Target="https://doi.org/10.1111/gcb.17422" TargetMode="External" /><Relationship Type="http://schemas.openxmlformats.org/officeDocument/2006/relationships/hyperlink" Id="rId199"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2" Target="https://doi.org/10.1177/0013164416669201" TargetMode="External" /><Relationship Type="http://schemas.openxmlformats.org/officeDocument/2006/relationships/hyperlink" Id="rId243" Target="https://doi.org/10.1177/08902070241239834" TargetMode="External" /><Relationship Type="http://schemas.openxmlformats.org/officeDocument/2006/relationships/hyperlink" Id="rId204"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28"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18" Target="https://doi.org/10.21105/joss.01541" TargetMode="External" /><Relationship Type="http://schemas.openxmlformats.org/officeDocument/2006/relationships/hyperlink" Id="rId230"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45" Target="https://doi.org/10.31234/osf.io/4rznt" TargetMode="External" /><Relationship Type="http://schemas.openxmlformats.org/officeDocument/2006/relationships/hyperlink" Id="rId241" Target="https://doi.org/10.31234/osf.io/g4s2a_v1" TargetMode="External" /><Relationship Type="http://schemas.openxmlformats.org/officeDocument/2006/relationships/hyperlink" Id="rId220" Target="https://doi.org/10.31234/osf.io/z68v3_v1" TargetMode="External" /><Relationship Type="http://schemas.openxmlformats.org/officeDocument/2006/relationships/hyperlink" Id="rId210"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2" Target="https://doi.org/10.32614/rj-2015-019" TargetMode="External" /><Relationship Type="http://schemas.openxmlformats.org/officeDocument/2006/relationships/hyperlink" Id="rId216"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4"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1"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57"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65" Target="https://stats.andrewheiss.com/compassionate-clam/manuscript/output/manuscript.html" TargetMode="External" /><Relationship Type="http://schemas.openxmlformats.org/officeDocument/2006/relationships/hyperlink" Id="rId255" Target="https://vuorre.com/posts/2019-02-18-analyze-analog-scale-ratings-with-zero-one-inflated-beta-models" TargetMode="External" /><Relationship Type="http://schemas.openxmlformats.org/officeDocument/2006/relationships/hyperlink" Id="rId236" Target="https://www.R-project.org/" TargetMode="External" /><Relationship Type="http://schemas.openxmlformats.org/officeDocument/2006/relationships/hyperlink" Id="rId269" Target="https://www.routledge.com/Bayes-Rules-An-Introduction-to-Applied-Bayesian-Modeling/Johnson-Ott-Dogucu/p/book/9780367255398" TargetMode="External" /><Relationship Type="http://schemas.openxmlformats.org/officeDocument/2006/relationships/hyperlink" Id="rId232" Target="https://www.sciencedirect.com/science/article/pii/S0048969723041505"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08" Target="https://CRAN.R-project.org/package=ordbetareg" TargetMode="External" /><Relationship Type="http://schemas.openxmlformats.org/officeDocument/2006/relationships/hyperlink" Id="rId239" Target="https://docs.ropensci.org/rix/" TargetMode="External" /><Relationship Type="http://schemas.openxmlformats.org/officeDocument/2006/relationships/hyperlink" Id="rId247" Target="https://doi.org/10.1001/jamanetworkopen.2023.53401" TargetMode="External" /><Relationship Type="http://schemas.openxmlformats.org/officeDocument/2006/relationships/hyperlink" Id="rId259"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3" Target="https://doi.org/10.1007/s11409-017-9175-0" TargetMode="External" /><Relationship Type="http://schemas.openxmlformats.org/officeDocument/2006/relationships/hyperlink" Id="rId197" Target="https://doi.org/10.1016/j.wocn.2016.08.006" TargetMode="External" /><Relationship Type="http://schemas.openxmlformats.org/officeDocument/2006/relationships/hyperlink" Id="rId206" Target="https://doi.org/10.1017/pan.2022.20" TargetMode="External" /><Relationship Type="http://schemas.openxmlformats.org/officeDocument/2006/relationships/hyperlink" Id="rId249" Target="https://doi.org/10.1037/1082-989x.11.1.54" TargetMode="External" /><Relationship Type="http://schemas.openxmlformats.org/officeDocument/2006/relationships/hyperlink" Id="rId263"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26"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1" Target="https://doi.org/10.1093/jrsssc/qlaf039" TargetMode="External" /><Relationship Type="http://schemas.openxmlformats.org/officeDocument/2006/relationships/hyperlink" Id="rId234" Target="https://doi.org/10.1093/oxfordjournals.pan.a004873" TargetMode="External" /><Relationship Type="http://schemas.openxmlformats.org/officeDocument/2006/relationships/hyperlink" Id="rId224" Target="https://doi.org/10.1098/rsos.231713" TargetMode="External" /><Relationship Type="http://schemas.openxmlformats.org/officeDocument/2006/relationships/hyperlink" Id="rId261" Target="https://doi.org/10.1111/gcb.17422" TargetMode="External" /><Relationship Type="http://schemas.openxmlformats.org/officeDocument/2006/relationships/hyperlink" Id="rId199"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2" Target="https://doi.org/10.1177/0013164416669201" TargetMode="External" /><Relationship Type="http://schemas.openxmlformats.org/officeDocument/2006/relationships/hyperlink" Id="rId243" Target="https://doi.org/10.1177/08902070241239834" TargetMode="External" /><Relationship Type="http://schemas.openxmlformats.org/officeDocument/2006/relationships/hyperlink" Id="rId204"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28"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18" Target="https://doi.org/10.21105/joss.01541" TargetMode="External" /><Relationship Type="http://schemas.openxmlformats.org/officeDocument/2006/relationships/hyperlink" Id="rId230"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45" Target="https://doi.org/10.31234/osf.io/4rznt" TargetMode="External" /><Relationship Type="http://schemas.openxmlformats.org/officeDocument/2006/relationships/hyperlink" Id="rId241" Target="https://doi.org/10.31234/osf.io/g4s2a_v1" TargetMode="External" /><Relationship Type="http://schemas.openxmlformats.org/officeDocument/2006/relationships/hyperlink" Id="rId220" Target="https://doi.org/10.31234/osf.io/z68v3_v1" TargetMode="External" /><Relationship Type="http://schemas.openxmlformats.org/officeDocument/2006/relationships/hyperlink" Id="rId210"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2" Target="https://doi.org/10.32614/rj-2015-019" TargetMode="External" /><Relationship Type="http://schemas.openxmlformats.org/officeDocument/2006/relationships/hyperlink" Id="rId216"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4"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1"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57"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65" Target="https://stats.andrewheiss.com/compassionate-clam/manuscript/output/manuscript.html" TargetMode="External" /><Relationship Type="http://schemas.openxmlformats.org/officeDocument/2006/relationships/hyperlink" Id="rId255" Target="https://vuorre.com/posts/2019-02-18-analyze-analog-scale-ratings-with-zero-one-inflated-beta-models" TargetMode="External" /><Relationship Type="http://schemas.openxmlformats.org/officeDocument/2006/relationships/hyperlink" Id="rId236" Target="https://www.R-project.org/" TargetMode="External" /><Relationship Type="http://schemas.openxmlformats.org/officeDocument/2006/relationships/hyperlink" Id="rId269" Target="https://www.routledge.com/Bayes-Rules-An-Introduction-to-Applied-Bayesian-Modeling/Johnson-Ott-Dogucu/p/book/9780367255398" TargetMode="External" /><Relationship Type="http://schemas.openxmlformats.org/officeDocument/2006/relationships/hyperlink" Id="rId232" Target="https://www.sciencedirect.com/science/article/pii/S0048969723041505"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https://github.com/jgeller112/beta_regression_tutorial.</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11064</vt:lpwstr>
  </property>
  <property fmtid="{D5CDD505-2E9C-101B-9397-08002B2CF9AE}" pid="67" name="zerocitations">
    <vt:lpwstr>False</vt:lpwstr>
  </property>
</Properties>
</file>