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0.png" ContentType="image/png"/>
  <Override PartName="/word/media/rId101.png" ContentType="image/png"/>
  <Override PartName="/word/media/rId66.png" ContentType="image/png"/>
  <Override PartName="/word/media/rId147.png" ContentType="image/png"/>
  <Override PartName="/word/media/rId57.png" ContentType="image/png"/>
  <Override PartName="/word/media/rId92.png" ContentType="image/png"/>
  <Override PartName="/word/media/rId82.png" ContentType="image/png"/>
  <Override PartName="/word/media/rId143.png" ContentType="image/png"/>
  <Override PartName="/word/media/rId78.png" ContentType="image/png"/>
  <Override PartName="/word/media/rId73.png" ContentType="image/png"/>
  <Override PartName="/word/media/rId118.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https://github.com/jgeller112/beta_regression_tutorial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11056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2"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8"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rPr>
          <w:rStyle w:val="FootnoteReference"/>
        </w:rPr>
        <w:footnoteReference w:id="47"/>
      </w:r>
      <w:r>
        <w:t xml:space="preserve">.</w:t>
      </w:r>
    </w:p>
    <w:bookmarkEnd w:id="48"/>
    <w:bookmarkStart w:id="54"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49"/>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3"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1" name="Picture"/>
            <a:graphic>
              <a:graphicData uri="http://schemas.openxmlformats.org/drawingml/2006/picture">
                <pic:pic>
                  <pic:nvPicPr>
                    <pic:cNvPr descr="ms_files/figure-docx/fig-curves-1.png" id="52" name="Picture"/>
                    <pic:cNvPicPr>
                      <a:picLocks noChangeArrowheads="1" noChangeAspect="1"/>
                    </pic:cNvPicPr>
                  </pic:nvPicPr>
                  <pic:blipFill>
                    <a:blip r:embed="rId50"/>
                    <a:stretch>
                      <a:fillRect/>
                    </a:stretch>
                  </pic:blipFill>
                  <pic:spPr bwMode="auto">
                    <a:xfrm>
                      <a:off x="0" y="0"/>
                      <a:ext cx="5504749" cy="2862469"/>
                    </a:xfrm>
                    <a:prstGeom prst="rect">
                      <a:avLst/>
                    </a:prstGeom>
                    <a:noFill/>
                    <a:ln w="9525">
                      <a:noFill/>
                      <a:headEnd/>
                      <a:tailEnd/>
                    </a:ln>
                  </pic:spPr>
                </pic:pic>
              </a:graphicData>
            </a:graphic>
          </wp:inline>
        </w:drawing>
      </w:r>
    </w:p>
    <w:bookmarkEnd w:id="53"/>
    <w:bookmarkEnd w:id="54"/>
    <w:bookmarkStart w:id="56"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5"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5"/>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6"/>
    <w:bookmarkStart w:id="61"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w:t>
      </w:r>
      <w:r>
        <w:rPr>
          <w:b/>
          <w:bCs/>
        </w:rPr>
        <w:t xml:space="preserve">Pfadt2025?</w:t>
      </w:r>
      <w:r>
        <w:t xml:space="preserve">)</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(weakly informative) priors provided by {brms}. These priors are intentionally modest,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0"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8" name="Picture"/>
            <a:graphic>
              <a:graphicData uri="http://schemas.openxmlformats.org/drawingml/2006/picture">
                <pic:pic>
                  <pic:nvPicPr>
                    <pic:cNvPr descr="ms_files/figure-docx/fig-p-value-pd-comp-1.png" id="59" name="Picture"/>
                    <pic:cNvPicPr>
                      <a:picLocks noChangeArrowheads="1" noChangeAspect="1"/>
                    </pic:cNvPicPr>
                  </pic:nvPicPr>
                  <pic:blipFill>
                    <a:blip r:embed="rId57"/>
                    <a:stretch>
                      <a:fillRect/>
                    </a:stretch>
                  </pic:blipFill>
                  <pic:spPr bwMode="auto">
                    <a:xfrm>
                      <a:off x="0" y="0"/>
                      <a:ext cx="5504749" cy="4403799"/>
                    </a:xfrm>
                    <a:prstGeom prst="rect">
                      <a:avLst/>
                    </a:prstGeom>
                    <a:noFill/>
                    <a:ln w="9525">
                      <a:noFill/>
                      <a:headEnd/>
                      <a:tailEnd/>
                    </a:ln>
                  </pic:spPr>
                </pic:pic>
              </a:graphicData>
            </a:graphic>
          </wp:inline>
        </w:drawing>
      </w:r>
    </w:p>
    <w:bookmarkEnd w:id="60"/>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1"/>
    <w:bookmarkEnd w:id="62"/>
    <w:bookmarkStart w:id="154" w:name="beta-regression-tutorial"/>
    <w:p>
      <w:pPr>
        <w:pStyle w:val="Heading1"/>
      </w:pPr>
      <w:r>
        <w:t xml:space="preserve">Beta Regression Tutorial</w:t>
      </w:r>
    </w:p>
    <w:bookmarkStart w:id="65"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3"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github</w:t>
            </w:r>
            <w:r>
              <w:br/>
            </w:r>
            <w:r>
              <w:rPr>
                <w:rStyle w:val="VerbatimChar"/>
              </w:rPr>
              <w:t xml:space="preserve">url &lt;- str_glue(</w:t>
            </w:r>
            <w:r>
              <w:br/>
            </w:r>
            <w:r>
              <w:rPr>
                <w:rStyle w:val="VerbatimChar"/>
              </w:rPr>
              <w:t xml:space="preserve">  "https://raw.githubusercontent.com/jgeller112/",</w:t>
            </w:r>
            <w:r>
              <w:br/>
            </w:r>
            <w:r>
              <w:rPr>
                <w:rStyle w:val="VerbatimChar"/>
              </w:rPr>
              <w:t xml:space="preserve">  "beta_regression_tutorial/refs/heads/main/",</w:t>
            </w:r>
            <w:r>
              <w:br/>
            </w:r>
            <w:r>
              <w:rPr>
                <w:rStyle w:val="VerbatimChar"/>
              </w:rPr>
              <w:t xml:space="preserve">  "manuscript/data/fluency_data.csv"</w:t>
            </w:r>
            <w:r>
              <w:br/>
            </w:r>
            <w:r>
              <w:rPr>
                <w:rStyle w:val="VerbatimChar"/>
              </w:rPr>
              <w:t xml:space="preserve">)</w:t>
            </w:r>
            <w:r>
              <w:br/>
            </w:r>
            <w:r>
              <w:rPr>
                <w:rStyle w:val="VerbatimChar"/>
              </w:rPr>
              <w:t xml:space="preserve">fluency_data &lt;- read.csv(url)</w:t>
            </w:r>
          </w:p>
          <w:bookmarkEnd w:id="63"/>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4"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4"/>
    <w:bookmarkEnd w:id="65"/>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9"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to illustrate variability and central tendency.</w:t>
      </w:r>
    </w:p>
    <w:p>
      <w:pPr>
        <w:pStyle w:val="FigureWithoutNote"/>
      </w:pPr>
      <w:r>
        <w:drawing>
          <wp:inline>
            <wp:extent cx="5504749" cy="3400711"/>
            <wp:effectExtent b="0" l="0" r="0" t="0"/>
            <wp:docPr descr="" title="" id="67" name="Picture"/>
            <a:graphic>
              <a:graphicData uri="http://schemas.openxmlformats.org/drawingml/2006/picture">
                <pic:pic>
                  <pic:nvPicPr>
                    <pic:cNvPr descr="ms_files/figure-docx/fig-flu1-1.png" id="68" name="Picture"/>
                    <pic:cNvPicPr>
                      <a:picLocks noChangeArrowheads="1" noChangeAspect="1"/>
                    </pic:cNvPicPr>
                  </pic:nvPicPr>
                  <pic:blipFill>
                    <a:blip r:embed="rId66"/>
                    <a:stretch>
                      <a:fillRect/>
                    </a:stretch>
                  </pic:blipFill>
                  <pic:spPr bwMode="auto">
                    <a:xfrm>
                      <a:off x="0" y="0"/>
                      <a:ext cx="5504749" cy="3400711"/>
                    </a:xfrm>
                    <a:prstGeom prst="rect">
                      <a:avLst/>
                    </a:prstGeom>
                    <a:noFill/>
                    <a:ln w="9525">
                      <a:noFill/>
                      <a:headEnd/>
                      <a:tailEnd/>
                    </a:ln>
                  </pic:spPr>
                </pic:pic>
              </a:graphicData>
            </a:graphic>
          </wp:inline>
        </w:drawing>
      </w:r>
    </w:p>
    <w:bookmarkEnd w:id="69"/>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0"/>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1"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1"/>
        </w:tc>
      </w:tr>
    </w:tbl>
    <w:tbl>
      <w:tblPr>
        <w:tblStyle w:val="Table"/>
        <w:tblW w:type="pct" w:w="5000"/>
        <w:tblLayout w:type="fixed"/>
        <w:tblLook w:firstRow="0" w:lastRow="0" w:firstColumn="0" w:lastColumn="0" w:noHBand="0" w:noVBand="0" w:val="0000"/>
      </w:tblPr>
      <w:tblGrid>
        <w:gridCol w:w="7920"/>
      </w:tblGrid>
      <w:tr>
        <w:tc>
          <w:tcPr/>
          <w:bookmarkStart w:id="72"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"model_reg_bayes"</w:t>
            </w:r>
            <w:r>
              <w:br/>
            </w:r>
            <w:r>
              <w:rPr>
                <w:rStyle w:val="VerbatimChar"/>
              </w:rPr>
              <w:t xml:space="preserve">)</w:t>
            </w:r>
          </w:p>
          <w:bookmarkEnd w:id="72"/>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2</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0.256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 to 0.169.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4034     3042</w:t>
      </w:r>
      <w:r>
        <w:br/>
      </w:r>
      <w:r>
        <w:rPr>
          <w:rStyle w:val="VerbatimChar"/>
        </w:rPr>
        <w:t xml:space="preserve">FluencyFluent     0.08      0.04     0.00     0.17 1.00     4367     2799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3831     3161</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2</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3400711"/>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3400711"/>
                    </a:xfrm>
                    <a:prstGeom prst="rect">
                      <a:avLst/>
                    </a:prstGeom>
                    <a:noFill/>
                    <a:ln w="9525">
                      <a:noFill/>
                      <a:headEnd/>
                      <a:tailEnd/>
                    </a:ln>
                  </pic:spPr>
                </pic:pic>
              </a:graphicData>
            </a:graphic>
          </wp:inline>
        </w:drawing>
      </w:r>
    </w:p>
    <w:bookmarkEnd w:id="76"/>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7"/>
        </w:tc>
      </w:tr>
    </w:tbl>
    <w:bookmarkStart w:id="81" w:name="fig-reg-assump"/>
    <w:p>
      <w:pPr>
        <w:pStyle w:val="FigureTitle"/>
      </w:pPr>
      <w:r>
        <w:t xml:space="preserve">Figure 5</w:t>
      </w:r>
    </w:p>
    <w:p>
      <w:pPr>
        <w:pStyle w:val="Caption"/>
      </w:pPr>
      <w:r>
        <w:t xml:space="preserve">Two assumption checks for our OLS model: Normality (left) and Homoskedasticity (right)</w:t>
      </w:r>
    </w:p>
    <w:p>
      <w:pPr>
        <w:pStyle w:val="FigureWithoutNote"/>
      </w:pPr>
      <w:r>
        <w:drawing>
          <wp:inline>
            <wp:extent cx="5504749" cy="3400711"/>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3400711"/>
                    </a:xfrm>
                    <a:prstGeom prst="rect">
                      <a:avLst/>
                    </a:prstGeom>
                    <a:noFill/>
                    <a:ln w="9525">
                      <a:noFill/>
                      <a:headEnd/>
                      <a:tailEnd/>
                    </a:ln>
                  </pic:spPr>
                </pic:pic>
              </a:graphicData>
            </a:graphic>
          </wp:inline>
        </w:drawing>
      </w:r>
    </w:p>
    <w:bookmarkEnd w:id="81"/>
    <w:bookmarkStart w:id="85" w:name="fig-ppcheckall"/>
    <w:p>
      <w:pPr>
        <w:pStyle w:val="FigureTitle"/>
      </w:pPr>
      <w:r>
        <w:t xml:space="preserve">Figure 6</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3672649"/>
            <wp:effectExtent b="0" l="0" r="0" t="0"/>
            <wp:docPr descr="" title="" id="83" name="Picture"/>
            <a:graphic>
              <a:graphicData uri="http://schemas.openxmlformats.org/drawingml/2006/picture">
                <pic:pic>
                  <pic:nvPicPr>
                    <pic:cNvPr descr="ms_files/figure-docx/fig-ppcheckall-1.png" id="84" name="Picture"/>
                    <pic:cNvPicPr>
                      <a:picLocks noChangeArrowheads="1" noChangeAspect="1"/>
                    </pic:cNvPicPr>
                  </pic:nvPicPr>
                  <pic:blipFill>
                    <a:blip r:embed="rId82"/>
                    <a:stretch>
                      <a:fillRect/>
                    </a:stretch>
                  </pic:blipFill>
                  <pic:spPr bwMode="auto">
                    <a:xfrm>
                      <a:off x="0" y="0"/>
                      <a:ext cx="5943600" cy="367264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w:t>
      </w:r>
      <w:r>
        <w:t xml:space="preserve"> </w:t>
      </w:r>
      <w:r>
        <w:rPr>
          <w:rStyle w:val="VerbatimChar"/>
        </w:rPr>
        <w:t xml:space="preserve">brms</w:t>
      </w:r>
      <w:r>
        <w:t xml:space="preserve">.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6</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2"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w:t>
      </w:r>
      <w:r>
        <w:rPr>
          <w:b/>
          <w:bCs/>
        </w:rPr>
        <w:t xml:space="preserve">kruschke2013?</w:t>
      </w:r>
      <w:r>
        <w:t xml:space="preserve">;</w:t>
      </w:r>
      <w:r>
        <w:t xml:space="preserve"> </w:t>
      </w:r>
      <w:r>
        <w:rPr>
          <w:b/>
          <w:bCs/>
        </w:rPr>
        <w:t xml:space="preserve">kneib2023?</w:t>
      </w:r>
      <w:r>
        <w:t xml:space="preserve">)</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"model_beta_bayes_reg_01"</w:t>
            </w:r>
            <w:r>
              <w:br/>
            </w:r>
            <w:r>
              <w:rPr>
                <w:rStyle w:val="VerbatimChar"/>
              </w:rPr>
              <w:t xml:space="preserve">)</w:t>
            </w:r>
          </w:p>
          <w:bookmarkEnd w:id="88"/>
        </w:tc>
      </w:tr>
    </w:tbl>
    <w:bookmarkStart w:id="89" w:name="tbl-all"/>
    <w:p>
      <w:pPr>
        <w:pStyle w:val="FigureTitle"/>
      </w:pPr>
      <w:r>
        <w:t xml:space="preserve">Table 2</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-0.832</w:t>
            </w:r>
          </w:p>
        </w:tc>
        <w:tc>
          <w:tcPr/>
          <w:p>
            <w:pPr>
              <w:pStyle w:val="Compact"/>
            </w:pPr>
            <w:r>
              <w:t xml:space="preserve">-0.831</w:t>
            </w:r>
          </w:p>
        </w:tc>
        <w:tc>
          <w:tcPr/>
          <w:p>
            <w:pPr>
              <w:pStyle w:val="Compact"/>
            </w:pPr>
            <w:r>
              <w:t xml:space="preserve">-0.865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0.315]</w:t>
            </w:r>
          </w:p>
        </w:tc>
        <w:tc>
          <w:tcPr/>
          <w:p>
            <w:pPr>
              <w:pStyle w:val="Compact"/>
            </w:pPr>
            <w:r>
              <w:rPr>
                <w:i/>
                <w:iCs/>
              </w:rPr>
              <w:t xml:space="preserve">[-1.087, -0.55]</w:t>
            </w:r>
          </w:p>
        </w:tc>
        <w:tc>
          <w:tcPr/>
          <w:p>
            <w:pPr>
              <w:pStyle w:val="Compact"/>
            </w:pPr>
            <w:r>
              <w:rPr>
                <w:i/>
                <w:iCs/>
              </w:rPr>
              <w:t xml:space="preserve">[-1.094, -0.552]</w:t>
            </w:r>
          </w:p>
        </w:tc>
        <w:tc>
          <w:tcPr/>
          <w:p>
            <w:pPr>
              <w:pStyle w:val="Compact"/>
            </w:pPr>
            <w:r>
              <w:rPr>
                <w:i/>
                <w:iCs/>
              </w:rPr>
              <w:t xml:space="preserve">[-1.098, -0.559]</w:t>
            </w:r>
          </w:p>
        </w:tc>
        <w:tc>
          <w:tcPr/>
          <w:p>
            <w:pPr>
              <w:pStyle w:val="Compact"/>
            </w:pPr>
            <w:r>
              <w:rPr>
                <w:i/>
                <w:iCs/>
              </w:rPr>
              <w:t xml:space="preserve">[-1.119, -0.596]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0.204</w:t>
            </w:r>
          </w:p>
        </w:tc>
        <w:tc>
          <w:tcPr/>
          <w:p>
            <w:pPr>
              <w:pStyle w:val="Compact"/>
            </w:pPr>
            <w:r>
              <w:t xml:space="preserve">0.204</w:t>
            </w:r>
          </w:p>
        </w:tc>
        <w:tc>
          <w:tcPr/>
          <w:p>
            <w:pPr>
              <w:pStyle w:val="Compact"/>
            </w:pPr>
            <w:r>
              <w:t xml:space="preserve">0.203</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0.166]</w:t>
            </w:r>
          </w:p>
        </w:tc>
        <w:tc>
          <w:tcPr/>
          <w:p>
            <w:pPr>
              <w:pStyle w:val="Compact"/>
            </w:pPr>
            <w:r>
              <w:rPr>
                <w:i/>
                <w:iCs/>
              </w:rPr>
              <w:t xml:space="preserve">[-0.155, 0.539]</w:t>
            </w:r>
          </w:p>
        </w:tc>
        <w:tc>
          <w:tcPr/>
          <w:p>
            <w:pPr>
              <w:pStyle w:val="Compact"/>
            </w:pPr>
            <w:r>
              <w:rPr>
                <w:i/>
                <w:iCs/>
              </w:rPr>
              <w:t xml:space="preserve">[-0.139, 0.545]</w:t>
            </w:r>
          </w:p>
        </w:tc>
        <w:tc>
          <w:tcPr/>
          <w:p>
            <w:pPr>
              <w:pStyle w:val="Compact"/>
            </w:pPr>
            <w:r>
              <w:rPr>
                <w:i/>
                <w:iCs/>
              </w:rPr>
              <w:t xml:space="preserve">[-0.147, 0.541]</w:t>
            </w:r>
          </w:p>
        </w:tc>
        <w:tc>
          <w:tcPr/>
          <w:p>
            <w:pPr>
              <w:pStyle w:val="Compact"/>
            </w:pPr>
            <w:r>
              <w:rPr>
                <w:i/>
                <w:iCs/>
              </w:rPr>
              <w:t xml:space="preserve">[-0.07, 0.598]</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0.875</w:t>
            </w:r>
          </w:p>
        </w:tc>
        <w:tc>
          <w:tcPr/>
          <w:p>
            <w:pPr>
              <w:pStyle w:val="Compact"/>
            </w:pPr>
            <w:r>
              <w:rPr>
                <w:i/>
                <w:iCs/>
              </w:rPr>
              <w:t xml:space="preserve">0.872</w:t>
            </w:r>
          </w:p>
        </w:tc>
        <w:tc>
          <w:tcPr/>
          <w:p>
            <w:pPr>
              <w:pStyle w:val="Compact"/>
            </w:pPr>
            <w:r>
              <w:rPr>
                <w:i/>
                <w:iCs/>
              </w:rPr>
              <w:t xml:space="preserve">0.880</w:t>
            </w:r>
          </w:p>
        </w:tc>
        <w:tc>
          <w:tcPr/>
          <w:p>
            <w:pPr>
              <w:pStyle w:val="Compact"/>
            </w:pPr>
            <w:r>
              <w:rPr>
                <w:i/>
                <w:iCs/>
              </w:rPr>
              <w:t xml:space="preserve">0.936</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[0.179, 0.245]</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1.609</w:t>
            </w:r>
          </w:p>
        </w:tc>
        <w:tc>
          <w:tcPr/>
          <w:p>
            <w:pPr>
              <w:pStyle w:val="Compact"/>
            </w:pPr>
            <w:r>
              <w:t xml:space="preserve">1.601</w:t>
            </w:r>
          </w:p>
        </w:tc>
        <w:tc>
          <w:tcPr/>
          <w:p>
            <w:pPr>
              <w:pStyle w:val="Compact"/>
            </w:pPr>
            <w:r>
              <w:t xml:space="preserve">1.604</w:t>
            </w:r>
          </w:p>
        </w:tc>
        <w:tc>
          <w:tcPr/>
          <w:p>
            <w:pPr>
              <w:pStyle w:val="Compact"/>
            </w:pPr>
            <w:r>
              <w:t xml:space="preserve">1.609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[1.193, 2]</w:t>
            </w:r>
          </w:p>
        </w:tc>
        <w:tc>
          <w:tcPr/>
          <w:p>
            <w:pPr>
              <w:pStyle w:val="Compact"/>
            </w:pPr>
            <w:r>
              <w:rPr>
                <w:i/>
                <w:iCs/>
              </w:rPr>
              <w:t xml:space="preserve">[1.187, 1.988]</w:t>
            </w:r>
          </w:p>
        </w:tc>
        <w:tc>
          <w:tcPr/>
          <w:p>
            <w:pPr>
              <w:pStyle w:val="Compact"/>
            </w:pPr>
            <w:r>
              <w:rPr>
                <w:i/>
                <w:iCs/>
              </w:rPr>
              <w:t xml:space="preserve">[1.183, 1.989]</w:t>
            </w:r>
          </w:p>
        </w:tc>
        <w:tc>
          <w:tcPr/>
          <w:p>
            <w:pPr>
              <w:pStyle w:val="Compact"/>
            </w:pPr>
            <w:r>
              <w:rPr>
                <w:i/>
                <w:iCs/>
              </w:rPr>
              <w:t xml:space="preserve">[1.179, 1.993]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0.420</w:t>
            </w:r>
          </w:p>
        </w:tc>
        <w:tc>
          <w:tcPr/>
          <w:p>
            <w:pPr>
              <w:pStyle w:val="Compact"/>
            </w:pPr>
            <w:r>
              <w:t xml:space="preserve">0.425</w:t>
            </w:r>
          </w:p>
        </w:tc>
        <w:tc>
          <w:tcPr/>
          <w:p>
            <w:pPr>
              <w:pStyle w:val="Compact"/>
            </w:pPr>
            <w:r>
              <w:t xml:space="preserve">0.426</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[-0.143, 0.993]</w:t>
            </w:r>
          </w:p>
        </w:tc>
        <w:tc>
          <w:tcPr/>
          <w:p>
            <w:pPr>
              <w:pStyle w:val="Compact"/>
            </w:pPr>
            <w:r>
              <w:rPr>
                <w:i/>
                <w:iCs/>
              </w:rPr>
              <w:t xml:space="preserve">[-0.158, 0.994]</w:t>
            </w:r>
          </w:p>
        </w:tc>
        <w:tc>
          <w:tcPr/>
          <w:p>
            <w:pPr>
              <w:pStyle w:val="Compact"/>
            </w:pPr>
            <w:r>
              <w:rPr>
                <w:i/>
                <w:iCs/>
              </w:rPr>
              <w:t xml:space="preserve">[-0.126, 0.994]</w:t>
            </w:r>
          </w:p>
        </w:tc>
        <w:tc>
          <w:tcPr/>
          <w:p>
            <w:pPr>
              <w:pStyle w:val="Compact"/>
            </w:pPr>
            <w:r>
              <w:rPr>
                <w:i/>
                <w:iCs/>
              </w:rPr>
              <w:t xml:space="preserve">[-0.156, 0.983]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0.926</w:t>
            </w:r>
          </w:p>
        </w:tc>
        <w:tc>
          <w:tcPr/>
          <w:p>
            <w:pPr>
              <w:pStyle w:val="Compact"/>
            </w:pPr>
            <w:r>
              <w:rPr>
                <w:i/>
                <w:iCs/>
              </w:rPr>
              <w:t xml:space="preserve">0.930</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 -0.978]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[-4.618, -0.34]</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[-2.339, -0.859]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-2.201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[-4.449, -0.465]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-2.022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[-4.408, -0.287]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0.245</w:t>
            </w:r>
          </w:p>
        </w:tc>
        <w:tc>
          <w:tcPr/>
          <w:p/>
        </w:tc>
      </w:tr>
      <w:tr>
        <w:tc>
          <w:tcPr/>
          <w:p>
            <w:pPr>
              <w:pStyle w:val="Compact"/>
            </w:pPr>
          </w:p>
        </w:tc>
        <w:tc>
          <w:tcPr/>
          <w:p>
            <w:pPr>
              <w:pStyle w:val="Compact"/>
            </w:pPr>
            <w:r>
              <w:t xml:space="preserve">Cr.I</w:t>
            </w:r>
          </w:p>
        </w:tc>
        <w:tc>
          <w:tcPr/>
          <w:p/>
        </w:tc>
        <w:tc>
          <w:tcPr/>
          <w:p/>
        </w:tc>
        <w:tc>
          <w:tcPr/>
          <w:p/>
        </w:tc>
        <w:tc>
          <w:tcPr/>
          <w:p>
            <w:pPr>
              <w:pStyle w:val="Compact"/>
            </w:pPr>
            <w:r>
              <w:t xml:space="preserve">[-6.946, 5.716]</w:t>
            </w:r>
          </w:p>
        </w:tc>
        <w:tc>
          <w:tcPr/>
          <w:p/>
        </w:tc>
      </w:tr>
      <w:tr>
        <w:tc>
          <w:tcPr/>
          <w:p>
            <w:pPr>
              <w:pStyle w:val="Compact"/>
            </w:pPr>
          </w:p>
        </w:tc>
        <w:tc>
          <w:tcPr/>
          <w:p>
            <w:pPr>
              <w:pStyle w:val="Compact"/>
            </w:pPr>
            <w:r>
              <w:t xml:space="preserve">pd</w:t>
            </w:r>
          </w:p>
        </w:tc>
        <w:tc>
          <w:tcPr/>
          <w:p/>
        </w:tc>
        <w:tc>
          <w:tcPr/>
          <w:p/>
        </w:tc>
        <w:tc>
          <w:tcPr/>
          <w:p/>
        </w:tc>
        <w:tc>
          <w:tcPr/>
          <w:p>
            <w:pPr>
              <w:pStyle w:val="Compact"/>
            </w:pPr>
            <w:r>
              <w:t xml:space="preserve">0.571</w:t>
            </w:r>
          </w:p>
        </w:tc>
        <w:tc>
          <w:tcPr/>
          <w:p/>
        </w:tc>
      </w:tr>
    </w:tbl>
    <w:bookmarkEnd w:id="89"/>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p>
      <w:pPr>
        <w:pStyle w:val="Heading5"/>
        <w:rPr>
          <w:vanish/>
          <w:specVanish/>
        </w:rPr>
      </w:pPr>
      <w:r>
        <w:t>Model Parameters.</w:t>
      </w:r>
      <w:r>
        <w:t xml:space="preserve"> </w:t>
      </w:r>
    </w:p>
    <w:p>
      <w:pPr>
        <w:pStyle w:val="BodyText"/>
      </w:pPr>
      <w:r>
        <w:t xml:space="preserve">In</w:t>
      </w:r>
      <w:r>
        <w:t xml:space="preserve"> </w:t>
      </w:r>
      <w:hyperlink w:anchor="tbl-all">
        <w:r>
          <w:rPr>
            <w:rStyle w:val="Hyperlink"/>
          </w:rPr>
          <w:t xml:space="preserve">Table 2</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2</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2</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"model_beta_bayes_dis_run01"</w:t>
            </w:r>
            <w:r>
              <w:br/>
            </w:r>
            <w:r>
              <w:rPr>
                <w:rStyle w:val="VerbatimChar"/>
              </w:rPr>
              <w:t xml:space="preserve">)</w:t>
            </w:r>
          </w:p>
          <w:bookmarkEnd w:id="90"/>
        </w:tc>
      </w:tr>
    </w:tbl>
    <w:p>
      <w:pPr>
        <w:pStyle w:val="FirstParagraph"/>
      </w:pPr>
      <w:hyperlink w:anchor="tbl-all">
        <w:r>
          <w:rPr>
            <w:rStyle w:val="Hyperlink"/>
          </w:rPr>
          <w:t xml:space="preserve">Table 2</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7</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1"/>
      </w:r>
    </w:p>
    <w:bookmarkStart w:id="95" w:name="fig-plt-diff"/>
    <w:p>
      <w:pPr>
        <w:pStyle w:val="FigureTitle"/>
      </w:pPr>
      <w:r>
        <w:t xml:space="preserve">Figure 7</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3400711"/>
            <wp:effectExtent b="0" l="0" r="0" t="0"/>
            <wp:docPr descr="" title="" id="93" name="Picture"/>
            <a:graphic>
              <a:graphicData uri="http://schemas.openxmlformats.org/drawingml/2006/picture">
                <pic:pic>
                  <pic:nvPicPr>
                    <pic:cNvPr descr="ms_files/figure-docx/fig-plt-diff-1.png" id="94" name="Picture"/>
                    <pic:cNvPicPr>
                      <a:picLocks noChangeArrowheads="1" noChangeAspect="1"/>
                    </pic:cNvPicPr>
                  </pic:nvPicPr>
                  <pic:blipFill>
                    <a:blip r:embed="rId92"/>
                    <a:stretch>
                      <a:fillRect/>
                    </a:stretch>
                  </pic:blipFill>
                  <pic:spPr bwMode="auto">
                    <a:xfrm>
                      <a:off x="0" y="0"/>
                      <a:ext cx="5504749" cy="3400711"/>
                    </a:xfrm>
                    <a:prstGeom prst="rect">
                      <a:avLst/>
                    </a:prstGeom>
                    <a:noFill/>
                    <a:ln w="9525">
                      <a:noFill/>
                      <a:headEnd/>
                      <a:tailEnd/>
                    </a:ln>
                  </pic:spPr>
                </pic:pic>
              </a:graphicData>
            </a:graphic>
          </wp:inline>
        </w:drawing>
      </w:r>
    </w:p>
    <w:bookmarkEnd w:id="95"/>
    <w:bookmarkStart w:id="105"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3</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6"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6"/>
        </w:tc>
      </w:tr>
    </w:tbl>
    <w:tbl>
      <w:tblPr>
        <w:tblStyle w:val="Table"/>
        <w:tblW w:type="pct" w:w="5000"/>
        <w:tblLayout w:type="fixed"/>
        <w:tblLook w:firstRow="0" w:lastRow="0" w:firstColumn="0" w:lastColumn="0" w:noHBand="0" w:noVBand="0" w:val="0000"/>
      </w:tblPr>
      <w:tblGrid>
        <w:gridCol w:w="7920"/>
      </w:tblGrid>
      <w:tr>
        <w:tc>
          <w:tcPr/>
          <w:bookmarkStart w:id="97"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7"/>
        </w:tc>
      </w:tr>
    </w:tbl>
    <w:bookmarkStart w:id="98" w:name="tbl-predict-prob"/>
    <w:p>
      <w:pPr>
        <w:pStyle w:val="FigureTitle"/>
      </w:pPr>
      <w:r>
        <w:t xml:space="preserve">Table 3</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[0.248, 0.348]</w:t>
            </w:r>
          </w:p>
        </w:tc>
      </w:tr>
      <w:tr>
        <w:tc>
          <w:tcPr/>
          <w:p>
            <w:pPr>
              <w:pStyle w:val="Compact"/>
            </w:pPr>
            <w:r>
              <w:t xml:space="preserve">Fluent</w:t>
            </w:r>
          </w:p>
        </w:tc>
        <w:tc>
          <w:tcPr/>
          <w:p>
            <w:pPr>
              <w:pStyle w:val="Compact"/>
            </w:pPr>
            <w:r>
              <w:t xml:space="preserve">0.354</w:t>
            </w:r>
          </w:p>
        </w:tc>
        <w:tc>
          <w:tcPr/>
          <w:p>
            <w:pPr>
              <w:pStyle w:val="Compact"/>
            </w:pPr>
            <w:r>
              <w:t xml:space="preserve">[0.303, 0.407]</w:t>
            </w:r>
          </w:p>
        </w:tc>
      </w:tr>
    </w:tbl>
    <w:bookmarkEnd w:id="98"/>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9"/>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100"/>
        </w:tc>
      </w:tr>
    </w:tbl>
    <w:bookmarkStart w:id="104" w:name="fig-draws-fluency"/>
    <w:p>
      <w:pPr>
        <w:pStyle w:val="FigureTitle"/>
      </w:pPr>
      <w:r>
        <w:t xml:space="preserve">Figure 8</w:t>
      </w:r>
    </w:p>
    <w:p>
      <w:pPr>
        <w:pStyle w:val="Caption"/>
      </w:pPr>
      <w:r>
        <w:t xml:space="preserve">Predicted probablity posterior distributions by fluency</w:t>
      </w:r>
    </w:p>
    <w:p>
      <w:pPr>
        <w:pStyle w:val="FigureWithoutNote"/>
      </w:pPr>
      <w:r>
        <w:drawing>
          <wp:inline>
            <wp:extent cx="5504749" cy="3400711"/>
            <wp:effectExtent b="0" l="0" r="0" t="0"/>
            <wp:docPr descr="" title="" id="102" name="Picture"/>
            <a:graphic>
              <a:graphicData uri="http://schemas.openxmlformats.org/drawingml/2006/picture">
                <pic:pic>
                  <pic:nvPicPr>
                    <pic:cNvPr descr="ms_files/figure-docx/fig-draws-fluency-1.png" id="103" name="Picture"/>
                    <pic:cNvPicPr>
                      <a:picLocks noChangeArrowheads="1" noChangeAspect="1"/>
                    </pic:cNvPicPr>
                  </pic:nvPicPr>
                  <pic:blipFill>
                    <a:blip r:embed="rId101"/>
                    <a:stretch>
                      <a:fillRect/>
                    </a:stretch>
                  </pic:blipFill>
                  <pic:spPr bwMode="auto">
                    <a:xfrm>
                      <a:off x="0" y="0"/>
                      <a:ext cx="5504749" cy="3400711"/>
                    </a:xfrm>
                    <a:prstGeom prst="rect">
                      <a:avLst/>
                    </a:prstGeom>
                    <a:noFill/>
                    <a:ln w="9525">
                      <a:noFill/>
                      <a:headEnd/>
                      <a:tailEnd/>
                    </a:ln>
                  </pic:spPr>
                </pic:pic>
              </a:graphicData>
            </a:graphic>
          </wp:inline>
        </w:drawing>
      </w:r>
    </w:p>
    <w:bookmarkEnd w:id="104"/>
    <w:bookmarkEnd w:id="105"/>
    <w:bookmarkStart w:id="110"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6"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6"/>
        </w:tc>
      </w:tr>
    </w:tbl>
    <w:bookmarkStart w:id="107" w:name="tbl-ame1"/>
    <w:p>
      <w:pPr>
        <w:pStyle w:val="FigureTitle"/>
      </w:pPr>
      <w:r>
        <w:t xml:space="preserve">Table 4</w:t>
      </w:r>
    </w:p>
    <w:p>
      <w:pPr>
        <w:pStyle w:val="Caption"/>
      </w:pPr>
      <w:r>
        <w:t xml:space="preserve">Fluency difference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0.057</w:t>
            </w:r>
          </w:p>
        </w:tc>
        <w:tc>
          <w:tcPr/>
          <w:p>
            <w:pPr>
              <w:pStyle w:val="Compact"/>
            </w:pPr>
            <w:r>
              <w:t xml:space="preserve">[-0.017, 0.127]</w:t>
            </w:r>
          </w:p>
        </w:tc>
      </w:tr>
    </w:tbl>
    <w:bookmarkEnd w:id="107"/>
    <w:p>
      <w:pPr>
        <w:pStyle w:val="AfterWithoutNote"/>
      </w:pPr>
      <w:hyperlink w:anchor="tbl-ame1">
        <w:r>
          <w:rPr>
            <w:rStyle w:val="Hyperlink"/>
          </w:rPr>
          <w:t xml:space="preserve">Table 4</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8"/>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9"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9"/>
    </w:p>
    <w:bookmarkEnd w:id="110"/>
    <w:bookmarkStart w:id="111" w:name="posterior-predictive-check"/>
    <w:p>
      <w:pPr>
        <w:pStyle w:val="Heading3"/>
      </w:pPr>
      <w:r>
        <w:t xml:space="preserve">Posterior Predictive Check</w:t>
      </w:r>
    </w:p>
    <w:p>
      <w:pPr>
        <w:pStyle w:val="FirstParagraph"/>
      </w:pPr>
      <w:hyperlink w:anchor="fig-ppcheckall">
        <w:r>
          <w:rPr>
            <w:rStyle w:val="Hyperlink"/>
          </w:rPr>
          <w:t xml:space="preserve">Figure 6</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11"/>
    <w:bookmarkEnd w:id="112"/>
    <w:bookmarkStart w:id="123"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3"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"bayes_zib_model0not1"</w:t>
            </w:r>
            <w:r>
              <w:br/>
            </w:r>
            <w:r>
              <w:rPr>
                <w:rStyle w:val="VerbatimChar"/>
              </w:rPr>
              <w:t xml:space="preserve">)</w:t>
            </w:r>
          </w:p>
          <w:bookmarkEnd w:id="113"/>
        </w:tc>
      </w:tr>
    </w:tbl>
    <w:bookmarkStart w:id="114"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6</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4"/>
    <w:bookmarkStart w:id="117"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2</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5</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5" w:name="tbl-marg-mu-brms"/>
    <w:p>
      <w:pPr>
        <w:pStyle w:val="FigureTitle"/>
      </w:pPr>
      <w:r>
        <w:t xml:space="preserve">Table 5</w:t>
      </w:r>
    </w:p>
    <w:p>
      <w:pPr>
        <w:pStyle w:val="Caption"/>
      </w:pPr>
      <w:r>
        <w:t xml:space="preserve">Probablity fluency difference (</w:t>
      </w:r>
      <m:oMath>
        <m:r>
          <m:t>μ</m:t>
        </m:r>
      </m:oMath>
      <w:r>
        <w:t xml:space="preserv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0.044</w:t>
            </w:r>
          </w:p>
        </w:tc>
        <w:tc>
          <w:tcPr/>
          <w:p>
            <w:pPr>
              <w:pStyle w:val="Compact"/>
            </w:pPr>
            <w:r>
              <w:t xml:space="preserve">[-0.034, 0.118]</w:t>
            </w:r>
          </w:p>
        </w:tc>
      </w:tr>
    </w:tbl>
    <w:bookmarkEnd w:id="115"/>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6</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6" w:name="tbl-marg-phi-brms"/>
    <w:p>
      <w:pPr>
        <w:pStyle w:val="FigureTitle"/>
      </w:pPr>
      <w:r>
        <w:t xml:space="preserve">Table 6</w:t>
      </w:r>
    </w:p>
    <w:p>
      <w:pPr>
        <w:pStyle w:val="Caption"/>
      </w:pPr>
      <w:r>
        <w:t xml:space="preserve">Probablity fluency difference (</w:t>
      </w:r>
      <m:oMath>
        <m:r>
          <m:t>ϕ</m:t>
        </m:r>
      </m:oMath>
      <w:r>
        <w:t xml:space="preserve">)</w:t>
      </w:r>
    </w:p>
    <w:tbl>
      <w:tblPr>
        <w:tblStyle w:val="Table"/>
        <w:tblW w:type="pct" w:w="3194"/>
        <w:tblLayout w:type="fixed"/>
        <w:tblLook w:firstRow="1" w:lastRow="0" w:firstColumn="0" w:lastColumn="0" w:noHBand="0" w:noVBand="0" w:val="0020"/>
      </w:tblPr>
      <w:tblGrid>
        <w:gridCol w:w="2310"/>
        <w:gridCol w:w="77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2.7</w:t>
            </w:r>
          </w:p>
        </w:tc>
        <w:tc>
          <w:tcPr/>
          <w:p>
            <w:pPr>
              <w:pStyle w:val="Compact"/>
            </w:pPr>
            <w:r>
              <w:t xml:space="preserve">[-0.847, 6.676]</w:t>
            </w:r>
          </w:p>
        </w:tc>
      </w:tr>
    </w:tbl>
    <w:bookmarkEnd w:id="116"/>
    <w:bookmarkEnd w:id="117"/>
    <w:bookmarkStart w:id="122"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9</w:t>
        </w:r>
      </w:hyperlink>
      <w:r>
        <w:t xml:space="preserve">). In</w:t>
      </w:r>
      <w:r>
        <w:t xml:space="preserve"> </w:t>
      </w:r>
      <w:hyperlink w:anchor="fig-zi-plot">
        <w:r>
          <w:rPr>
            <w:rStyle w:val="Hyperlink"/>
          </w:rPr>
          <w:t xml:space="preserve">Figure 9</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21" w:name="fig-zi-plot"/>
    <w:p>
      <w:pPr>
        <w:pStyle w:val="FigureTitle"/>
      </w:pPr>
      <w:r>
        <w:t xml:space="preserve">Figure 9</w:t>
      </w:r>
    </w:p>
    <w:p>
      <w:pPr>
        <w:pStyle w:val="Caption"/>
      </w:pPr>
      <w:r>
        <w:t xml:space="preserve">Visualization of the predicted difference for zero-inflated part of model</w:t>
      </w:r>
    </w:p>
    <w:p>
      <w:pPr>
        <w:pStyle w:val="FigureWithoutNote"/>
      </w:pPr>
      <w:r>
        <w:drawing>
          <wp:inline>
            <wp:extent cx="5504749" cy="3400711"/>
            <wp:effectExtent b="0" l="0" r="0" t="0"/>
            <wp:docPr descr="" title="" id="119" name="Picture"/>
            <a:graphic>
              <a:graphicData uri="http://schemas.openxmlformats.org/drawingml/2006/picture">
                <pic:pic>
                  <pic:nvPicPr>
                    <pic:cNvPr descr="ms_files/figure-docx/fig-zi-plot-1.png" id="120" name="Picture"/>
                    <pic:cNvPicPr>
                      <a:picLocks noChangeArrowheads="1" noChangeAspect="1"/>
                    </pic:cNvPicPr>
                  </pic:nvPicPr>
                  <pic:blipFill>
                    <a:blip r:embed="rId118"/>
                    <a:stretch>
                      <a:fillRect/>
                    </a:stretch>
                  </pic:blipFill>
                  <pic:spPr bwMode="auto">
                    <a:xfrm>
                      <a:off x="0" y="0"/>
                      <a:ext cx="5504749" cy="3400711"/>
                    </a:xfrm>
                    <a:prstGeom prst="rect">
                      <a:avLst/>
                    </a:prstGeom>
                    <a:noFill/>
                    <a:ln w="9525">
                      <a:noFill/>
                      <a:headEnd/>
                      <a:tailEnd/>
                    </a:ln>
                  </pic:spPr>
                </pic:pic>
              </a:graphicData>
            </a:graphic>
          </wp:inline>
        </w:drawing>
      </w:r>
    </w:p>
    <w:bookmarkEnd w:id="121"/>
    <w:bookmarkEnd w:id="122"/>
    <w:bookmarkEnd w:id="123"/>
    <w:bookmarkStart w:id="133"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24"/>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10</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8" w:name="fig-zoib"/>
    <w:p>
      <w:pPr>
        <w:pStyle w:val="FigureTitle"/>
      </w:pPr>
      <w:r>
        <w:t xml:space="preserve">Figure 10</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3672649"/>
            <wp:effectExtent b="0" l="0" r="0" t="0"/>
            <wp:docPr descr="" title="" id="126" name="Picture"/>
            <a:graphic>
              <a:graphicData uri="http://schemas.openxmlformats.org/drawingml/2006/picture">
                <pic:pic>
                  <pic:nvPicPr>
                    <pic:cNvPr descr="ms_files/figure-docx/fig-zoib-1.png" id="127" name="Picture"/>
                    <pic:cNvPicPr>
                      <a:picLocks noChangeArrowheads="1" noChangeAspect="1"/>
                    </pic:cNvPicPr>
                  </pic:nvPicPr>
                  <pic:blipFill>
                    <a:blip r:embed="rId125"/>
                    <a:stretch>
                      <a:fillRect/>
                    </a:stretch>
                  </pic:blipFill>
                  <pic:spPr bwMode="auto">
                    <a:xfrm>
                      <a:off x="0" y="0"/>
                      <a:ext cx="5943600" cy="3672649"/>
                    </a:xfrm>
                    <a:prstGeom prst="rect">
                      <a:avLst/>
                    </a:prstGeom>
                    <a:noFill/>
                    <a:ln w="9525">
                      <a:noFill/>
                      <a:headEnd/>
                      <a:tailEnd/>
                    </a:ln>
                  </pic:spPr>
                </pic:pic>
              </a:graphicData>
            </a:graphic>
          </wp:inline>
        </w:drawing>
      </w:r>
    </w:p>
    <w:bookmarkEnd w:id="128"/>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2</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9"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"bayes_zoib_model"</w:t>
            </w:r>
            <w:r>
              <w:br/>
            </w:r>
            <w:r>
              <w:rPr>
                <w:rStyle w:val="VerbatimChar"/>
              </w:rPr>
              <w:t xml:space="preserve">)</w:t>
            </w:r>
          </w:p>
          <w:bookmarkEnd w:id="129"/>
        </w:tc>
      </w:tr>
    </w:tbl>
    <w:bookmarkStart w:id="130"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30"/>
    <w:bookmarkStart w:id="132"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31"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31"/>
        </w:tc>
      </w:tr>
    </w:tbl>
    <w:bookmarkEnd w:id="132"/>
    <w:bookmarkEnd w:id="133"/>
    <w:bookmarkStart w:id="139"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2</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4"/>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 To give a slightly absured example, if a value of 0 meant that the subject was a fish, and a value of 1 meant that the subject was now a trombone, then the ordered beta model would no longer be appropriate.</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p>
    <w:bookmarkStart w:id="138" w:name="fitting-an-ordered-beta-regression"/>
    <w:p>
      <w:pPr>
        <w:pStyle w:val="Heading3"/>
      </w:pPr>
      <w:r>
        <w:t xml:space="preserve">Fitting an Ordered Beta Regression</w:t>
      </w:r>
    </w:p>
    <w:p>
      <w:pPr>
        <w:pStyle w:val="FirstParagraph"/>
      </w:pPr>
      <w:r>
        <w:t xml:space="preserve">To fit an ordered beta regression in a Bayesian context we use the</w:t>
      </w:r>
      <w:r>
        <w:t xml:space="preserve"> </w:t>
      </w:r>
      <w:r>
        <w:rPr>
          <w:rStyle w:val="VerbatimChar"/>
        </w:rPr>
        <w:t xml:space="preserve">ordbetareg</w:t>
      </w:r>
      <w:r>
        <w:t xml:space="preserve"> </w:t>
      </w:r>
      <w:r>
        <w:t xml:space="preserve">(Kubinec, 2023)</w:t>
      </w:r>
      <w:r>
        <w:t xml:space="preserve"> </w:t>
      </w:r>
      <w:r>
        <w:t xml:space="preserve">package.</w:t>
      </w:r>
      <w:r>
        <w:t xml:space="preserve"> </w:t>
      </w:r>
      <w:r>
        <w:rPr>
          <w:rStyle w:val="VerbatimChar"/>
        </w:rPr>
        <w:t xml:space="preserve">ordbetareg</w:t>
      </w:r>
      <w:r>
        <w:t xml:space="preserve"> </w:t>
      </w:r>
      <w:r>
        <w:t xml:space="preserve">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w:t>
      </w:r>
      <w:r>
        <w:t xml:space="preserve"> </w:t>
      </w:r>
      <w:r>
        <w:rPr>
          <w:rStyle w:val="VerbatimChar"/>
        </w:rPr>
        <w:t xml:space="preserve">ordbetareg</w:t>
      </w:r>
      <w:r>
        <w:t xml:space="preserve"> </w:t>
      </w:r>
      <w:r>
        <w:t xml:space="preserve">models. (We note that the</w:t>
      </w:r>
      <w:r>
        <w:t xml:space="preserve"> </w:t>
      </w:r>
      <w:r>
        <w:rPr>
          <w:rStyle w:val="VerbatimChar"/>
        </w:rPr>
        <w:t xml:space="preserve">ordbeta</w:t>
      </w:r>
      <w:r>
        <w:t xml:space="preserve"> </w:t>
      </w:r>
      <w:r>
        <w:t xml:space="preserve">model is also available as a maximum-likelihood variant in the R package</w:t>
      </w:r>
      <w:r>
        <w:t xml:space="preserve"> </w:t>
      </w:r>
      <w:r>
        <w:rPr>
          <w:rStyle w:val="VerbatimChar"/>
        </w:rPr>
        <w:t xml:space="preserve">glmmTMB</w:t>
      </w:r>
      <w:r>
        <w:t xml:space="preserve">.) We first load the</w:t>
      </w:r>
      <w:r>
        <w:t xml:space="preserve"> </w:t>
      </w:r>
      <w:r>
        <w:rPr>
          <w:rStyle w:val="VerbatimChar"/>
        </w:rPr>
        <w:t xml:space="preserve">ordbetareg</w:t>
      </w:r>
      <w:r>
        <w:t xml:space="preserve"> </w:t>
      </w:r>
      <w:r>
        <w:t xml:space="preserve">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ordbeta"/>
          <w:p>
            <w:pPr>
              <w:jc w:val="center"/>
            </w:pPr>
            <w:pPr>
              <w:jc w:val="start"/>
              <w:spacing w:before="200"/>
              <w:pStyle w:val="ImageCaption"/>
            </w:pPr>
            <w:r>
              <w:t xml:space="preserve">Listing 16: Load</w:t>
            </w:r>
            <w:r>
              <w:t xml:space="preserve"> </w:t>
            </w:r>
            <w:r>
              <w:rPr>
                <w:rStyle w:val="VerbatimChar"/>
              </w:rPr>
              <w:t xml:space="preserve">ordbetareg</w:t>
            </w:r>
          </w:p>
          <w:p>
            <w:pPr>
              <w:pStyle w:val="SourceCode"/>
              <w:jc w:val="center"/>
            </w:pPr>
            <w:r>
              <w:rPr>
                <w:rStyle w:val="VerbatimChar"/>
              </w:rPr>
              <w:t xml:space="preserve">library(ordbetareg)</w:t>
            </w:r>
          </w:p>
          <w:bookmarkEnd w:id="135"/>
        </w:tc>
      </w:tr>
    </w:tbl>
    <w:p>
      <w:pPr>
        <w:pStyle w:val="FirstParagraph"/>
      </w:pPr>
      <w:r>
        <w:t xml:space="preserve">The</w:t>
      </w:r>
      <w:r>
        <w:t xml:space="preserve"> </w:t>
      </w:r>
      <w:r>
        <w:rPr>
          <w:rStyle w:val="VerbatimChar"/>
        </w:rPr>
        <w:t xml:space="preserve">ordbetareg</w:t>
      </w:r>
      <w:r>
        <w:t xml:space="preserve"> </w:t>
      </w:r>
      <w:r>
        <w:t xml:space="preserve">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"bayes_ordbeta_model"</w:t>
            </w:r>
            <w:r>
              <w:br/>
            </w:r>
            <w:r>
              <w:rPr>
                <w:rStyle w:val="VerbatimChar"/>
              </w:rPr>
              <w:t xml:space="preserve">)</w:t>
            </w:r>
          </w:p>
          <w:bookmarkEnd w:id="136"/>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7"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"bayes_ordbeta_phi_model"</w:t>
            </w:r>
            <w:r>
              <w:br/>
            </w:r>
            <w:r>
              <w:rPr>
                <w:rStyle w:val="VerbatimChar"/>
              </w:rPr>
              <w:t xml:space="preserve">)</w:t>
            </w:r>
          </w:p>
          <w:bookmarkEnd w:id="137"/>
        </w:tc>
      </w:tr>
    </w:tbl>
    <w:bookmarkEnd w:id="138"/>
    <w:bookmarkEnd w:id="139"/>
    <w:bookmarkStart w:id="153" w:name="marginal-effects-1"/>
    <w:p>
      <w:pPr>
        <w:pStyle w:val="Heading2"/>
      </w:pPr>
      <w:r>
        <w:t xml:space="preserve">Marginal Effects</w:t>
      </w:r>
    </w:p>
    <w:p>
      <w:pPr>
        <w:pStyle w:val="FirstParagraph"/>
      </w:pPr>
      <w:hyperlink w:anchor="tbl-all">
        <w:r>
          <w:rPr>
            <w:rStyle w:val="Hyperlink"/>
          </w:rPr>
          <w:t xml:space="preserve">Table 2</w:t>
        </w:r>
      </w:hyperlink>
      <w:r>
        <w:t xml:space="preserve"> </w:t>
      </w:r>
      <w:r>
        <w:t xml:space="preserve">presents the posterior summary. We can use {marginaleffects} to calculate differences on the response scale that average over (or marginalize over) all our parameters.</w:t>
      </w:r>
    </w:p>
    <w:bookmarkStart w:id="140" w:name="tbl-ordbeta"/>
    <w:p>
      <w:pPr>
        <w:pStyle w:val="FigureTitle"/>
      </w:pPr>
      <w:r>
        <w:t xml:space="preserve">Table 7</w:t>
      </w:r>
    </w:p>
    <w:p>
      <w:pPr>
        <w:pStyle w:val="Caption"/>
      </w:pPr>
      <w:r>
        <w:t xml:space="preserve">Marginal effect for fluency in ordered beta model</w:t>
      </w:r>
    </w:p>
    <w:tbl>
      <w:tblPr>
        <w:tblStyle w:val="Table"/>
        <w:tblW w:type="pct" w:w="3958"/>
        <w:tblLayout w:type="fixed"/>
        <w:tblLook w:firstRow="1" w:lastRow="0" w:firstColumn="0" w:lastColumn="0" w:noHBand="0" w:noVBand="0" w:val="0020"/>
      </w:tblPr>
      <w:tblGrid>
        <w:gridCol w:w="1100"/>
        <w:gridCol w:w="2310"/>
        <w:gridCol w:w="880"/>
        <w:gridCol w:w="1980"/>
      </w:tblGrid>
      <w:tr>
        <w:trPr>
          <w:tblHeader w:val="on"/>
        </w:trPr>
        <w:tc>
          <w:tcPr/>
          <w:p>
            <w:pPr>
              <w:pStyle w:val="Compact"/>
            </w:pPr>
            <w:r>
              <w:t xml:space="preserve">Term</w:t>
            </w:r>
          </w:p>
        </w:tc>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Fluency</w:t>
            </w:r>
          </w:p>
        </w:tc>
        <w:tc>
          <w:tcPr/>
          <w:p>
            <w:pPr>
              <w:pStyle w:val="Compact"/>
            </w:pPr>
            <w:r>
              <w:t xml:space="preserve">Fluent - Disfluent</w:t>
            </w:r>
          </w:p>
        </w:tc>
        <w:tc>
          <w:tcPr/>
          <w:p>
            <w:pPr>
              <w:pStyle w:val="Compact"/>
            </w:pPr>
            <w:r>
              <w:t xml:space="preserve">0.062</w:t>
            </w:r>
          </w:p>
        </w:tc>
        <w:tc>
          <w:tcPr/>
          <w:p>
            <w:pPr>
              <w:pStyle w:val="Compact"/>
            </w:pPr>
            <w:r>
              <w:t xml:space="preserve">[-0.013, 0.137]</w:t>
            </w:r>
          </w:p>
        </w:tc>
      </w:tr>
    </w:tbl>
    <w:bookmarkEnd w:id="140"/>
    <w:p>
      <w:pPr>
        <w:pStyle w:val="AfterWithoutNote"/>
      </w:pPr>
      <w:r>
        <w:t xml:space="preserve">In</w:t>
      </w:r>
      <w:r>
        <w:t xml:space="preserve"> </w:t>
      </w:r>
      <w:hyperlink w:anchor="tbl-ordbeta">
        <w:r>
          <w:rPr>
            <w:rStyle w:val="Hyperlink"/>
          </w:rPr>
          <w:t xml:space="preserve">Table 7</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bookmarkStart w:id="142" w:name="cutpoints"/>
    <w:p>
      <w:pPr>
        <w:pStyle w:val="Heading3"/>
      </w:pPr>
      <w:r>
        <w:t xml:space="preserve">Cutpoints</w:t>
      </w:r>
    </w:p>
    <w:p>
      <w:pPr>
        <w:pStyle w:val="FirstParagraph"/>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41" w:name="tbl-cutpoints"/>
    <w:p>
      <w:pPr>
        <w:pStyle w:val="FigureTitle"/>
      </w:pPr>
      <w:r>
        <w:t xml:space="preserve">Table 8</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[-3.56, -2.43]</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41"/>
    <w:p>
      <w:pPr>
        <w:pStyle w:val="AfterWithoutNote"/>
      </w:pPr>
      <w:r>
        <w:t xml:space="preserve">In</w:t>
      </w:r>
      <w:r>
        <w:t xml:space="preserve"> </w:t>
      </w:r>
      <w:hyperlink w:anchor="tbl-cutpoints">
        <w:r>
          <w:rPr>
            <w:rStyle w:val="Hyperlink"/>
          </w:rPr>
          <w:t xml:space="preserve">Table 8</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42"/>
    <w:bookmarkStart w:id="151"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w:t>
      </w:r>
      <w:r>
        <w:t xml:space="preserve"> </w:t>
      </w:r>
      <w:r>
        <w:rPr>
          <w:rStyle w:val="VerbatimChar"/>
        </w:rPr>
        <w:t xml:space="preserve">ordbetareg</w:t>
      </w:r>
      <w:r>
        <w:t xml:space="preserve"> </w:t>
      </w:r>
      <w:r>
        <w:t xml:space="preserve">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w:t>
      </w:r>
      <w:r>
        <w:t xml:space="preserve"> </w:t>
      </w:r>
      <w:r>
        <w:rPr>
          <w:rStyle w:val="VerbatimChar"/>
        </w:rPr>
        <w:t xml:space="preserve">ordbetareg</w:t>
      </w:r>
      <w:r>
        <w:t xml:space="preserve"> </w:t>
      </w:r>
      <w:r>
        <w:t xml:space="preserve">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w:t>
      </w:r>
      <w:r>
        <w:t xml:space="preserve"> </w:t>
      </w:r>
      <w:r>
        <w:rPr>
          <w:rStyle w:val="VerbatimChar"/>
        </w:rPr>
        <w:t xml:space="preserve">ggplot2</w:t>
      </w:r>
      <w:r>
        <w:t xml:space="preserve"> </w:t>
      </w:r>
      <w:r>
        <w:t xml:space="preserve">objects (see</w:t>
      </w:r>
      <w:r>
        <w:t xml:space="preserve"> </w:t>
      </w:r>
      <w:hyperlink w:anchor="fig-ppcheckord">
        <w:r>
          <w:rPr>
            <w:rStyle w:val="Hyperlink"/>
          </w:rPr>
          <w:t xml:space="preserve">Figure 11</w:t>
        </w:r>
      </w:hyperlink>
      <w:r>
        <w:t xml:space="preserve">).</w:t>
      </w:r>
    </w:p>
    <w:bookmarkStart w:id="146" w:name="fig-ppcheckord"/>
    <w:p>
      <w:pPr>
        <w:pStyle w:val="FigureTitle"/>
      </w:pPr>
      <w:r>
        <w:t xml:space="preserve">Figure 11</w:t>
      </w:r>
    </w:p>
    <w:p>
      <w:pPr>
        <w:pStyle w:val="Caption"/>
      </w:pPr>
      <w:r>
        <w:t xml:space="preserve">Posterior predictive check for ordered beta regression model. A. Discrete posterior check. B. Continuous posterior check.</w:t>
      </w:r>
    </w:p>
    <w:p>
      <w:pPr>
        <w:pStyle w:val="FigureWithoutNote"/>
      </w:pPr>
      <w:r>
        <w:drawing>
          <wp:inline>
            <wp:extent cx="5943600" cy="3671823"/>
            <wp:effectExtent b="0" l="0" r="0" t="0"/>
            <wp:docPr descr="" title="" id="144" name="Picture"/>
            <a:graphic>
              <a:graphicData uri="http://schemas.openxmlformats.org/drawingml/2006/picture">
                <pic:pic>
                  <pic:nvPicPr>
                    <pic:cNvPr descr="ms_files/figure-docx/fig-ppcheckord-1.png" id="145" name="Picture"/>
                    <pic:cNvPicPr>
                      <a:picLocks noChangeArrowheads="1" noChangeAspect="1"/>
                    </pic:cNvPicPr>
                  </pic:nvPicPr>
                  <pic:blipFill>
                    <a:blip r:embed="rId143"/>
                    <a:stretch>
                      <a:fillRect/>
                    </a:stretch>
                  </pic:blipFill>
                  <pic:spPr bwMode="auto">
                    <a:xfrm>
                      <a:off x="0" y="0"/>
                      <a:ext cx="5943600" cy="3671823"/>
                    </a:xfrm>
                    <a:prstGeom prst="rect">
                      <a:avLst/>
                    </a:prstGeom>
                    <a:noFill/>
                    <a:ln w="9525">
                      <a:noFill/>
                      <a:headEnd/>
                      <a:tailEnd/>
                    </a:ln>
                  </pic:spPr>
                </pic:pic>
              </a:graphicData>
            </a:graphic>
          </wp:inline>
        </w:drawing>
      </w:r>
    </w:p>
    <w:bookmarkEnd w:id="146"/>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p>
      <w:pPr>
        <w:pStyle w:val="Heading4"/>
        <w:rPr>
          <w:vanish/>
          <w:specVanish/>
        </w:rPr>
      </w:pPr>
      <w:r>
        <w:t>Model Visualization.</w:t>
      </w:r>
      <w:r>
        <w:t xml:space="preserve"> </w:t>
      </w:r>
    </w:p>
    <w:p>
      <w:pPr>
        <w:pStyle w:val="BodyText"/>
      </w:pPr>
      <w:r>
        <w:rPr>
          <w:rStyle w:val="VerbatimChar"/>
        </w:rPr>
        <w:t xml:space="preserve">ordbetareg</w:t>
      </w:r>
      <w:r>
        <w:t xml:space="preserve"> </w:t>
      </w:r>
      <w:r>
        <w:t xml:space="preserve">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12</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50" w:name="fig-heiss"/>
    <w:p>
      <w:pPr>
        <w:pStyle w:val="FigureTitle"/>
      </w:pPr>
      <w:r>
        <w:t xml:space="preserve">Figure 12</w:t>
      </w:r>
    </w:p>
    <w:p>
      <w:pPr>
        <w:pStyle w:val="Caption"/>
      </w:pPr>
      <w:r>
        <w:t xml:space="preserve">Heiss plot of predicted probabilities across the scale (0-100)</w:t>
      </w:r>
    </w:p>
    <w:p>
      <w:pPr>
        <w:pStyle w:val="FigureWithoutNote"/>
      </w:pPr>
      <w:r>
        <w:drawing>
          <wp:inline>
            <wp:extent cx="5504749" cy="3400711"/>
            <wp:effectExtent b="0" l="0" r="0" t="0"/>
            <wp:docPr descr="" title="" id="148" name="Picture"/>
            <a:graphic>
              <a:graphicData uri="http://schemas.openxmlformats.org/drawingml/2006/picture">
                <pic:pic>
                  <pic:nvPicPr>
                    <pic:cNvPr descr="ms_files/figure-docx/fig-heiss-1.png" id="149" name="Picture"/>
                    <pic:cNvPicPr>
                      <a:picLocks noChangeArrowheads="1" noChangeAspect="1"/>
                    </pic:cNvPicPr>
                  </pic:nvPicPr>
                  <pic:blipFill>
                    <a:blip r:embed="rId147"/>
                    <a:stretch>
                      <a:fillRect/>
                    </a:stretch>
                  </pic:blipFill>
                  <pic:spPr bwMode="auto">
                    <a:xfrm>
                      <a:off x="0" y="0"/>
                      <a:ext cx="5504749" cy="3400711"/>
                    </a:xfrm>
                    <a:prstGeom prst="rect">
                      <a:avLst/>
                    </a:prstGeom>
                    <a:noFill/>
                    <a:ln w="9525">
                      <a:noFill/>
                      <a:headEnd/>
                      <a:tailEnd/>
                    </a:ln>
                  </pic:spPr>
                </pic:pic>
              </a:graphicData>
            </a:graphic>
          </wp:inline>
        </w:drawing>
      </w:r>
    </w:p>
    <w:bookmarkEnd w:id="150"/>
    <w:bookmarkEnd w:id="151"/>
    <w:bookmarkStart w:id="152" w:name="ordered-beta-scale"/>
    <w:p>
      <w:pPr>
        <w:pStyle w:val="Heading3"/>
      </w:pPr>
      <w:r>
        <w:t xml:space="preserve">Ordered Beta Scale</w:t>
      </w:r>
    </w:p>
    <w:p>
      <w:pPr>
        <w:pStyle w:val="FirstParagraph"/>
      </w:pPr>
      <w:r>
        <w:t xml:space="preserve">In the</w:t>
      </w:r>
      <w:r>
        <w:t xml:space="preserve"> </w:t>
      </w:r>
      <w:r>
        <w:rPr>
          <w:rStyle w:val="VerbatimChar"/>
        </w:rPr>
        <w:t xml:space="preserve">ordbetareg</w:t>
      </w:r>
      <w:r>
        <w:t xml:space="preserve"> </w:t>
      </w:r>
      <w:r>
        <w:t xml:space="preserve">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w:t>
      </w:r>
      <w:r>
        <w:t xml:space="preserve"> </w:t>
      </w:r>
      <w:r>
        <w:rPr>
          <w:rStyle w:val="VerbatimChar"/>
        </w:rPr>
        <w:t xml:space="preserve">ordbetareg</w:t>
      </w:r>
      <w:r>
        <w:t xml:space="preserve"> </w:t>
      </w:r>
      <w:r>
        <w:t xml:space="preserve">will convert the model predictions back to the true bounds after estimation.</w:t>
      </w:r>
    </w:p>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traditional approaches (e.g., t-tests) to analyze accuracy data can lead to inaccurate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structural zero part of the model,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If this is the case, we would want to model this appropriately. However, if we believe fluency effects general performance levels,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66" w:name="references"/>
    <w:p>
      <w:pPr>
        <w:pStyle w:val="Heading1"/>
      </w:pPr>
      <w:r>
        <w:t xml:space="preserve">References</w:t>
      </w:r>
    </w:p>
    <w:bookmarkStart w:id="265"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7">
        <w:r>
          <w:rPr>
            <w:rStyle w:val="Hyperlink"/>
          </w:rPr>
          <w:t xml:space="preserve">https://doi.org/10.1016/j.wocn.2016.08.006</w:t>
        </w:r>
      </w:hyperlink>
    </w:p>
    <w:bookmarkEnd w:id="198"/>
    <w:bookmarkStart w:id="200"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199">
        <w:r>
          <w:rPr>
            <w:rStyle w:val="Hyperlink"/>
          </w:rPr>
          <w:t xml:space="preserve">https://doi.org/10.1111/j.1467-9280.2008.02127.x</w:t>
        </w:r>
      </w:hyperlink>
    </w:p>
    <w:bookmarkEnd w:id="200"/>
    <w:bookmarkStart w:id="201"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1"/>
    <w:bookmarkStart w:id="203"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2">
        <w:r>
          <w:rPr>
            <w:rStyle w:val="Hyperlink"/>
          </w:rPr>
          <w:t xml:space="preserve">https://doi.org/10.1177/2515245918771304</w:t>
        </w:r>
      </w:hyperlink>
    </w:p>
    <w:bookmarkEnd w:id="203"/>
    <w:bookmarkStart w:id="205"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04">
        <w:r>
          <w:rPr>
            <w:rStyle w:val="Hyperlink"/>
          </w:rPr>
          <w:t xml:space="preserve">https://doi.org/10.1017/pan.2022.20</w:t>
        </w:r>
      </w:hyperlink>
    </w:p>
    <w:bookmarkEnd w:id="205"/>
    <w:bookmarkStart w:id="207"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06">
        <w:r>
          <w:rPr>
            <w:rStyle w:val="Hyperlink"/>
          </w:rPr>
          <w:t xml:space="preserve">https://CRAN.R-project.org/package=ordbetareg</w:t>
        </w:r>
      </w:hyperlink>
    </w:p>
    <w:bookmarkEnd w:id="207"/>
    <w:bookmarkStart w:id="209"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08">
        <w:r>
          <w:rPr>
            <w:rStyle w:val="Hyperlink"/>
          </w:rPr>
          <w:t xml:space="preserve">https://doi.org/10.32614/CRAN.package.emmeans</w:t>
        </w:r>
      </w:hyperlink>
    </w:p>
    <w:bookmarkEnd w:id="209"/>
    <w:bookmarkStart w:id="211"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0">
        <w:r>
          <w:rPr>
            <w:rStyle w:val="Hyperlink"/>
          </w:rPr>
          <w:t xml:space="preserve">https://doi.org/10.32614/rj-2015-019</w:t>
        </w:r>
      </w:hyperlink>
    </w:p>
    <w:bookmarkEnd w:id="211"/>
    <w:bookmarkStart w:id="213"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2">
        <w:r>
          <w:rPr>
            <w:rStyle w:val="Hyperlink"/>
          </w:rPr>
          <w:t xml:space="preserve">https://easystats.github.io/easystats/</w:t>
        </w:r>
      </w:hyperlink>
    </w:p>
    <w:bookmarkEnd w:id="213"/>
    <w:bookmarkStart w:id="215"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14">
        <w:r>
          <w:rPr>
            <w:rStyle w:val="Hyperlink"/>
          </w:rPr>
          <w:t xml:space="preserve">https://doi.org/10.3389/fpsyg.2019.02767</w:t>
        </w:r>
      </w:hyperlink>
    </w:p>
    <w:bookmarkEnd w:id="215"/>
    <w:bookmarkStart w:id="217"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16">
        <w:r>
          <w:rPr>
            <w:rStyle w:val="Hyperlink"/>
          </w:rPr>
          <w:t xml:space="preserve">https://doi.org/10.21105/joss.01541</w:t>
        </w:r>
      </w:hyperlink>
    </w:p>
    <w:bookmarkEnd w:id="217"/>
    <w:bookmarkStart w:id="219"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18">
        <w:r>
          <w:rPr>
            <w:rStyle w:val="Hyperlink"/>
          </w:rPr>
          <w:t xml:space="preserve">https://doi.org/10.31234/osf.io/z68v3_v1</w:t>
        </w:r>
      </w:hyperlink>
    </w:p>
    <w:bookmarkEnd w:id="219"/>
    <w:bookmarkStart w:id="221"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0">
        <w:r>
          <w:rPr>
            <w:rStyle w:val="Hyperlink"/>
          </w:rPr>
          <w:t xml:space="preserve">https://doi.org/10.1177/0013164416669201</w:t>
        </w:r>
      </w:hyperlink>
    </w:p>
    <w:bookmarkEnd w:id="221"/>
    <w:bookmarkStart w:id="223"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2">
        <w:r>
          <w:rPr>
            <w:rStyle w:val="Hyperlink"/>
          </w:rPr>
          <w:t xml:space="preserve">https://doi.org/10.1098/rsos.231713</w:t>
        </w:r>
      </w:hyperlink>
    </w:p>
    <w:bookmarkEnd w:id="223"/>
    <w:bookmarkStart w:id="225"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24">
        <w:r>
          <w:rPr>
            <w:rStyle w:val="Hyperlink"/>
          </w:rPr>
          <w:t xml:space="preserve">https://doi.org/10.1080/00273171.2020.1868966</w:t>
        </w:r>
      </w:hyperlink>
    </w:p>
    <w:bookmarkEnd w:id="225"/>
    <w:bookmarkStart w:id="227"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26">
        <w:r>
          <w:rPr>
            <w:rStyle w:val="Hyperlink"/>
          </w:rPr>
          <w:t xml:space="preserve">https://doi.org/10.1201/9780429029608</w:t>
        </w:r>
      </w:hyperlink>
    </w:p>
    <w:bookmarkEnd w:id="227"/>
    <w:bookmarkStart w:id="229"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28">
        <w:r>
          <w:rPr>
            <w:rStyle w:val="Hyperlink"/>
          </w:rPr>
          <w:t xml:space="preserve">https://doi.org/10.2307/2344614</w:t>
        </w:r>
      </w:hyperlink>
    </w:p>
    <w:bookmarkEnd w:id="229"/>
    <w:bookmarkStart w:id="231"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0">
        <w:r>
          <w:rPr>
            <w:rStyle w:val="Hyperlink"/>
          </w:rPr>
          <w:t xml:space="preserve">https://www.sciencedirect.com/science/article/pii/S0048969723041505</w:t>
        </w:r>
      </w:hyperlink>
    </w:p>
    <w:bookmarkEnd w:id="231"/>
    <w:bookmarkStart w:id="233"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2">
        <w:r>
          <w:rPr>
            <w:rStyle w:val="Hyperlink"/>
          </w:rPr>
          <w:t xml:space="preserve">https://doi.org/10.1093/oxfordjournals.pan.a004873</w:t>
        </w:r>
      </w:hyperlink>
    </w:p>
    <w:bookmarkEnd w:id="233"/>
    <w:bookmarkStart w:id="235"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34">
        <w:r>
          <w:rPr>
            <w:rStyle w:val="Hyperlink"/>
          </w:rPr>
          <w:t xml:space="preserve">https://www.R-project.org/</w:t>
        </w:r>
      </w:hyperlink>
    </w:p>
    <w:bookmarkEnd w:id="235"/>
    <w:bookmarkStart w:id="236"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36"/>
    <w:bookmarkStart w:id="238"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37">
        <w:r>
          <w:rPr>
            <w:rStyle w:val="Hyperlink"/>
          </w:rPr>
          <w:t xml:space="preserve">https://docs.ropensci.org/rix/</w:t>
        </w:r>
      </w:hyperlink>
    </w:p>
    <w:bookmarkEnd w:id="238"/>
    <w:bookmarkStart w:id="240"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39">
        <w:r>
          <w:rPr>
            <w:rStyle w:val="Hyperlink"/>
          </w:rPr>
          <w:t xml:space="preserve">https://doi.org/10.31234/osf.io/g4s2a_v1</w:t>
        </w:r>
      </w:hyperlink>
    </w:p>
    <w:bookmarkEnd w:id="240"/>
    <w:bookmarkStart w:id="242"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1">
        <w:r>
          <w:rPr>
            <w:rStyle w:val="Hyperlink"/>
          </w:rPr>
          <w:t xml:space="preserve">https://doi.org/10.1177/08902070241239834</w:t>
        </w:r>
      </w:hyperlink>
    </w:p>
    <w:bookmarkEnd w:id="242"/>
    <w:bookmarkStart w:id="244"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43">
        <w:r>
          <w:rPr>
            <w:rStyle w:val="Hyperlink"/>
          </w:rPr>
          <w:t xml:space="preserve">https://doi.org/10.31234/osf.io/4rznt</w:t>
        </w:r>
      </w:hyperlink>
    </w:p>
    <w:bookmarkEnd w:id="244"/>
    <w:bookmarkStart w:id="246"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45">
        <w:r>
          <w:rPr>
            <w:rStyle w:val="Hyperlink"/>
          </w:rPr>
          <w:t xml:space="preserve">https://doi.org/10.1001/jamanetworkopen.2023.53401</w:t>
        </w:r>
      </w:hyperlink>
    </w:p>
    <w:bookmarkEnd w:id="246"/>
    <w:bookmarkStart w:id="248"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47">
        <w:r>
          <w:rPr>
            <w:rStyle w:val="Hyperlink"/>
          </w:rPr>
          <w:t xml:space="preserve">https://doi.org/10.1037/1082-989x.11.1.54</w:t>
        </w:r>
      </w:hyperlink>
    </w:p>
    <w:bookmarkEnd w:id="248"/>
    <w:bookmarkStart w:id="250"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49">
        <w:r>
          <w:rPr>
            <w:rStyle w:val="Hyperlink"/>
          </w:rPr>
          <w:t xml:space="preserve">https://mc-stan.org</w:t>
        </w:r>
      </w:hyperlink>
    </w:p>
    <w:bookmarkEnd w:id="250"/>
    <w:bookmarkStart w:id="252"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1">
        <w:r>
          <w:rPr>
            <w:rStyle w:val="Hyperlink"/>
          </w:rPr>
          <w:t xml:space="preserve">https://doi.org/10.1007/s11409-017-9175-0</w:t>
        </w:r>
      </w:hyperlink>
    </w:p>
    <w:bookmarkEnd w:id="252"/>
    <w:bookmarkStart w:id="254" w:name="ref-vuorre2019"/>
    <w:p>
      <w:pPr>
        <w:pStyle w:val="Bibliography"/>
      </w:pPr>
      <w:r>
        <w:t xml:space="preserve">Vuorre, M. (2019, February 18).</w:t>
      </w:r>
      <w:r>
        <w:t xml:space="preserve"> </w:t>
      </w:r>
      <w:r>
        <w:rPr>
          <w:i/>
          <w:iCs/>
        </w:rPr>
        <w:t xml:space="preserve">How to Analyze Visual Analog (Slider) Scale Data?</w:t>
      </w:r>
      <w:r>
        <w:t xml:space="preserve"> </w:t>
      </w:r>
      <w:hyperlink r:id="rId253">
        <w:r>
          <w:rPr>
            <w:rStyle w:val="Hyperlink"/>
          </w:rPr>
          <w:t xml:space="preserve">https://vuorre.com/posts/2019-02-18-analyze-analog-scale-ratings-with-zero-one-inflated-beta-models</w:t>
        </w:r>
      </w:hyperlink>
    </w:p>
    <w:bookmarkEnd w:id="254"/>
    <w:bookmarkStart w:id="256"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55">
        <w:r>
          <w:rPr>
            <w:rStyle w:val="Hyperlink"/>
          </w:rPr>
          <w:t xml:space="preserve">https://r4ds.hadley.nz/</w:t>
        </w:r>
      </w:hyperlink>
    </w:p>
    <w:bookmarkEnd w:id="256"/>
    <w:bookmarkStart w:id="258"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57">
        <w:r>
          <w:rPr>
            <w:rStyle w:val="Hyperlink"/>
          </w:rPr>
          <w:t xml:space="preserve">https://doi.org/10.1002/acp.3724</w:t>
        </w:r>
      </w:hyperlink>
    </w:p>
    <w:bookmarkEnd w:id="258"/>
    <w:bookmarkStart w:id="260"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59">
        <w:r>
          <w:rPr>
            <w:rStyle w:val="Hyperlink"/>
          </w:rPr>
          <w:t xml:space="preserve">https://doi.org/10.1111/gcb.17422</w:t>
        </w:r>
      </w:hyperlink>
    </w:p>
    <w:bookmarkEnd w:id="260"/>
    <w:bookmarkStart w:id="262"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1">
        <w:r>
          <w:rPr>
            <w:rStyle w:val="Hyperlink"/>
          </w:rPr>
          <w:t xml:space="preserve">https://doi.org/10.1037/mac0000003</w:t>
        </w:r>
      </w:hyperlink>
    </w:p>
    <w:bookmarkEnd w:id="262"/>
    <w:bookmarkStart w:id="264"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63">
        <w:r>
          <w:rPr>
            <w:rStyle w:val="Hyperlink"/>
          </w:rPr>
          <w:t xml:space="preserve">https://stats.andrewheiss.com/compassionate-clam/manuscript/output/manuscript.html</w:t>
        </w:r>
      </w:hyperlink>
    </w:p>
    <w:bookmarkEnd w:id="264"/>
    <w:bookmarkEnd w:id="265"/>
    <w:sectPr>
      <w:lnNumType w:countBy="1" w:restart="continuous"/>
    </w:sectPr>
    <w:bookmarkEnd w:id="266"/>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7">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9">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0">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1">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4">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4">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0" Target="media/rId50.png" /><Relationship Type="http://schemas.openxmlformats.org/officeDocument/2006/relationships/image" Id="rId101" Target="media/rId101.png" /><Relationship Type="http://schemas.openxmlformats.org/officeDocument/2006/relationships/image" Id="rId66" Target="media/rId66.png" /><Relationship Type="http://schemas.openxmlformats.org/officeDocument/2006/relationships/image" Id="rId147" Target="media/rId147.png" /><Relationship Type="http://schemas.openxmlformats.org/officeDocument/2006/relationships/image" Id="rId57" Target="media/rId57.png" /><Relationship Type="http://schemas.openxmlformats.org/officeDocument/2006/relationships/image" Id="rId92" Target="media/rId92.png" /><Relationship Type="http://schemas.openxmlformats.org/officeDocument/2006/relationships/image" Id="rId82" Target="media/rId82.png" /><Relationship Type="http://schemas.openxmlformats.org/officeDocument/2006/relationships/image" Id="rId143" Target="media/rId143.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06" Target="https://CRAN.R-project.org/package=ordbetareg" TargetMode="External" /><Relationship Type="http://schemas.openxmlformats.org/officeDocument/2006/relationships/hyperlink" Id="rId237" Target="https://docs.ropensci.org/rix/" TargetMode="External" /><Relationship Type="http://schemas.openxmlformats.org/officeDocument/2006/relationships/hyperlink" Id="rId245" Target="https://doi.org/10.1001/jamanetworkopen.2023.53401" TargetMode="External" /><Relationship Type="http://schemas.openxmlformats.org/officeDocument/2006/relationships/hyperlink" Id="rId257"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1" Target="https://doi.org/10.1007/s11409-017-9175-0" TargetMode="External" /><Relationship Type="http://schemas.openxmlformats.org/officeDocument/2006/relationships/hyperlink" Id="rId197" Target="https://doi.org/10.1016/j.wocn.2016.08.006" TargetMode="External" /><Relationship Type="http://schemas.openxmlformats.org/officeDocument/2006/relationships/hyperlink" Id="rId204" Target="https://doi.org/10.1017/pan.2022.20" TargetMode="External" /><Relationship Type="http://schemas.openxmlformats.org/officeDocument/2006/relationships/hyperlink" Id="rId247" Target="https://doi.org/10.1037/1082-989x.11.1.54" TargetMode="External" /><Relationship Type="http://schemas.openxmlformats.org/officeDocument/2006/relationships/hyperlink" Id="rId261"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24"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32" Target="https://doi.org/10.1093/oxfordjournals.pan.a004873" TargetMode="External" /><Relationship Type="http://schemas.openxmlformats.org/officeDocument/2006/relationships/hyperlink" Id="rId222" Target="https://doi.org/10.1098/rsos.231713" TargetMode="External" /><Relationship Type="http://schemas.openxmlformats.org/officeDocument/2006/relationships/hyperlink" Id="rId259" Target="https://doi.org/10.1111/gcb.17422" TargetMode="External" /><Relationship Type="http://schemas.openxmlformats.org/officeDocument/2006/relationships/hyperlink" Id="rId199"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0" Target="https://doi.org/10.1177/0013164416669201" TargetMode="External" /><Relationship Type="http://schemas.openxmlformats.org/officeDocument/2006/relationships/hyperlink" Id="rId241" Target="https://doi.org/10.1177/08902070241239834" TargetMode="External" /><Relationship Type="http://schemas.openxmlformats.org/officeDocument/2006/relationships/hyperlink" Id="rId202"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26"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16" Target="https://doi.org/10.21105/joss.01541" TargetMode="External" /><Relationship Type="http://schemas.openxmlformats.org/officeDocument/2006/relationships/hyperlink" Id="rId228"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43" Target="https://doi.org/10.31234/osf.io/4rznt" TargetMode="External" /><Relationship Type="http://schemas.openxmlformats.org/officeDocument/2006/relationships/hyperlink" Id="rId239" Target="https://doi.org/10.31234/osf.io/g4s2a_v1" TargetMode="External" /><Relationship Type="http://schemas.openxmlformats.org/officeDocument/2006/relationships/hyperlink" Id="rId218" Target="https://doi.org/10.31234/osf.io/z68v3_v1" TargetMode="External" /><Relationship Type="http://schemas.openxmlformats.org/officeDocument/2006/relationships/hyperlink" Id="rId208"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0" Target="https://doi.org/10.32614/rj-2015-019" TargetMode="External" /><Relationship Type="http://schemas.openxmlformats.org/officeDocument/2006/relationships/hyperlink" Id="rId214"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2"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49"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55"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63" Target="https://stats.andrewheiss.com/compassionate-clam/manuscript/output/manuscript.html" TargetMode="External" /><Relationship Type="http://schemas.openxmlformats.org/officeDocument/2006/relationships/hyperlink" Id="rId253" Target="https://vuorre.com/posts/2019-02-18-analyze-analog-scale-ratings-with-zero-one-inflated-beta-models" TargetMode="External" /><Relationship Type="http://schemas.openxmlformats.org/officeDocument/2006/relationships/hyperlink" Id="rId234" Target="https://www.R-project.org/" TargetMode="External" /><Relationship Type="http://schemas.openxmlformats.org/officeDocument/2006/relationships/hyperlink" Id="rId267" Target="https://www.routledge.com/Bayes-Rules-An-Introduction-to-Applied-Bayesian-Modeling/Johnson-Ott-Dogucu/p/book/9780367255398" TargetMode="External" /><Relationship Type="http://schemas.openxmlformats.org/officeDocument/2006/relationships/hyperlink" Id="rId230" Target="https://www.sciencedirect.com/science/article/pii/S0048969723041505"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06" Target="https://CRAN.R-project.org/package=ordbetareg" TargetMode="External" /><Relationship Type="http://schemas.openxmlformats.org/officeDocument/2006/relationships/hyperlink" Id="rId237" Target="https://docs.ropensci.org/rix/" TargetMode="External" /><Relationship Type="http://schemas.openxmlformats.org/officeDocument/2006/relationships/hyperlink" Id="rId245" Target="https://doi.org/10.1001/jamanetworkopen.2023.53401" TargetMode="External" /><Relationship Type="http://schemas.openxmlformats.org/officeDocument/2006/relationships/hyperlink" Id="rId257"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1" Target="https://doi.org/10.1007/s11409-017-9175-0" TargetMode="External" /><Relationship Type="http://schemas.openxmlformats.org/officeDocument/2006/relationships/hyperlink" Id="rId197" Target="https://doi.org/10.1016/j.wocn.2016.08.006" TargetMode="External" /><Relationship Type="http://schemas.openxmlformats.org/officeDocument/2006/relationships/hyperlink" Id="rId204" Target="https://doi.org/10.1017/pan.2022.20" TargetMode="External" /><Relationship Type="http://schemas.openxmlformats.org/officeDocument/2006/relationships/hyperlink" Id="rId247" Target="https://doi.org/10.1037/1082-989x.11.1.54" TargetMode="External" /><Relationship Type="http://schemas.openxmlformats.org/officeDocument/2006/relationships/hyperlink" Id="rId261"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24"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32" Target="https://doi.org/10.1093/oxfordjournals.pan.a004873" TargetMode="External" /><Relationship Type="http://schemas.openxmlformats.org/officeDocument/2006/relationships/hyperlink" Id="rId222" Target="https://doi.org/10.1098/rsos.231713" TargetMode="External" /><Relationship Type="http://schemas.openxmlformats.org/officeDocument/2006/relationships/hyperlink" Id="rId259" Target="https://doi.org/10.1111/gcb.17422" TargetMode="External" /><Relationship Type="http://schemas.openxmlformats.org/officeDocument/2006/relationships/hyperlink" Id="rId199"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0" Target="https://doi.org/10.1177/0013164416669201" TargetMode="External" /><Relationship Type="http://schemas.openxmlformats.org/officeDocument/2006/relationships/hyperlink" Id="rId241" Target="https://doi.org/10.1177/08902070241239834" TargetMode="External" /><Relationship Type="http://schemas.openxmlformats.org/officeDocument/2006/relationships/hyperlink" Id="rId202"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26"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16" Target="https://doi.org/10.21105/joss.01541" TargetMode="External" /><Relationship Type="http://schemas.openxmlformats.org/officeDocument/2006/relationships/hyperlink" Id="rId228"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43" Target="https://doi.org/10.31234/osf.io/4rznt" TargetMode="External" /><Relationship Type="http://schemas.openxmlformats.org/officeDocument/2006/relationships/hyperlink" Id="rId239" Target="https://doi.org/10.31234/osf.io/g4s2a_v1" TargetMode="External" /><Relationship Type="http://schemas.openxmlformats.org/officeDocument/2006/relationships/hyperlink" Id="rId218" Target="https://doi.org/10.31234/osf.io/z68v3_v1" TargetMode="External" /><Relationship Type="http://schemas.openxmlformats.org/officeDocument/2006/relationships/hyperlink" Id="rId208"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0" Target="https://doi.org/10.32614/rj-2015-019" TargetMode="External" /><Relationship Type="http://schemas.openxmlformats.org/officeDocument/2006/relationships/hyperlink" Id="rId214"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2"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49"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55"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63" Target="https://stats.andrewheiss.com/compassionate-clam/manuscript/output/manuscript.html" TargetMode="External" /><Relationship Type="http://schemas.openxmlformats.org/officeDocument/2006/relationships/hyperlink" Id="rId253" Target="https://vuorre.com/posts/2019-02-18-analyze-analog-scale-ratings-with-zero-one-inflated-beta-models" TargetMode="External" /><Relationship Type="http://schemas.openxmlformats.org/officeDocument/2006/relationships/hyperlink" Id="rId234" Target="https://www.R-project.org/" TargetMode="External" /><Relationship Type="http://schemas.openxmlformats.org/officeDocument/2006/relationships/hyperlink" Id="rId267" Target="https://www.routledge.com/Bayes-Rules-An-Introduction-to-Applied-Bayesian-Modeling/Johnson-Ott-Dogucu/p/book/9780367255398" TargetMode="External" /><Relationship Type="http://schemas.openxmlformats.org/officeDocument/2006/relationships/hyperlink" Id="rId230" Target="https://www.sciencedirect.com/science/article/pii/S0048969723041505"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11056</vt:lpwstr>
  </property>
  <property fmtid="{D5CDD505-2E9C-101B-9397-08002B2CF9AE}" pid="67" name="zerocitations">
    <vt:lpwstr>False</vt:lpwstr>
  </property>
</Properties>
</file>