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3.png" ContentType="image/png"/>
  <Override PartName="/word/media/rId23.svg" ContentType="image/svg+xml"/>
  <Override PartName="/word/media/rId53.png" ContentType="image/png"/>
  <Override PartName="/word/media/rId99.png" ContentType="image/png"/>
  <Override PartName="/word/media/rId72.png" ContentType="image/png"/>
  <Override PartName="/word/media/rId150.png" ContentType="image/png"/>
  <Override PartName="/word/media/rId163.png" ContentType="image/png"/>
  <Override PartName="/word/media/rId62.png" ContentType="image/png"/>
  <Override PartName="/word/media/rId107.png" ContentType="image/png"/>
  <Override PartName="/word/media/rId156.png" ContentType="image/png"/>
  <Override PartName="/word/media/rId171.png" ContentType="image/png"/>
  <Override PartName="/word/media/rId145.png" ContentType="image/png"/>
  <Override PartName="/word/media/rId86.png" ContentType="image/png"/>
  <Override PartName="/word/media/rId81.png" ContentType="image/png"/>
  <Override PartName="/word/media/rId121.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A Beta Way: A</w:t>
      </w:r>
      <w:r>
        <w:t xml:space="preserve"> </w:t>
      </w:r>
      <w:r>
        <w:rPr>
          <w:b/>
          <w:bCs/>
        </w:rPr>
        <w:t xml:space="preserve">Bayesian</w:t>
      </w:r>
      <w:r>
        <w:t xml:space="preserve"> </w:t>
      </w:r>
      <w:r>
        <w:t xml:space="preserve">Tutorial on Beta Regression for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Chapman University</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Jason Geller</w:t>
      </w:r>
      <w:r>
        <w:t xml:space="preserve"> </w:t>
      </w:r>
      <w:bookmarkStart w:id="26"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https://orcid.org/0000-0002-7459-4505</w:t>
        </w:r>
      </w:hyperlink>
    </w:p>
    <w:p>
      <w:pPr>
        <w:pStyle w:val="BodyText"/>
      </w:pPr>
      <w:r>
        <w:t xml:space="preserve">Robert Kubinec</w:t>
      </w:r>
      <w:r>
        <w:t xml:space="preserve"> </w:t>
      </w:r>
      <w:bookmarkStart w:id="30" w:name="orch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https://orcid.org/0000-0001-6655-4119</w:t>
        </w:r>
      </w:hyperlink>
    </w:p>
    <w:p>
      <w:pPr>
        <w:pStyle w:val="BodyText"/>
      </w:pPr>
      <w:r>
        <w:t xml:space="preserve">Chelsea M. Parlett Pelleriti</w:t>
      </w:r>
      <w:r>
        <w:t xml:space="preserve"> </w:t>
      </w:r>
      <w:bookmarkStart w:id="34" w:name="orch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https://orcid.org/0000-0001-9301-1398</w:t>
        </w:r>
      </w:hyperlink>
    </w:p>
    <w:p>
      <w:pPr>
        <w:pStyle w:val="BodyText"/>
      </w:pPr>
      <w:r>
        <w:t xml:space="preserve">Matti Vuorre</w:t>
      </w:r>
      <w:r>
        <w:t xml:space="preserve"> </w:t>
      </w:r>
      <w:bookmarkStart w:id="38" w:name="orch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wjschne/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9">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https://doi.org/10.5281/zenodo.15830595.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 Chestnut Hill, MA 2467, USA, Email:</w:t>
      </w:r>
      <w:r>
        <w:t xml:space="preserve"> </w:t>
      </w:r>
      <w:hyperlink r:id="rId40">
        <w:r>
          <w:rPr>
            <w:rStyle w:val="Hyperlink"/>
          </w:rPr>
          <w:t xml:space="preserve">drjasongeller@gmail.com</w:t>
        </w:r>
      </w:hyperlink>
    </w:p>
    <w:p>
      <w:r>
        <w:br w:type="page"/>
      </w:r>
    </w:p>
    <w:bookmarkEnd w:id="41"/>
    <w:bookmarkStart w:id="42"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using the packages</w:t>
      </w:r>
      <w:r>
        <w:t xml:space="preserve"> </w:t>
      </w:r>
      <w:r>
        <w:rPr>
          <w:b/>
          <w:bCs/>
        </w:rPr>
        <w:t xml:space="preserve">{marginaleffects}</w:t>
      </w:r>
      <w:r>
        <w:t xml:space="preserve"> </w:t>
      </w:r>
      <w:r>
        <w:t xml:space="preserve">and</w:t>
      </w:r>
      <w:r>
        <w:t xml:space="preserve"> </w:t>
      </w:r>
      <w:r>
        <w:rPr>
          <w:b/>
          <w:bCs/>
        </w:rPr>
        <w:t xml:space="preserve">{easystats}</w:t>
      </w:r>
      <w:r>
        <w:t xml:space="preserv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r>
        <w:rPr>
          <w:b/>
          <w:bCs/>
        </w:rPr>
        <w:t xml:space="preserve">For researchers preferring a frequentist framework, we include an appendix demonstrating equivalent analyses using {glmmTMB}.</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13203</w:t>
      </w:r>
    </w:p>
    <w:p>
      <w:r>
        <w:br w:type="page"/>
      </w:r>
    </w:p>
    <w:bookmarkEnd w:id="42"/>
    <w:bookmarkStart w:id="46" w:name="firstheader"/>
    <w:p>
      <w:pPr>
        <w:pStyle w:val="Heading1"/>
      </w:pPr>
      <w:r>
        <w:t xml:space="preserve">A Beta Way: A</w:t>
      </w:r>
      <w:r>
        <w:t xml:space="preserve"> </w:t>
      </w:r>
      <w:r>
        <w:rPr>
          <w:b/>
          <w:bCs/>
        </w:rPr>
        <w:t xml:space="preserve">Bayesian</w:t>
      </w:r>
      <w:r>
        <w:t xml:space="preserve"> </w:t>
      </w:r>
      <w:r>
        <w:t xml:space="preserve">Tutorial on Beta Regression for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nix/store/q893frxy9kjzc70px17r3vww1vxy2h1j-quarto-1.7.34/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6"/>
    <w:bookmarkStart w:id="67"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7"/>
      </w:r>
      <w:r>
        <w:t xml:space="preserve"> </w:t>
      </w:r>
      <w:r>
        <w:t xml:space="preserve">Consequently, a scale that has natural end points of -1,234 and +8,451–or any other end points on the real number line short of infinity—can be modeled using the approaches we describe in this paper.</w:t>
      </w:r>
    </w:p>
    <w:bookmarkStart w:id="51"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w:t>
      </w:r>
      <w:r>
        <w:rPr>
          <w:rStyle w:val="FootnoteReference"/>
        </w:rPr>
        <w:footnoteReference w:id="48"/>
      </w:r>
      <w:r>
        <w:t xml:space="preserve">–that enable researchers to model outcomes that include boundary values. Finally, all code and materials used in this tutorial are fully reproducible and available via our GitHub repository:</w:t>
      </w:r>
      <w:r>
        <w:t xml:space="preserve"> </w:t>
      </w:r>
      <w:hyperlink r:id="rId49">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50"/>
      </w:r>
      <w:r>
        <w:t xml:space="preserve">.</w:t>
      </w:r>
    </w:p>
    <w:bookmarkEnd w:id="51"/>
    <w:bookmarkStart w:id="57"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2"/>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6"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4" name="Picture"/>
            <a:graphic>
              <a:graphicData uri="http://schemas.openxmlformats.org/drawingml/2006/picture">
                <pic:pic>
                  <pic:nvPicPr>
                    <pic:cNvPr descr="ms_files/figure-docx/fig-curves-1.png" id="55" name="Picture"/>
                    <pic:cNvPicPr>
                      <a:picLocks noChangeArrowheads="1" noChangeAspect="1"/>
                    </pic:cNvPicPr>
                  </pic:nvPicPr>
                  <pic:blipFill>
                    <a:blip r:embed="rId53"/>
                    <a:stretch>
                      <a:fillRect/>
                    </a:stretch>
                  </pic:blipFill>
                  <pic:spPr bwMode="auto">
                    <a:xfrm>
                      <a:off x="0" y="0"/>
                      <a:ext cx="5504749" cy="2862469"/>
                    </a:xfrm>
                    <a:prstGeom prst="rect">
                      <a:avLst/>
                    </a:prstGeom>
                    <a:noFill/>
                    <a:ln w="9525">
                      <a:noFill/>
                      <a:headEnd/>
                      <a:tailEnd/>
                    </a:ln>
                  </pic:spPr>
                </pic:pic>
              </a:graphicData>
            </a:graphic>
          </wp:inline>
        </w:drawing>
      </w:r>
    </w:p>
    <w:bookmarkEnd w:id="56"/>
    <w:bookmarkEnd w:id="57"/>
    <w:bookmarkStart w:id="59"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8"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8"/>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9"/>
    <w:bookmarkStart w:id="66"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60"/>
      </w:r>
    </w:p>
    <w:p>
      <w:pPr>
        <w:pStyle w:val="BodyText"/>
      </w:pPr>
      <w:r>
        <w:rPr>
          <w:b/>
          <w:bCs/>
        </w:rPr>
        <w:t xml:space="preserve">There are several important differences between our Bayesian analysis and the frequentist methods readers may be more familiar with—most notably, the absence of</w:t>
      </w:r>
      <w:r>
        <w:rPr>
          <w:b/>
          <w:bCs/>
        </w:rPr>
        <w:t xml:space="preserve"> </w:t>
      </w:r>
      <w:r>
        <w:rPr>
          <w:b/>
          <w:bCs/>
          <w:i/>
          <w:iCs/>
        </w:rPr>
        <w:t xml:space="preserve">t</w:t>
      </w:r>
      <w:r>
        <w:rPr>
          <w:b/>
          <w:bCs/>
        </w:rPr>
        <w:t xml:space="preserve">- and</w:t>
      </w:r>
      <w:r>
        <w:rPr>
          <w:b/>
          <w:bCs/>
        </w:rPr>
        <w:t xml:space="preserve"> </w:t>
      </w:r>
      <w:r>
        <w:rPr>
          <w:b/>
          <w:bCs/>
          <w:i/>
          <w:iCs/>
        </w:rPr>
        <w:t xml:space="preserve">p</w:t>
      </w:r>
      <w:r>
        <w:rPr>
          <w:b/>
          <w:bCs/>
        </w:rPr>
        <w:t xml:space="preserve">-values. To estimate models, the {brms} package uses Stan’s computational algorithms to draw random samples from the posterior distribution, which represents the probability of the model parameters given the observed data. By default, {brms} runs 4 chains with 2,000 iterations each.</w:t>
      </w:r>
      <w:r>
        <w:rPr>
          <w:rStyle w:val="FootnoteReference"/>
        </w:rPr>
        <w:footnoteReference w:id="61"/>
      </w:r>
      <w:r>
        <w:t xml:space="preserve"> </w:t>
      </w:r>
      <w:r>
        <w:rPr>
          <w:b/>
          <w:bCs/>
        </w:rPr>
        <w:t xml:space="preserve">The first 1,000 iterations per chain are warmup and are discarded. The remaining 1,000 iterations per chain are retained as posterior draws, yielding 4,000 total post-warmup draws across all chains. From these draws, we compute the posterior mean (analogous to a frequentist point estimate) and the 95% credible interval (Cr.I.). Unlike a frequentist confidence interval, a credible interval directly represents the probability that the parameter lies within a given range. Specifically, the 95% Cr.I. can be interpreted as the range within which 95% of the posterior distribution falls, given the data and the prior. A common practice that is slightly misguided is to use Cr.Is to conduct hypothesis testing</w:t>
      </w:r>
      <w:r>
        <w:rPr>
          <w:b/>
          <w:bCs/>
        </w:rPr>
        <w:t xml:space="preserve"> </w:t>
      </w:r>
      <w:r>
        <w:rPr>
          <w:b/>
          <w:bCs/>
        </w:rPr>
        <w:t xml:space="preserve">(Nicenboim et al., 2025; Veríssimo, 2025)</w:t>
      </w:r>
      <w:r>
        <w:t xml:space="preserve"> </w:t>
      </w:r>
      <w:r>
        <w:rPr>
          <w:b/>
          <w:bCs/>
        </w:rPr>
        <w:t xml:space="preserve">— that is, to determine whether an effect is present by examining whether the Cr.I. includes zero. If it does, one concludes no effect; if it does not, one concludes an effect is present. However, credible intervals are computed under the assumption that an effect exists and do not consider the null hypothesis . Rather, the Cr.I. expresses our uncertainty about the parameter of interest: a wide interval reflects greater uncertainty over the plausible values the parameter can take, while a narrow interval reflects greater precision.</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r>
        <w:t xml:space="preserve"> </w:t>
      </w:r>
      <w:r>
        <w:rPr>
          <w:b/>
          <w:bCs/>
        </w:rPr>
        <w:t xml:space="preserve">(see https://github.com/stan-dev/stan/wiki/Prior-Choice-Recommendations)</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r>
        <w:t xml:space="preserve"> </w:t>
      </w:r>
      <w:r>
        <w:rPr>
          <w:b/>
          <w:bCs/>
        </w:rPr>
        <w:t xml:space="preserve">For readers interested in frequentist approaches to beta regression, we provide an appendix supplement containing code for fitting beta regression models within a frequentist framework.</w:t>
      </w:r>
    </w:p>
    <w:bookmarkStart w:id="65"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3" name="Picture"/>
            <a:graphic>
              <a:graphicData uri="http://schemas.openxmlformats.org/drawingml/2006/picture">
                <pic:pic>
                  <pic:nvPicPr>
                    <pic:cNvPr descr="ms_files/figure-docx/fig-p-value-pd-comp-1.png" id="64" name="Picture"/>
                    <pic:cNvPicPr>
                      <a:picLocks noChangeArrowheads="1" noChangeAspect="1"/>
                    </pic:cNvPicPr>
                  </pic:nvPicPr>
                  <pic:blipFill>
                    <a:blip r:embed="rId62"/>
                    <a:stretch>
                      <a:fillRect/>
                    </a:stretch>
                  </pic:blipFill>
                  <pic:spPr bwMode="auto">
                    <a:xfrm>
                      <a:off x="0" y="0"/>
                      <a:ext cx="5504749" cy="4403799"/>
                    </a:xfrm>
                    <a:prstGeom prst="rect">
                      <a:avLst/>
                    </a:prstGeom>
                    <a:noFill/>
                    <a:ln w="9525">
                      <a:noFill/>
                      <a:headEnd/>
                      <a:tailEnd/>
                    </a:ln>
                  </pic:spPr>
                </pic:pic>
              </a:graphicData>
            </a:graphic>
          </wp:inline>
        </w:drawing>
      </w:r>
    </w:p>
    <w:bookmarkEnd w:id="65"/>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6"/>
    <w:bookmarkEnd w:id="67"/>
    <w:bookmarkStart w:id="177" w:name="beta-regression-tutorial"/>
    <w:p>
      <w:pPr>
        <w:pStyle w:val="Heading1"/>
      </w:pPr>
      <w:r>
        <w:t xml:space="preserve">Beta Regression Tutorial</w:t>
      </w:r>
    </w:p>
    <w:bookmarkStart w:id="70" w:name="case-study-1"/>
    <w:p>
      <w:pPr>
        <w:pStyle w:val="Heading2"/>
      </w:pPr>
      <w:r>
        <w:t xml:space="preserve">Case Study 1</w:t>
      </w:r>
    </w:p>
    <w:p>
      <w:pPr>
        <w:pStyle w:val="FirstParagraph"/>
      </w:pPr>
      <w:r>
        <w:t xml:space="preserve">Throughout this tutorial, we analyze data from a memory experiment examining whether the fluency of an instructor’s delivery affects recall performance and</w:t>
      </w:r>
      <w:r>
        <w:t xml:space="preserve"> </w:t>
      </w:r>
      <w:r>
        <w:rPr>
          <w:b/>
          <w:bCs/>
        </w:rPr>
        <w:t xml:space="preserve">metamemory (i,e., judgements of learning (JOLs))</w:t>
      </w:r>
      <w:r>
        <w:t xml:space="preserve"> </w:t>
      </w:r>
      <w:r>
        <w:t xml:space="preserve">(Wilford et al., 2020, Experiment 1A and 1B)</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8"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8"/>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w:t>
      </w:r>
      <w:r>
        <w:t xml:space="preserve"> </w:t>
      </w:r>
      <w:r>
        <w:rPr>
          <w:b/>
          <w:bCs/>
        </w:rPr>
        <w:t xml:space="preserve">The dataset can be retreived from the project repository referenced above</w:t>
      </w:r>
      <w:r>
        <w:t xml:space="preserve">(</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w:t>
      </w:r>
      <w:r>
        <w:t xml:space="preserve"> </w:t>
      </w:r>
      <w:r>
        <w:rPr>
          <w:b/>
          <w:bCs/>
        </w:rPr>
        <w:t xml:space="preserve">In what follows, we re-analyze the data from</w:t>
      </w:r>
      <w:r>
        <w:rPr>
          <w:b/>
          <w:bCs/>
        </w:rPr>
        <w:t xml:space="preserve"> </w:t>
      </w:r>
      <w:r>
        <w:rPr>
          <w:b/>
          <w:bCs/>
        </w:rPr>
        <w:t xml:space="preserve">Wilford et al. (2020)</w:t>
      </w:r>
      <w:r>
        <w:rPr>
          <w:b/>
          <w:bCs/>
        </w:rPr>
        <w:t xml:space="preserve"> </w:t>
      </w:r>
      <w:r>
        <w:rPr>
          <w:b/>
          <w:bCs/>
        </w:rPr>
        <w:t xml:space="preserve">first using a Gaussian model (similar to the t-test used in the original paper) and then use beta regression and highlight how it can improve our inferences.</w:t>
      </w:r>
    </w:p>
    <w:bookmarkStart w:id="69"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9"/>
    <w:bookmarkEnd w:id="70"/>
    <w:bookmarkStart w:id="91" w:name="X63c945bd42ef63b9db2dba71a0b9a454a63c527"/>
    <w:p>
      <w:pPr>
        <w:pStyle w:val="Heading2"/>
      </w:pPr>
      <w:r>
        <w:t xml:space="preserve">Reanalysis of Wilford et al. Experiment 1A</w:t>
      </w:r>
    </w:p>
    <w:p>
      <w:pPr>
        <w:pStyle w:val="FirstParagraph"/>
      </w:pPr>
      <w:r>
        <w:rPr>
          <w:b/>
          <w:bCs/>
        </w:rPr>
        <w:t xml:space="preserve">In their original analysis of Experiment 1A,</w:t>
      </w:r>
      <w:r>
        <w:rPr>
          <w:b/>
          <w:bCs/>
        </w:rPr>
        <w:t xml:space="preserve"> </w:t>
      </w:r>
      <w:r>
        <w:rPr>
          <w:b/>
          <w:bCs/>
        </w:rPr>
        <w:t xml:space="preserve">Wilford et al. (2020)</w:t>
      </w:r>
      <w:r>
        <w:rPr>
          <w:b/>
          <w:bCs/>
        </w:rPr>
        <w:t xml:space="preserve"> </w:t>
      </w:r>
      <w:r>
        <w:rPr>
          <w:b/>
          <w:bCs/>
        </w:rPr>
        <w:t xml:space="preserve">compared memory performance between fluent and disfluent instructor conditions using a traditional independent-samples t-test on mean accuracy for 96 participants. In</w:t>
      </w:r>
      <w:r>
        <w:rPr>
          <w:b/>
          <w:bCs/>
        </w:rPr>
        <w:t xml:space="preserve"> </w:t>
      </w:r>
      <w:hyperlink w:anchor="lst-lm">
        <w:r>
          <w:rPr>
            <w:rStyle w:val="Hyperlink"/>
            <w:b/>
            <w:bCs/>
          </w:rPr>
          <w:t xml:space="preserve">Listing 2</w:t>
        </w:r>
      </w:hyperlink>
      <w:r>
        <w:rPr>
          <w:b/>
          <w:bCs/>
        </w:rPr>
        <w:t xml:space="preserve"> </w:t>
      </w:r>
      <w:r>
        <w:rPr>
          <w:b/>
          <w:bCs/>
        </w:rPr>
        <w:t xml:space="preserve">we provide the code to reproduce their results using a frequentist linear model. We model final test mean accuracy—the proportion of correctly recalled idea units across the videos—as the dependent variable, assuming a Gaussian distribution. There is one predictor—instructor fluency—with two levels: Fluent and Disfluent. We use treatment (dummy) coding, which is the default in R. This coding scheme sets the first level of a factor (in alphabetical order) as the reference level. In this case, the Disfluent condition is the reference (</w:t>
      </w:r>
      <w:r>
        <w:rPr>
          <w:rStyle w:val="VerbatimChar"/>
          <w:b/>
          <w:bCs/>
        </w:rPr>
        <w:t xml:space="preserve">Intercept</w:t>
      </w:r>
      <w:r>
        <w:rPr>
          <w:b/>
          <w:bCs/>
        </w:rPr>
        <w:t xml:space="preserve">), and the coefficient (</w:t>
      </w:r>
      <w:r>
        <w:rPr>
          <w:rStyle w:val="VerbatimChar"/>
          <w:b/>
          <w:bCs/>
        </w:rPr>
        <w:t xml:space="preserve">FluencyFluent</w:t>
      </w:r>
      <w:r>
        <w:rPr>
          <w:b/>
          <w:bCs/>
        </w:rPr>
        <w:t xml:space="preserve">) reflects the contrast between fluent and disfluent instructor conditions.</w:t>
      </w:r>
    </w:p>
    <w:tbl>
      <w:tblPr>
        <w:tblStyle w:val="Table"/>
        <w:tblW w:type="pct" w:w="5000"/>
        <w:tblLayout w:type="fixed"/>
        <w:tblLook w:firstRow="0" w:lastRow="0" w:firstColumn="0" w:lastColumn="0" w:noHBand="0" w:noVBand="0" w:val="0000"/>
      </w:tblPr>
      <w:tblGrid>
        <w:gridCol w:w="7920"/>
      </w:tblGrid>
      <w:tr>
        <w:tc>
          <w:tcPr/>
          <w:bookmarkStart w:id="71" w:name="lst-lm"/>
          <w:p>
            <w:pPr>
              <w:jc w:val="center"/>
            </w:pPr>
            <w:pPr>
              <w:jc w:val="start"/>
              <w:spacing w:before="200"/>
              <w:pStyle w:val="ImageCaption"/>
            </w:pPr>
            <w:r>
              <w:t xml:space="preserve">Listing 2: lm() model syntax</w:t>
            </w:r>
          </w:p>
          <w:p>
            <w:pPr>
              <w:pStyle w:val="SourceCode"/>
              <w:jc w:val="center"/>
            </w:pPr>
            <w:r>
              <w:rPr>
                <w:rStyle w:val="NormalTok"/>
              </w:rPr>
              <w:t xml:space="preserve">flu_org </w:t>
            </w:r>
            <w:r>
              <w:rPr>
                <w:rStyle w:val="OtherTok"/>
              </w:rPr>
              <w:t xml:space="preserve">&lt;-</w:t>
            </w:r>
            <w:r>
              <w:rPr>
                <w:rStyle w:val="NormalTok"/>
              </w:rPr>
              <w:t xml:space="preserve"> </w:t>
            </w:r>
            <w:r>
              <w:rPr>
                <w:rStyle w:val="FunctionTok"/>
              </w:rPr>
              <w:t xml:space="preserve">lm</w:t>
            </w:r>
            <w:r>
              <w:rPr>
                <w:rStyle w:val="NormalTok"/>
              </w:rPr>
              <w:t xml:space="preserve">(Accuracy </w:t>
            </w:r>
            <w:r>
              <w:rPr>
                <w:rStyle w:val="SpecialCharTok"/>
              </w:rPr>
              <w:t xml:space="preserve">~</w:t>
            </w:r>
            <w:r>
              <w:rPr>
                <w:rStyle w:val="NormalTok"/>
              </w:rPr>
              <w:t xml:space="preserve"> Fluency, </w:t>
            </w:r>
            <w:r>
              <w:rPr>
                <w:rStyle w:val="AttributeTok"/>
              </w:rPr>
              <w:t xml:space="preserve">data =</w:t>
            </w:r>
            <w:r>
              <w:rPr>
                <w:rStyle w:val="NormalTok"/>
              </w:rPr>
              <w:t xml:space="preserve"> fluency_data)</w:t>
            </w:r>
          </w:p>
          <w:bookmarkEnd w:id="71"/>
        </w:tc>
      </w:tr>
    </w:tbl>
    <w:p>
      <w:pPr>
        <w:pStyle w:val="SourceCode"/>
      </w:pPr>
      <w:r>
        <w:br/>
      </w:r>
      <w:r>
        <w:rPr>
          <w:rStyle w:val="VerbatimChar"/>
        </w:rPr>
        <w:t xml:space="preserve">Call:</w:t>
      </w:r>
      <w:r>
        <w:br/>
      </w:r>
      <w:r>
        <w:rPr>
          <w:rStyle w:val="VerbatimChar"/>
        </w:rPr>
        <w:t xml:space="preserve">lm(formula = Accuracy ~ Fluency, data = fluency_data)</w:t>
      </w:r>
      <w:r>
        <w:br/>
      </w:r>
      <w:r>
        <w:br/>
      </w:r>
      <w:r>
        <w:rPr>
          <w:rStyle w:val="VerbatimChar"/>
        </w:rPr>
        <w:t xml:space="preserve">Residuals:</w:t>
      </w:r>
      <w:r>
        <w:br/>
      </w:r>
      <w:r>
        <w:rPr>
          <w:rStyle w:val="VerbatimChar"/>
        </w:rPr>
        <w:t xml:space="preserve">     Min       1Q   Median       3Q      Max </w:t>
      </w:r>
      <w:r>
        <w:br/>
      </w:r>
      <w:r>
        <w:rPr>
          <w:rStyle w:val="VerbatimChar"/>
        </w:rPr>
        <w:t xml:space="preserve">-0.34091 -0.14091 -0.04091  0.09327  0.74327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0.25673    0.02850   9.007 0.0000000000000238 ***</w:t>
      </w:r>
      <w:r>
        <w:br/>
      </w:r>
      <w:r>
        <w:rPr>
          <w:rStyle w:val="VerbatimChar"/>
        </w:rPr>
        <w:t xml:space="preserve">FluencyFluent  0.08418    0.04210   1.999             0.0485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0.2055 on 94 degrees of freedom</w:t>
      </w:r>
      <w:r>
        <w:br/>
      </w:r>
      <w:r>
        <w:rPr>
          <w:rStyle w:val="VerbatimChar"/>
        </w:rPr>
        <w:t xml:space="preserve">Multiple R-squared:  0.04079,   Adjusted R-squared:  0.03058 </w:t>
      </w:r>
      <w:r>
        <w:br/>
      </w:r>
      <w:r>
        <w:rPr>
          <w:rStyle w:val="VerbatimChar"/>
        </w:rPr>
        <w:t xml:space="preserve">F-statistic: 3.997 on 1 and 94 DF,  p-value: 0.04846</w:t>
      </w:r>
    </w:p>
    <w:p>
      <w:pPr>
        <w:pStyle w:val="FirstParagraph"/>
      </w:pPr>
      <w:r>
        <w:rPr>
          <w:b/>
          <w:bCs/>
        </w:rPr>
        <w:t xml:space="preserve">When</w:t>
      </w:r>
      <w:r>
        <w:rPr>
          <w:b/>
          <w:bCs/>
        </w:rPr>
        <w:t xml:space="preserve"> </w:t>
      </w:r>
      <w:hyperlink w:anchor="lst-lm">
        <w:r>
          <w:rPr>
            <w:rStyle w:val="Hyperlink"/>
            <w:b/>
            <w:bCs/>
          </w:rPr>
          <w:t xml:space="preserve">Listing 2</w:t>
        </w:r>
      </w:hyperlink>
      <w:r>
        <w:rPr>
          <w:b/>
          <w:bCs/>
        </w:rPr>
        <w:t xml:space="preserve"> </w:t>
      </w:r>
      <w:r>
        <w:rPr>
          <w:b/>
          <w:bCs/>
        </w:rPr>
        <w:t xml:space="preserve">is run, the summary output () shows there is a significant difference between Fluent and Disfluent conditions (</w:t>
      </w:r>
      <w:r>
        <w:rPr>
          <w:b/>
          <w:bCs/>
          <w:i/>
          <w:iCs/>
        </w:rPr>
        <w:t xml:space="preserve">M</w:t>
      </w:r>
      <w:r>
        <w:rPr>
          <w:b/>
          <w:bCs/>
        </w:rPr>
        <w:t xml:space="preserve"> </w:t>
      </w:r>
      <w:r>
        <w:rPr>
          <w:b/>
          <w:bCs/>
        </w:rPr>
        <w:t xml:space="preserve">= .08,</w:t>
      </w:r>
      <w:r>
        <w:rPr>
          <w:b/>
          <w:bCs/>
        </w:rPr>
        <w:t xml:space="preserve"> </w:t>
      </w:r>
      <w:r>
        <w:rPr>
          <w:b/>
          <w:bCs/>
          <w:i/>
          <w:iCs/>
        </w:rPr>
        <w:t xml:space="preserve">SE</w:t>
      </w:r>
      <w:r>
        <w:rPr>
          <w:b/>
          <w:bCs/>
        </w:rPr>
        <w:t xml:space="preserve"> </w:t>
      </w:r>
      <w:r>
        <w:rPr>
          <w:b/>
          <w:bCs/>
        </w:rPr>
        <w:t xml:space="preserve">= .04),</w:t>
      </w:r>
      <w:r>
        <w:rPr>
          <w:b/>
          <w:bCs/>
        </w:rPr>
        <w:t xml:space="preserve"> </w:t>
      </w:r>
      <w:r>
        <w:rPr>
          <w:b/>
          <w:bCs/>
          <w:i/>
          <w:iCs/>
        </w:rPr>
        <w:t xml:space="preserve">t</w:t>
      </w:r>
      <w:r>
        <w:rPr>
          <w:b/>
          <w:bCs/>
        </w:rPr>
        <w:t xml:space="preserve">(94) = 2.00,</w:t>
      </w:r>
      <w:r>
        <w:rPr>
          <w:b/>
          <w:bCs/>
        </w:rPr>
        <w:t xml:space="preserve"> </w:t>
      </w:r>
      <w:r>
        <w:rPr>
          <w:b/>
          <w:bCs/>
          <w:i/>
          <w:iCs/>
        </w:rPr>
        <w:t xml:space="preserve">p</w:t>
      </w:r>
      <w:r>
        <w:rPr>
          <w:b/>
          <w:bCs/>
        </w:rPr>
        <w:t xml:space="preserve"> </w:t>
      </w:r>
      <w:r>
        <w:rPr>
          <w:b/>
          <w:bCs/>
        </w:rPr>
        <w:t xml:space="preserve">= .048 (see</w:t>
      </w:r>
      <w:r>
        <w:rPr>
          <w:b/>
          <w:bCs/>
        </w:rPr>
        <w:t xml:space="preserve"> </w:t>
      </w:r>
      <w:hyperlink w:anchor="fig-flu1">
        <w:r>
          <w:rPr>
            <w:rStyle w:val="Hyperlink"/>
            <w:b/>
            <w:bCs/>
          </w:rPr>
          <w:t xml:space="preserve">Figure 3</w:t>
        </w:r>
      </w:hyperlink>
      <w:r>
        <w:rPr>
          <w:b/>
          <w:bCs/>
        </w:rPr>
        <w:t xml:space="preserve">), consistent with the results reported by</w:t>
      </w:r>
      <w:r>
        <w:rPr>
          <w:b/>
          <w:bCs/>
        </w:rPr>
        <w:t xml:space="preserve"> </w:t>
      </w:r>
      <w:r>
        <w:rPr>
          <w:b/>
          <w:bCs/>
        </w:rPr>
        <w:t xml:space="preserve">Wilford et al. (2020)</w:t>
      </w:r>
      <w:r>
        <w:rPr>
          <w:b/>
          <w:bCs/>
        </w:rPr>
        <w:t xml:space="preserve">.</w:t>
      </w:r>
    </w:p>
    <w:bookmarkStart w:id="75" w:name="fig-flu1"/>
    <w:p>
      <w:pPr>
        <w:pStyle w:val="FigureTitle"/>
      </w:pPr>
      <w:r>
        <w:t xml:space="preserve">Figure 3</w:t>
      </w:r>
    </w:p>
    <w:p>
      <w:pPr>
        <w:pStyle w:val="Caption"/>
      </w:pPr>
      <w:r>
        <w:t xml:space="preserve">Dot plot depicting accuracy distributions for the Fluent and Disfluent conditions. Each condition shows individual data points and mean (diamond))</w:t>
      </w:r>
    </w:p>
    <w:p>
      <w:pPr>
        <w:pStyle w:val="FigureWithoutNote"/>
      </w:pPr>
      <w:r>
        <w:drawing>
          <wp:inline>
            <wp:extent cx="5504749" cy="4403799"/>
            <wp:effectExtent b="0" l="0" r="0" t="0"/>
            <wp:docPr descr="" title="" id="73" name="Picture"/>
            <a:graphic>
              <a:graphicData uri="http://schemas.openxmlformats.org/drawingml/2006/picture">
                <pic:pic>
                  <pic:nvPicPr>
                    <pic:cNvPr descr="ms_files/figure-docx/fig-flu1-1.png" id="74" name="Picture"/>
                    <pic:cNvPicPr>
                      <a:picLocks noChangeArrowheads="1" noChangeAspect="1"/>
                    </pic:cNvPicPr>
                  </pic:nvPicPr>
                  <pic:blipFill>
                    <a:blip r:embed="rId72"/>
                    <a:stretch>
                      <a:fillRect/>
                    </a:stretch>
                  </pic:blipFill>
                  <pic:spPr bwMode="auto">
                    <a:xfrm>
                      <a:off x="0" y="0"/>
                      <a:ext cx="5504749" cy="4403799"/>
                    </a:xfrm>
                    <a:prstGeom prst="rect">
                      <a:avLst/>
                    </a:prstGeom>
                    <a:noFill/>
                    <a:ln w="9525">
                      <a:noFill/>
                      <a:headEnd/>
                      <a:tailEnd/>
                    </a:ln>
                  </pic:spPr>
                </pic:pic>
              </a:graphicData>
            </a:graphic>
          </wp:inline>
        </w:drawing>
      </w:r>
    </w:p>
    <w:bookmarkEnd w:id="75"/>
    <w:p>
      <w:pPr>
        <w:pStyle w:val="AfterWithoutNote"/>
      </w:pPr>
      <w:r>
        <w:t xml:space="preserve">We will now replicate this analysis in {brms}.</w:t>
      </w:r>
    </w:p>
    <w:bookmarkStart w:id="90" w:name="bayesian-regression-analysis"/>
    <w:p>
      <w:pPr>
        <w:pStyle w:val="Heading3"/>
      </w:pPr>
      <w:r>
        <w:t xml:space="preserve">Bayesian 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3</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6"/>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7" w:name="lst-loadbrms"/>
          <w:p>
            <w:pPr>
              <w:jc w:val="center"/>
            </w:pPr>
            <w:pPr>
              <w:jc w:val="start"/>
              <w:spacing w:before="200"/>
              <w:pStyle w:val="ImageCaption"/>
            </w:pPr>
            <w:r>
              <w:t xml:space="preserve">Listing 3: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7"/>
        </w:tc>
      </w:tr>
    </w:tbl>
    <w:tbl>
      <w:tblPr>
        <w:tblStyle w:val="Table"/>
        <w:tblW w:type="pct" w:w="5000"/>
        <w:tblLayout w:type="fixed"/>
        <w:tblLook w:firstRow="0" w:lastRow="0" w:firstColumn="0" w:lastColumn="0" w:noHBand="0" w:noVBand="0" w:val="0000"/>
      </w:tblPr>
      <w:tblGrid>
        <w:gridCol w:w="7920"/>
      </w:tblGrid>
      <w:tr>
        <w:tc>
          <w:tcPr/>
          <w:bookmarkStart w:id="78" w:name="lst-gauss"/>
          <w:p>
            <w:pPr>
              <w:jc w:val="center"/>
            </w:pPr>
            <w:pPr>
              <w:jc w:val="start"/>
              <w:spacing w:before="200"/>
              <w:pStyle w:val="ImageCaption"/>
            </w:pPr>
            <w:r>
              <w:t xml:space="preserve">Listing 4: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666</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8"/>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4</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4</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(Cr.I),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Gaussian models, though these metrics are still important to attend to in practice.</w:t>
      </w:r>
      <w:r>
        <w:t xml:space="preserve"> </w:t>
      </w:r>
      <w:r>
        <w:rPr>
          <w:b/>
          <w:bCs/>
        </w:rPr>
        <w:t xml:space="preserve">Note that models run in {brms} report potential model misfit as warnings by default.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4</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 to 0.169.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3943     2526</w:t>
      </w:r>
      <w:r>
        <w:br/>
      </w:r>
      <w:r>
        <w:rPr>
          <w:rStyle w:val="VerbatimChar"/>
        </w:rPr>
        <w:t xml:space="preserve">FluencyFluent     0.08      0.04     0.00     0.17 1.00     3717     2897</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3689     2656</w:t>
      </w:r>
    </w:p>
    <w:p>
      <w:pPr>
        <w:pStyle w:val="FirstParagraph"/>
      </w:pPr>
      <w:r>
        <w:t xml:space="preserve">The output also includes the effective sample size (ESS) and</w:t>
      </w:r>
      <w:r>
        <w:t xml:space="preserve"> </w:t>
      </w:r>
      <m:oMath>
        <m:acc>
          <m:accPr>
            <m:chr m:val="̂"/>
          </m:accPr>
          <m:e>
            <m:r>
              <m:t>R</m:t>
            </m:r>
          </m:e>
        </m:acc>
      </m:oMath>
      <w:r>
        <w:t xml:space="preserve"> </w:t>
      </w:r>
      <w:r>
        <w:t xml:space="preserve">(R-hat) values, both of which fall within acceptable ranges, indicating good model convergence. Throughout the tutorial, we focus primarily on posterior mean estimates and their 95% credible intervals. In addition, we report the pd measure,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rPr>
          <w:b/>
          <w:bCs/>
        </w:rPr>
        <w:t xml:space="preserve">Another option to examine effect existence to compare competing hypotheses directly using a Bayes factor (BF). A BF quantifies the relative evidence the data provide for one hypothesis over another. Usually we compare an alternative model (there is an effect) to a null model (there is no effect). A BF of 10, for instance, means the observed data are 10 times more likely under one hypothesis vs. the other hypothesis. Unlike a p-value, a BF is inherently comparative and depends critically on the prior distribution placed over the parameter of interest under each model—the prior defines what each model predicts, and the BF rewards whichever model predicted the observed data better. For directional hypotheses, this prior sensitivity is relatively modest, because both models share the same likelihood structure. For point-null hypotheses, however, the prior under the alternative must be specified carefully, as we discuss below.</w:t>
      </w:r>
    </w:p>
    <w:tbl>
      <w:tblPr>
        <w:tblStyle w:val="Table"/>
        <w:tblW w:type="pct" w:w="5000"/>
        <w:tblLayout w:type="fixed"/>
        <w:tblLook w:firstRow="0" w:lastRow="0" w:firstColumn="0" w:lastColumn="0" w:noHBand="0" w:noVBand="0" w:val="0000"/>
      </w:tblPr>
      <w:tblGrid>
        <w:gridCol w:w="7920"/>
      </w:tblGrid>
      <w:tr>
        <w:tc>
          <w:tcPr/>
          <w:bookmarkStart w:id="79" w:name="lst-hypo"/>
          <w:p>
            <w:pPr>
              <w:jc w:val="center"/>
            </w:pPr>
            <w:pPr>
              <w:jc w:val="start"/>
              <w:spacing w:before="200"/>
              <w:pStyle w:val="ImageCaption"/>
            </w:pPr>
            <w:r>
              <w:t xml:space="preserve">Listing 5: Getting Bayes Factor using</w:t>
            </w:r>
            <w:r>
              <w:t xml:space="preserve"> </w:t>
            </w:r>
            <w:r>
              <w:rPr>
                <w:rStyle w:val="VerbatimChar"/>
              </w:rPr>
              <w:t xml:space="preserve">hypothesis()</w:t>
            </w:r>
            <w:r>
              <w:t xml:space="preserve"> </w:t>
            </w:r>
            <w:r>
              <w:t xml:space="preserve">function from</w:t>
            </w:r>
            <w:r>
              <w:t xml:space="preserve"> </w:t>
            </w:r>
            <w:r>
              <w:rPr>
                <w:rStyle w:val="VerbatimChar"/>
              </w:rPr>
              <w:t xml:space="preserve">brms</w:t>
            </w:r>
          </w:p>
          <w:p>
            <w:pPr>
              <w:pStyle w:val="SourceCode"/>
              <w:jc w:val="center"/>
            </w:pPr>
            <w:r>
              <w:rPr>
                <w:rStyle w:val="CommentTok"/>
              </w:rPr>
              <w:t xml:space="preserve"># test non-zero effect</w:t>
            </w:r>
            <w:r>
              <w:br/>
            </w:r>
            <w:r>
              <w:br/>
            </w:r>
            <w:r>
              <w:rPr>
                <w:rStyle w:val="NormalTok"/>
              </w:rPr>
              <w:t xml:space="preserve">fluency_effect_BF </w:t>
            </w:r>
            <w:r>
              <w:rPr>
                <w:rStyle w:val="OtherTok"/>
              </w:rPr>
              <w:t xml:space="preserve">&lt;-</w:t>
            </w:r>
            <w:r>
              <w:rPr>
                <w:rStyle w:val="NormalTok"/>
              </w:rPr>
              <w:t xml:space="preserve"> </w:t>
            </w:r>
            <w:r>
              <w:rPr>
                <w:rStyle w:val="FunctionTok"/>
              </w:rPr>
              <w:t xml:space="preserve">hypothesis</w:t>
            </w:r>
            <w:r>
              <w:rPr>
                <w:rStyle w:val="NormalTok"/>
              </w:rPr>
              <w:t xml:space="preserve">(bayes_reg_model, </w:t>
            </w:r>
            <w:r>
              <w:rPr>
                <w:rStyle w:val="StringTok"/>
              </w:rPr>
              <w:t xml:space="preserve">"FluencyFluent &gt; 0"</w:t>
            </w:r>
            <w:r>
              <w:rPr>
                <w:rStyle w:val="NormalTok"/>
              </w:rPr>
              <w:t xml:space="preserve">)</w:t>
            </w:r>
          </w:p>
          <w:bookmarkEnd w:id="79"/>
        </w:tc>
      </w:tr>
    </w:tbl>
    <w:p>
      <w:pPr>
        <w:pStyle w:val="FirstParagraph"/>
      </w:pPr>
      <w:r>
        <w:rPr>
          <w:b/>
          <w:bCs/>
        </w:rPr>
        <w:t xml:space="preserve">To test the strength of evidence for the effect, we can compare a model where the effect is greater than 0 to one where it is less than 0 using the</w:t>
      </w:r>
      <w:r>
        <w:rPr>
          <w:b/>
          <w:bCs/>
        </w:rPr>
        <w:t xml:space="preserve"> </w:t>
      </w:r>
      <w:r>
        <w:rPr>
          <w:rStyle w:val="VerbatimChar"/>
          <w:b/>
          <w:bCs/>
        </w:rPr>
        <w:t xml:space="preserve">hypothesis()</w:t>
      </w:r>
      <w:r>
        <w:rPr>
          <w:b/>
          <w:bCs/>
        </w:rPr>
        <w:t xml:space="preserve"> </w:t>
      </w:r>
      <w:r>
        <w:rPr>
          <w:b/>
          <w:bCs/>
        </w:rPr>
        <w:t xml:space="preserve">function in {brms} (</w:t>
      </w:r>
      <w:hyperlink w:anchor="lst-hypo">
        <w:r>
          <w:rPr>
            <w:rStyle w:val="Hyperlink"/>
            <w:b/>
            <w:bCs/>
          </w:rPr>
          <w:t xml:space="preserve">Listing 5</w:t>
        </w:r>
      </w:hyperlink>
      <w:r>
        <w:rPr>
          <w:b/>
          <w:bCs/>
        </w:rPr>
        <w:t xml:space="preserve">). The resulting evidence ratio (ER) column contains the Bayes factor for this directional hypothesis, comparing the model</w:t>
      </w:r>
      <w:r>
        <w:t xml:space="preserve"> </w:t>
      </w:r>
      <m:oMath>
        <m:r>
          <m:t>δ</m:t>
        </m:r>
        <m:r>
          <m:rPr>
            <m:sty m:val="p"/>
          </m:rPr>
          <m:t>&gt;</m:t>
        </m:r>
        <m:r>
          <m:t>0</m:t>
        </m:r>
      </m:oMath>
      <w:r>
        <w:t xml:space="preserve"> </w:t>
      </w:r>
      <w:r>
        <w:rPr>
          <w:b/>
          <w:bCs/>
        </w:rPr>
        <w:t xml:space="preserve">against</w:t>
      </w:r>
      <w:r>
        <w:t xml:space="preserve"> </w:t>
      </w:r>
      <m:oMath>
        <m:r>
          <m:t>δ</m:t>
        </m:r>
        <m:r>
          <m:rPr>
            <m:sty m:val="p"/>
          </m:rPr>
          <m:t>&lt;</m:t>
        </m:r>
        <m:r>
          <m:t>0</m:t>
        </m:r>
      </m:oMath>
      <w:r>
        <w:rPr>
          <w:b/>
          <w:bCs/>
        </w:rPr>
        <w:t xml:space="preserve">. Using some heuristics, a BF &gt; 3 provides modest evidence for an effect where BF &gt; 10 provides strong evidence for an effect</w:t>
      </w:r>
      <w:r>
        <w:rPr>
          <w:b/>
          <w:bCs/>
        </w:rPr>
        <w:t xml:space="preserve"> </w:t>
      </w:r>
      <w:r>
        <w:rPr>
          <w:b/>
          <w:bCs/>
        </w:rPr>
        <w:t xml:space="preserve">(Jeffries, 1961; Kass &amp; Raftery, 1995)</w:t>
      </w:r>
      <w:r>
        <w:rPr>
          <w:b/>
          <w:bCs/>
        </w:rPr>
        <w:t xml:space="preserve">. The BF for the fluency effect is 39, providing very strong evidence that the effect is positive and not 0. If we instead wanted to test a point-null hypothesis—that is, whether the effect is equivalent to exactly 0—we would need to specify non-default priors and rely on the Savage-Dickey method, which evaluates the ratio of the posterior to the prior density at the null value and is therefore directly sensitive to that prior choice. Without specifying a weak or strong prior, one cannot calculate a BF. In {brms} the default prior for fixed effects are flat and uninformative (they have no likelihood).</w:t>
      </w:r>
    </w:p>
    <w:p>
      <w:pPr>
        <w:pStyle w:val="BodyText"/>
      </w:pPr>
      <w:r>
        <w:rPr>
          <w:b/>
          <w:bCs/>
        </w:rPr>
        <w:t xml:space="preserve">Importantly, pd and BFs do not indicate whether an effect is meaningfully large—they only reflect whether an effect exists. To address questions of practical significance, readers can also consider the Region of Practical Equivalence (ROPE) with the Cr.Is</w:t>
      </w:r>
      <w:r>
        <w:rPr>
          <w:b/>
          <w:bCs/>
        </w:rPr>
        <w:t xml:space="preserve"> </w:t>
      </w:r>
      <w:r>
        <w:rPr>
          <w:b/>
          <w:bCs/>
        </w:rPr>
        <w:t xml:space="preserve">(Kruschke, 2015)</w:t>
      </w:r>
      <w:r>
        <w:rPr>
          <w:b/>
          <w:bCs/>
        </w:rPr>
        <w:t xml:space="preserve">. Unlike a hypothesis test of a point null (e.g., exactly zero), the ROPE defines a range of values that are deemed too small to be of substantive importance. As a rule of thumb</w:t>
      </w:r>
      <w:r>
        <w:rPr>
          <w:b/>
          <w:bCs/>
        </w:rPr>
        <w:t xml:space="preserve"> </w:t>
      </w:r>
      <w:r>
        <w:rPr>
          <w:b/>
          <w:bCs/>
        </w:rPr>
        <w:t xml:space="preserve">(see Kruschke, 2018)</w:t>
      </w:r>
      <w:r>
        <w:rPr>
          <w:b/>
          <w:bCs/>
        </w:rP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rPr>
          <w:b/>
          <w:bCs/>
        </w:rPr>
        <w:t xml:space="preserve">The</w:t>
      </w:r>
      <w:r>
        <w:rPr>
          <w:b/>
          <w:bCs/>
        </w:rPr>
        <w:t xml:space="preserve"> </w:t>
      </w:r>
      <w:r>
        <w:rPr>
          <w:rStyle w:val="VerbatimChar"/>
          <w:b/>
          <w:bCs/>
        </w:rPr>
        <w:t xml:space="preserve">rope()</w:t>
      </w:r>
      <w:r>
        <w:rPr>
          <w:b/>
          <w:bCs/>
        </w:rPr>
        <w:t xml:space="preserve"> </w:t>
      </w:r>
      <w:r>
        <w:rPr>
          <w:b/>
          <w:bCs/>
        </w:rP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 our case, we can instead anchor the ROPE in prior empirical work. Specifically,</w:t>
      </w:r>
      <w:r>
        <w:rPr>
          <w:b/>
          <w:bCs/>
        </w:rPr>
        <w:t xml:space="preserve"> </w:t>
      </w:r>
      <w:r>
        <w:rPr>
          <w:b/>
          <w:bCs/>
        </w:rPr>
        <w:t xml:space="preserve">Carpenter et al. (2013)</w:t>
      </w:r>
      <w:r>
        <w:rPr>
          <w:b/>
          <w:bCs/>
        </w:rPr>
        <w:t xml:space="preserve"> </w:t>
      </w:r>
      <w:r>
        <w:rPr>
          <w:b/>
          <w:bCs/>
        </w:rPr>
        <w:t xml:space="preserve">(the study</w:t>
      </w:r>
      <w:r>
        <w:rPr>
          <w:b/>
          <w:bCs/>
        </w:rPr>
        <w:t xml:space="preserve"> </w:t>
      </w:r>
      <w:r>
        <w:rPr>
          <w:b/>
          <w:bCs/>
        </w:rPr>
        <w:t xml:space="preserve">Wilford et al. (2020)</w:t>
      </w:r>
      <w:r>
        <w:rPr>
          <w:b/>
          <w:bCs/>
        </w:rPr>
        <w:t xml:space="preserve"> </w:t>
      </w:r>
      <w:r>
        <w:rPr>
          <w:b/>
          <w:bCs/>
        </w:rPr>
        <w:t xml:space="preserve">is based on) reported a difference in actual learning of approximately 4% between conditions in Experiment 1. Other examinations of this effect have also yielded differences that are very close to zero. This suggests that a ROPE of approximately ±4% is reasonable for the present context. Effects falling within this range can be considered practically equivalent (i.e., negligible), whereas effects exceeding this range would be interpreted as meaningfully different.</w:t>
      </w:r>
    </w:p>
    <w:p>
      <w:pPr>
        <w:pStyle w:val="BodyText"/>
      </w:pPr>
      <w:r>
        <w:t xml:space="preserve">In</w:t>
      </w:r>
      <w:r>
        <w:t xml:space="preserve"> </w:t>
      </w:r>
      <w:hyperlink w:anchor="lst-ropebrms">
        <w:r>
          <w:rPr>
            <w:rStyle w:val="Hyperlink"/>
          </w:rPr>
          <w:t xml:space="preserve">Listing 6</w:t>
        </w:r>
      </w:hyperlink>
      <w:r>
        <w:t xml:space="preserve">, we show how to compute this using {bayestestR}. Running the function with our rope range of ±4% suggests that 13% lies within the default ROPE (indicating inconclusive results) (see</w:t>
      </w:r>
      <w:r>
        <w:t xml:space="preserve"> </w:t>
      </w:r>
      <w:hyperlink w:anchor="fig-rope">
        <w:r>
          <w:rPr>
            <w:rStyle w:val="Hyperlink"/>
          </w:rPr>
          <w:t xml:space="preserve">Figure 4</w:t>
        </w:r>
      </w:hyperlink>
      <w:r>
        <w:t xml:space="preserve">). Taken together, the effect likely exists (pd and BF), but whether its magnitude is meaningful remains inconclusive.</w:t>
      </w:r>
    </w:p>
    <w:tbl>
      <w:tblPr>
        <w:tblStyle w:val="Table"/>
        <w:tblW w:type="pct" w:w="5000"/>
        <w:tblLayout w:type="fixed"/>
        <w:tblLook w:firstRow="0" w:lastRow="0" w:firstColumn="0" w:lastColumn="0" w:noHBand="0" w:noVBand="0" w:val="0000"/>
      </w:tblPr>
      <w:tblGrid>
        <w:gridCol w:w="7920"/>
      </w:tblGrid>
      <w:tr>
        <w:tc>
          <w:tcPr/>
          <w:bookmarkStart w:id="80" w:name="lst-ropebrms"/>
          <w:p>
            <w:pPr>
              <w:jc w:val="center"/>
            </w:pPr>
            <w:pPr>
              <w:jc w:val="start"/>
              <w:spacing w:before="200"/>
              <w:pStyle w:val="ImageCaption"/>
            </w:pPr>
            <w:r>
              <w:t xml:space="preserve">Listing 6: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w:t>
            </w:r>
            <w:r>
              <w:br/>
            </w:r>
            <w:r>
              <w:rPr>
                <w:rStyle w:val="NormalTok"/>
              </w:rPr>
              <w:t xml:space="preserve">  bayes_reg_model,</w:t>
            </w:r>
            <w:r>
              <w:br/>
            </w:r>
            <w:r>
              <w:rPr>
                <w:rStyle w:val="NormalTok"/>
              </w:rPr>
              <w:t xml:space="preserve">  </w:t>
            </w:r>
            <w:r>
              <w:rPr>
                <w:rStyle w:val="AttributeTok"/>
              </w:rPr>
              <w:t xml:space="preserve">ci =</w:t>
            </w:r>
            <w:r>
              <w:rPr>
                <w:rStyle w:val="NormalTok"/>
              </w:rPr>
              <w:t xml:space="preserve"> .</w:t>
            </w:r>
            <w:r>
              <w:rPr>
                <w:rStyle w:val="DecValTok"/>
              </w:rPr>
              <w:t xml:space="preserve">95</w:t>
            </w:r>
            <w:r>
              <w:rPr>
                <w:rStyle w:val="NormalTok"/>
              </w:rPr>
              <w:t xml:space="preserve">, </w:t>
            </w:r>
            <w:r>
              <w:rPr>
                <w:rStyle w:val="CommentTok"/>
              </w:rPr>
              <w:t xml:space="preserve"># CI</w:t>
            </w:r>
            <w:r>
              <w:br/>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 </w:t>
            </w:r>
            <w:r>
              <w:rPr>
                <w:rStyle w:val="CommentTok"/>
              </w:rPr>
              <w:t xml:space="preserve"># equal tale CI</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0.04</w:t>
            </w:r>
            <w:r>
              <w:rPr>
                <w:rStyle w:val="NormalTok"/>
              </w:rPr>
              <w:t xml:space="preserve">, </w:t>
            </w:r>
            <w:r>
              <w:rPr>
                <w:rStyle w:val="FloatTok"/>
              </w:rPr>
              <w:t xml:space="preserve">0.04</w:t>
            </w:r>
            <w:r>
              <w:rPr>
                <w:rStyle w:val="NormalTok"/>
              </w:rPr>
              <w:t xml:space="preserve">) </w:t>
            </w:r>
            <w:r>
              <w:rPr>
                <w:rStyle w:val="CommentTok"/>
              </w:rPr>
              <w:t xml:space="preserve"># ROPE value</w:t>
            </w:r>
            <w:r>
              <w:br/>
            </w:r>
            <w:r>
              <w:rPr>
                <w:rStyle w:val="NormalTok"/>
              </w:rPr>
              <w:t xml:space="preserve">)</w:t>
            </w:r>
          </w:p>
          <w:bookmarkEnd w:id="80"/>
        </w:tc>
      </w:tr>
    </w:tbl>
    <w:bookmarkStart w:id="84"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82" name="Picture"/>
            <a:graphic>
              <a:graphicData uri="http://schemas.openxmlformats.org/drawingml/2006/picture">
                <pic:pic>
                  <pic:nvPicPr>
                    <pic:cNvPr descr="ms_files/figure-docx/fig-rope-1.png" id="83" name="Picture"/>
                    <pic:cNvPicPr>
                      <a:picLocks noChangeArrowheads="1" noChangeAspect="1"/>
                    </pic:cNvPicPr>
                  </pic:nvPicPr>
                  <pic:blipFill>
                    <a:blip r:embed="rId81"/>
                    <a:stretch>
                      <a:fillRect/>
                    </a:stretch>
                  </pic:blipFill>
                  <pic:spPr bwMode="auto">
                    <a:xfrm>
                      <a:off x="0" y="0"/>
                      <a:ext cx="5504749" cy="4403799"/>
                    </a:xfrm>
                    <a:prstGeom prst="rect">
                      <a:avLst/>
                    </a:prstGeom>
                    <a:noFill/>
                    <a:ln w="9525">
                      <a:noFill/>
                      <a:headEnd/>
                      <a:tailEnd/>
                    </a:ln>
                  </pic:spPr>
                </pic:pic>
              </a:graphicData>
            </a:graphic>
          </wp:inline>
        </w:drawing>
      </w:r>
    </w:p>
    <w:bookmarkEnd w:id="84"/>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7</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5" w:name="lst-check1"/>
          <w:p>
            <w:pPr>
              <w:pStyle w:val="FigureWithoutNote"/>
              <w:jc w:val="center"/>
            </w:pPr>
            <w:pPr>
              <w:jc w:val="start"/>
              <w:spacing w:before="200"/>
              <w:pStyle w:val="ImageCaption"/>
            </w:pPr>
            <w:r>
              <w:t xml:space="preserve">Listing 7: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85"/>
        </w:tc>
      </w:tr>
    </w:tbl>
    <w:bookmarkStart w:id="89"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7" name="Picture"/>
            <a:graphic>
              <a:graphicData uri="http://schemas.openxmlformats.org/drawingml/2006/picture">
                <pic:pic>
                  <pic:nvPicPr>
                    <pic:cNvPr descr="ms_files/figure-docx/fig-reg-assump-1.png" id="88" name="Picture"/>
                    <pic:cNvPicPr>
                      <a:picLocks noChangeArrowheads="1" noChangeAspect="1"/>
                    </pic:cNvPicPr>
                  </pic:nvPicPr>
                  <pic:blipFill>
                    <a:blip r:embed="rId86"/>
                    <a:stretch>
                      <a:fillRect/>
                    </a:stretch>
                  </pic:blipFill>
                  <pic:spPr bwMode="auto">
                    <a:xfrm>
                      <a:off x="0" y="0"/>
                      <a:ext cx="5504749" cy="4403799"/>
                    </a:xfrm>
                    <a:prstGeom prst="rect">
                      <a:avLst/>
                    </a:prstGeom>
                    <a:noFill/>
                    <a:ln w="9525">
                      <a:noFill/>
                      <a:headEnd/>
                      <a:tailEnd/>
                    </a:ln>
                  </pic:spPr>
                </pic:pic>
              </a:graphicData>
            </a:graphic>
          </wp:inline>
        </w:drawing>
      </w:r>
    </w:p>
    <w:bookmarkEnd w:id="89"/>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90"/>
    <w:bookmarkEnd w:id="91"/>
    <w:bookmarkStart w:id="115"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rPr>
          <w:b/>
          <w:bCs/>
        </w:rP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8</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that the variability of the outcome around</w:t>
      </w:r>
      <w:r>
        <w:t xml:space="preserve"> </w:t>
      </w:r>
      <m:oMath>
        <m:r>
          <m:t>μ</m:t>
        </m:r>
      </m:oMath>
      <w:r>
        <w:t xml:space="preserve"> </w:t>
      </w:r>
      <w:r>
        <w:t xml:space="preserve">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8</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92" w:name="lst-beta01"/>
          <w:p>
            <w:pPr>
              <w:jc w:val="center"/>
            </w:pPr>
            <w:pPr>
              <w:jc w:val="start"/>
              <w:spacing w:before="200"/>
              <w:pStyle w:val="ImageCaption"/>
            </w:pPr>
            <w:r>
              <w:t xml:space="preserve">Listing 8: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92"/>
        </w:tc>
      </w:tr>
    </w:tbl>
    <w:bookmarkStart w:id="113" w:name="model-parameters"/>
    <w:p>
      <w:pPr>
        <w:pStyle w:val="Heading3"/>
      </w:pPr>
      <w:r>
        <w:t xml:space="preserve">Model Parameters</w:t>
      </w:r>
    </w:p>
    <w:p>
      <w:pPr>
        <w:pStyle w:val="Heading4"/>
        <w:rPr>
          <w:vanish/>
          <w:specVanish/>
        </w:rPr>
      </w:pPr>
      <w:r>
        <w:t>\mu.</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Heading5"/>
        <w:rPr>
          <w:vanish/>
          <w:specVanish/>
        </w:rPr>
      </w:pPr>
      <w:r>
        <w:t>Predicted Probabilities.</w:t>
      </w:r>
      <w:r>
        <w:t xml:space="preserve"> </w:t>
      </w:r>
    </w:p>
    <w:p>
      <w:pPr>
        <w:pStyle w:val="BodyText"/>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rPr>
          <w:b/>
          <w:bCs/>
        </w:rPr>
        <w:t xml:space="preserve">In a Bayesian framework with more than one predictor and complex models, back-transformations can be quite cumbersome.</w:t>
      </w:r>
      <w:r>
        <w:t xml:space="preserve"> </w:t>
      </w:r>
      <w:r>
        <w:t xml:space="preserve">To help us work with the data and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9</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3" w:name="lst-me"/>
          <w:p>
            <w:pPr>
              <w:jc w:val="center"/>
            </w:pPr>
            <w:pPr>
              <w:jc w:val="start"/>
              <w:spacing w:before="200"/>
              <w:pStyle w:val="ImageCaption"/>
            </w:pPr>
            <w:r>
              <w:t xml:space="preserve">Listing 9: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lst-betadis"/>
          <w:p>
            <w:pPr>
              <w:jc w:val="center"/>
            </w:pPr>
            <w:pPr>
              <w:jc w:val="start"/>
              <w:spacing w:before="200"/>
              <w:pStyle w:val="ImageCaption"/>
            </w:pPr>
            <w:r>
              <w:t xml:space="preserve">Listing 10: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94"/>
        </w:tc>
      </w:tr>
    </w:tbl>
    <w:tbl>
      <w:tblPr>
        <w:tblStyle w:val="Table"/>
        <w:tblW w:type="pct" w:w="5000"/>
        <w:tblLayout w:type="fixed"/>
        <w:tblLook w:firstRow="0" w:lastRow="0" w:firstColumn="0" w:lastColumn="0" w:noHBand="0" w:noVBand="0" w:val="0000"/>
      </w:tblPr>
      <w:tblGrid>
        <w:gridCol w:w="7920"/>
      </w:tblGrid>
      <w:tr>
        <w:tc>
          <w:tcPr/>
          <w:bookmarkStart w:id="95" w:name="lst-pred"/>
          <w:p>
            <w:pPr>
              <w:jc w:val="center"/>
            </w:pPr>
            <w:pPr>
              <w:jc w:val="start"/>
              <w:spacing w:before="200"/>
              <w:pStyle w:val="ImageCaption"/>
            </w:pPr>
            <w:r>
              <w:t xml:space="preserve">Listing 11: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5"/>
        </w:tc>
      </w:tr>
    </w:tbl>
    <w:bookmarkStart w:id="96" w:name="tbl-predict-prob"/>
    <w:p>
      <w:pPr>
        <w:pStyle w:val="FigureTitle"/>
      </w:pPr>
      <w:r>
        <w:t xml:space="preserve">Table 2</w:t>
      </w:r>
    </w:p>
    <w:p>
      <w:pPr>
        <w:pStyle w:val="Caption"/>
      </w:pPr>
      <w:r>
        <w:t xml:space="preserve">Predicted probabilities for each level of Fluency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0.304</w:t>
            </w:r>
          </w:p>
        </w:tc>
        <w:tc>
          <w:tcPr/>
          <w:p>
            <w:pPr>
              <w:pStyle w:val="Compact"/>
            </w:pPr>
            <w:r>
              <w:t xml:space="preserve">[0.252, 0.365]</w:t>
            </w:r>
          </w:p>
        </w:tc>
      </w:tr>
      <w:tr>
        <w:tc>
          <w:tcPr/>
          <w:p>
            <w:pPr>
              <w:pStyle w:val="Compact"/>
            </w:pPr>
            <w:r>
              <w:t xml:space="preserve">Fluent</w:t>
            </w:r>
          </w:p>
        </w:tc>
        <w:tc>
          <w:tcPr/>
          <w:p>
            <w:pPr>
              <w:pStyle w:val="Compact"/>
            </w:pPr>
            <w:r>
              <w:t xml:space="preserve">0.348</w:t>
            </w:r>
          </w:p>
        </w:tc>
        <w:tc>
          <w:tcPr/>
          <w:p>
            <w:pPr>
              <w:pStyle w:val="Compact"/>
            </w:pPr>
            <w:r>
              <w:t xml:space="preserve">[0.302, 0.4]</w:t>
            </w:r>
          </w:p>
        </w:tc>
      </w:tr>
    </w:tbl>
    <w:bookmarkEnd w:id="96"/>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lst-plotbeta"/>
          <w:p>
            <w:pPr>
              <w:jc w:val="center"/>
            </w:pPr>
            <w:pPr>
              <w:jc w:val="start"/>
              <w:spacing w:before="200"/>
              <w:pStyle w:val="ImageCaption"/>
            </w:pPr>
            <w:r>
              <w:t xml:space="preserve">Listing 12: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7"/>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13</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osdraws"/>
          <w:p>
            <w:pPr>
              <w:jc w:val="center"/>
            </w:pPr>
            <w:pPr>
              <w:jc w:val="start"/>
              <w:spacing w:before="200"/>
              <w:pStyle w:val="ImageCaption"/>
            </w:pPr>
            <w:r>
              <w:t xml:space="preserve">Listing 13: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8"/>
        </w:tc>
      </w:tr>
    </w:tbl>
    <w:bookmarkStart w:id="102" w:name="fig-draws-fluency"/>
    <w:p>
      <w:pPr>
        <w:pStyle w:val="FigureTitle"/>
      </w:pPr>
      <w:r>
        <w:t xml:space="preserve">Figure 6</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100" name="Picture"/>
            <a:graphic>
              <a:graphicData uri="http://schemas.openxmlformats.org/drawingml/2006/picture">
                <pic:pic>
                  <pic:nvPicPr>
                    <pic:cNvPr descr="ms_files/figure-docx/fig-draws-fluency-1.png" id="101" name="Picture"/>
                    <pic:cNvPicPr>
                      <a:picLocks noChangeArrowheads="1" noChangeAspect="1"/>
                    </pic:cNvPicPr>
                  </pic:nvPicPr>
                  <pic:blipFill>
                    <a:blip r:embed="rId99"/>
                    <a:stretch>
                      <a:fillRect/>
                    </a:stretch>
                  </pic:blipFill>
                  <pic:spPr bwMode="auto">
                    <a:xfrm>
                      <a:off x="0" y="0"/>
                      <a:ext cx="5504749" cy="4403799"/>
                    </a:xfrm>
                    <a:prstGeom prst="rect">
                      <a:avLst/>
                    </a:prstGeom>
                    <a:noFill/>
                    <a:ln w="9525">
                      <a:noFill/>
                      <a:headEnd/>
                      <a:tailEnd/>
                    </a:ln>
                  </pic:spPr>
                </pic:pic>
              </a:graphicData>
            </a:graphic>
          </wp:inline>
        </w:drawing>
      </w:r>
    </w:p>
    <w:bookmarkEnd w:id="102"/>
    <w:p>
      <w:pPr>
        <w:pStyle w:val="Heading5"/>
        <w:rPr>
          <w:vanish/>
          <w:specVanish/>
        </w:rPr>
      </w:pPr>
      <w:r>
        <w:t>Marginal Effects.</w:t>
      </w:r>
      <w:r>
        <w:t xml:space="preserve"> </w:t>
      </w:r>
    </w:p>
    <w:p>
      <w:pPr>
        <w:pStyle w:val="BodyText"/>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 package (</w:t>
      </w:r>
      <w:hyperlink w:anchor="lst-avgcomp">
        <w:r>
          <w:rPr>
            <w:rStyle w:val="Hyperlink"/>
          </w:rPr>
          <w:t xml:space="preserve">Listing 14</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3" w:name="lst-avgcomp"/>
          <w:p>
            <w:pPr>
              <w:jc w:val="center"/>
            </w:pPr>
            <w:pPr>
              <w:jc w:val="start"/>
              <w:spacing w:before="200"/>
              <w:pStyle w:val="ImageCaption"/>
            </w:pPr>
            <w:r>
              <w:t xml:space="preserve">Listing 14: Calculating the difference between probabilities (</w:t>
            </w:r>
            <m:oMath>
              <m:r>
                <m:t>μ</m:t>
              </m:r>
            </m:oMath>
            <w:r>
              <w:t xml:space="preserve">) for instructor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3"/>
        </w:tc>
      </w:tr>
    </w:tbl>
    <w:bookmarkStart w:id="104" w:name="tbl-ame1"/>
    <w:p>
      <w:pPr>
        <w:pStyle w:val="FigureTitle"/>
      </w:pPr>
      <w:r>
        <w:t xml:space="preserve">Table 3</w:t>
      </w:r>
    </w:p>
    <w:p>
      <w:pPr>
        <w:pStyle w:val="Caption"/>
      </w:pPr>
      <w:r>
        <w:t xml:space="preserve">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[-0.031, 0.115]</w:t>
            </w:r>
          </w:p>
        </w:tc>
        <w:tc>
          <w:tcPr/>
          <w:p>
            <w:pPr>
              <w:pStyle w:val="Compact"/>
            </w:pPr>
            <w:r>
              <w:t xml:space="preserve">0.88</w:t>
            </w:r>
          </w:p>
        </w:tc>
      </w:tr>
    </w:tbl>
    <w:bookmarkEnd w:id="104"/>
    <w:p>
      <w:pPr>
        <w:pStyle w:val="Heading5"/>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0.044, indicating that participants who watched a fluent instructor scored, on average, approximately 4.4 percentage points higher on the final recall test than those who watched a disfluent instructor. However, the 95% credible interval spans from -0.031 to 0.115, suggesting we cannot rule out the possibility of a null or weakly negative effect. The pd of 0.88indicates that 87% of the posterior distribution is positive, with the remaining 13% consistent with a null or negative effect. In the basic regression model above, the ROPE value was extracted using the {bayestestR} package.</w:t>
      </w:r>
    </w:p>
    <w:tbl>
      <w:tblPr>
        <w:tblStyle w:val="Table"/>
        <w:tblW w:type="pct" w:w="5000"/>
        <w:tblLayout w:type="fixed"/>
        <w:tblLook w:firstRow="0" w:lastRow="0" w:firstColumn="0" w:lastColumn="0" w:noHBand="0" w:noVBand="0" w:val="0000"/>
      </w:tblPr>
      <w:tblGrid>
        <w:gridCol w:w="7920"/>
      </w:tblGrid>
      <w:tr>
        <w:tc>
          <w:tcPr/>
          <w:bookmarkStart w:id="105" w:name="lst-merope"/>
          <w:p>
            <w:pPr>
              <w:jc w:val="center"/>
            </w:pPr>
            <w:pPr>
              <w:jc w:val="start"/>
              <w:spacing w:before="200"/>
              <w:pStyle w:val="ImageCaption"/>
            </w:pPr>
            <w:r>
              <w:t xml:space="preserve">Listing 15: Extracting ROPE using {marginaleffects} for</w:t>
            </w:r>
            <w:r>
              <w:t xml:space="preserve"> </w:t>
            </w:r>
            <m:oMath>
              <m:r>
                <m:t>μ</m:t>
              </m:r>
            </m:oMath>
            <w:r>
              <w:t xml:space="preserve"> </w:t>
            </w:r>
            <w:r>
              <w:t xml:space="preserve">difference</w:t>
            </w:r>
          </w:p>
          <w:p>
            <w:pPr>
              <w:pStyle w:val="SourceCode"/>
              <w:jc w:val="center"/>
            </w:pPr>
            <w:r>
              <w:rPr>
                <w:rStyle w:val="CommentTok"/>
              </w:rPr>
              <w:t xml:space="preserve"># get risk difference by default</w:t>
            </w:r>
            <w:r>
              <w:br/>
            </w:r>
            <w:r>
              <w:rPr>
                <w:rStyle w:val="NormalTok"/>
              </w:rPr>
              <w:t xml:space="preserve">beta_avg_comp_rope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rPr>
                <w:rStyle w:val="NormalTok"/>
              </w:rPr>
              <w:t xml:space="preserve">,</w:t>
            </w:r>
            <w:r>
              <w:br/>
            </w:r>
            <w:r>
              <w:rPr>
                <w:rStyle w:val="NormalTok"/>
              </w:rPr>
              <w:t xml:space="preserve">  </w:t>
            </w:r>
            <w:r>
              <w:rPr>
                <w:rStyle w:val="AttributeTok"/>
              </w:rPr>
              <w:t xml:space="preserve">equivalence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0.04</w:t>
            </w:r>
            <w:r>
              <w:rPr>
                <w:rStyle w:val="NormalTok"/>
              </w:rPr>
              <w:t xml:space="preserve">, .</w:t>
            </w:r>
            <w:r>
              <w:rPr>
                <w:rStyle w:val="DecValTok"/>
              </w:rPr>
              <w:t xml:space="preserve">04</w:t>
            </w:r>
            <w:r>
              <w:rPr>
                <w:rStyle w:val="NormalTok"/>
              </w:rPr>
              <w:t xml:space="preserve">)</w:t>
            </w:r>
            <w:r>
              <w:br/>
            </w:r>
            <w:r>
              <w:rPr>
                <w:rStyle w:val="NormalTok"/>
              </w:rPr>
              <w:t xml:space="preserve">)</w:t>
            </w:r>
          </w:p>
          <w:bookmarkEnd w:id="105"/>
        </w:tc>
      </w:tr>
    </w:tbl>
    <w:p>
      <w:pPr>
        <w:pStyle w:val="FirstParagraph"/>
      </w:pPr>
      <w:r>
        <w:t xml:space="preserve">The ROPE can also be obtained using the {marginaleffects} package by specifying the</w:t>
      </w:r>
      <w:r>
        <w:t xml:space="preserve"> </w:t>
      </w:r>
      <w:r>
        <w:rPr>
          <w:rStyle w:val="VerbatimChar"/>
        </w:rPr>
        <w:t xml:space="preserve">equivalence</w:t>
      </w:r>
      <w:r>
        <w:t xml:space="preserve"> </w:t>
      </w:r>
      <w:r>
        <w:t xml:space="preserve">bounds in</w:t>
      </w:r>
      <w:r>
        <w:t xml:space="preserve"> </w:t>
      </w:r>
      <w:r>
        <w:rPr>
          <w:rStyle w:val="VerbatimChar"/>
        </w:rPr>
        <w:t xml:space="preserve">avg_comparisons()</w:t>
      </w:r>
      <w:r>
        <w:t xml:space="preserve">. Running the code in</w:t>
      </w:r>
      <w:r>
        <w:t xml:space="preserve"> </w:t>
      </w:r>
      <w:hyperlink w:anchor="lst-merope">
        <w:r>
          <w:rPr>
            <w:rStyle w:val="Hyperlink"/>
          </w:rPr>
          <w:t xml:space="preserve">Listing 15</w:t>
        </w:r>
      </w:hyperlink>
      <w:r>
        <w:t xml:space="preserve"> </w:t>
      </w:r>
      <w:r>
        <w:t xml:space="preserve">returns a ROPE probability of 23%, indicating that there is insufficient evidence to conclude that the effect exceeds 4% or is practically equivalent.</w:t>
      </w:r>
    </w:p>
    <w:p>
      <w:pPr>
        <w:pStyle w:val="Heading4"/>
        <w:rPr>
          <w:vanish/>
          <w:specVanish/>
        </w:rPr>
      </w:pPr>
      <w:r>
        <w:t>\phi.</w:t>
      </w:r>
      <w:r>
        <w:t xml:space="preserve"> </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Specifically,</w:t>
      </w:r>
      <w:r>
        <w:t xml:space="preserve"> </w:t>
      </w:r>
      <m:oMath>
        <m:r>
          <m:t>ϕ</m:t>
        </m:r>
      </m:oMath>
      <w:r>
        <w:t xml:space="preserve"> </w:t>
      </w:r>
      <w:r>
        <w:t xml:space="preserve">in beta regression tells us about the variability of the response variable around its mean. Specifically, a higher parameter value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variability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variability (</w:t>
      </w:r>
      <m:oMath>
        <m:r>
          <m:t>ϕ</m:t>
        </m:r>
      </m:oMath>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10</w:t>
        </w:r>
      </w:hyperlink>
      <w:r>
        <w:t xml:space="preserve">).</w:t>
      </w:r>
    </w:p>
    <w:p>
      <w:pPr>
        <w:pStyle w:val="BodyText"/>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rPr>
          <w:b/>
          <w:bCs/>
        </w:rPr>
        <w:t xml:space="preserve">Looking at</w:t>
      </w:r>
      <w:r>
        <w:rPr>
          <w:b/>
          <w:bCs/>
        </w:rPr>
        <w:t xml:space="preserve"> </w:t>
      </w:r>
      <w:hyperlink w:anchor="tbl-all">
        <w:r>
          <w:rPr>
            <w:rStyle w:val="Hyperlink"/>
            <w:b/>
            <w:bCs/>
          </w:rPr>
          <w:t xml:space="preserve">Table 8</w:t>
        </w:r>
      </w:hyperlink>
      <w:r>
        <w:rPr>
          <w:b/>
          <w:bCs/>
        </w:rPr>
        <w:t xml:space="preserve">, the 95% Cr.I spans between [-0.167, 1.022] . The pd is 92%, indicating that while the vast majority of the posterior is positive, zero and negative values are not entirely ruled out.</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Gaussian models is homoscedasticity — constant variance of the errors. Beta regression relaxes this assumption by allowing us to explicitly model the precision parameter</w:t>
      </w:r>
      <w:r>
        <w:t xml:space="preserve"> </w:t>
      </w:r>
      <m:oMath>
        <m:r>
          <m:t>ϕ</m:t>
        </m:r>
      </m:oMath>
      <w:r>
        <w:t xml:space="preserve"> </w:t>
      </w:r>
      <w:r>
        <w:t xml:space="preserve">as a function of predictors. This matters because failing to account for heteroscedasticity can distort inferences about the mean: as shown in</w:t>
      </w:r>
      <w:r>
        <w:t xml:space="preserve"> </w:t>
      </w:r>
      <w:hyperlink w:anchor="fig-plt-diff">
        <w:r>
          <w:rPr>
            <w:rStyle w:val="Hyperlink"/>
          </w:rPr>
          <w:t xml:space="preserve">Figure 7</w:t>
        </w:r>
      </w:hyperlink>
      <w:r>
        <w:t xml:space="preserve">, including Fluency as a predictor of</w:t>
      </w:r>
      <w:r>
        <w:t xml:space="preserve"> </w:t>
      </w:r>
      <m:oMath>
        <m:r>
          <m:t>ϕ</m:t>
        </m:r>
      </m:oMath>
      <w:r>
        <w:t xml:space="preserve"> </w:t>
      </w:r>
      <w:r>
        <w:t xml:space="preserve">increased the uncertainty of the</w:t>
      </w:r>
      <w:r>
        <w:t xml:space="preserve"> </w:t>
      </w:r>
      <m:oMath>
        <m:r>
          <m:t>μ</m:t>
        </m:r>
      </m:oMath>
      <w:r>
        <w:t xml:space="preserve"> </w:t>
      </w:r>
      <w:r>
        <w:t xml:space="preserve">coefficient. This illustrates the broader utility of distributional models combined with beta regression, which directly model parameters like</w:t>
      </w:r>
      <w:r>
        <w:t xml:space="preserve"> </w:t>
      </w:r>
      <m:oMath>
        <m:r>
          <m:t>ϕ</m:t>
        </m:r>
      </m:oMath>
      <w:r>
        <w:t xml:space="preserve"> </w:t>
      </w:r>
      <w:r>
        <w:t xml:space="preserve">rather than assuming they are constant across observations.</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106"/>
      </w:r>
    </w:p>
    <w:bookmarkStart w:id="110" w:name="fig-plt-diff"/>
    <w:p>
      <w:pPr>
        <w:pStyle w:val="FigureTitle"/>
      </w:pPr>
      <w:r>
        <w:t xml:space="preserve">Figure 7</w:t>
      </w:r>
    </w:p>
    <w:p>
      <w:pPr>
        <w:pStyle w:val="Caption"/>
      </w:pPr>
      <w:r>
        <w:t xml:space="preserve">Comparison of posterior distributions for the percentage point difference between fluent and disfluent instructors: Simple model (no dispersion for Fluency) vs. complex model with dispersion</w:t>
      </w:r>
    </w:p>
    <w:p>
      <w:pPr>
        <w:pStyle w:val="FigureWithoutNote"/>
      </w:pPr>
      <w:r>
        <w:drawing>
          <wp:inline>
            <wp:extent cx="5504749" cy="4403799"/>
            <wp:effectExtent b="0" l="0" r="0" t="0"/>
            <wp:docPr descr="" title="" id="108" name="Picture"/>
            <a:graphic>
              <a:graphicData uri="http://schemas.openxmlformats.org/drawingml/2006/picture">
                <pic:pic>
                  <pic:nvPicPr>
                    <pic:cNvPr descr="ms_files/figure-docx/fig-plt-diff-1.png" id="109" name="Picture"/>
                    <pic:cNvPicPr>
                      <a:picLocks noChangeArrowheads="1" noChangeAspect="1"/>
                    </pic:cNvPicPr>
                  </pic:nvPicPr>
                  <pic:blipFill>
                    <a:blip r:embed="rId107"/>
                    <a:stretch>
                      <a:fillRect/>
                    </a:stretch>
                  </pic:blipFill>
                  <pic:spPr bwMode="auto">
                    <a:xfrm>
                      <a:off x="0" y="0"/>
                      <a:ext cx="5504749" cy="4403799"/>
                    </a:xfrm>
                    <a:prstGeom prst="rect">
                      <a:avLst/>
                    </a:prstGeom>
                    <a:noFill/>
                    <a:ln w="9525">
                      <a:noFill/>
                      <a:headEnd/>
                      <a:tailEnd/>
                    </a:ln>
                  </pic:spPr>
                </pic:pic>
              </a:graphicData>
            </a:graphic>
          </wp:inline>
        </w:drawing>
      </w:r>
    </w:p>
    <w:bookmarkEnd w:id="110"/>
    <w:p>
      <w:pPr>
        <w:pStyle w:val="Heading4"/>
        <w:rPr>
          <w:vanish/>
          <w:specVanish/>
        </w:rPr>
      </w:pPr>
      <w:r>
        <w:t>\phi difference.</w:t>
      </w:r>
      <w:r>
        <w:t xml:space="preserve"> </w:t>
      </w:r>
    </w:p>
    <w:p>
      <w:pPr>
        <w:pStyle w:val="BodyText"/>
      </w:pPr>
      <w:r>
        <w:t xml:space="preserve">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avgphi"/>
          <w:p>
            <w:pPr>
              <w:jc w:val="center"/>
            </w:pPr>
            <w:pPr>
              <w:jc w:val="start"/>
              <w:spacing w:before="200"/>
              <w:pStyle w:val="ImageCaption"/>
            </w:pPr>
            <w:r>
              <w:t xml:space="preserve">Listing 16: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11"/>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12"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12"/>
    </w:p>
    <w:bookmarkEnd w:id="113"/>
    <w:bookmarkStart w:id="114"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the model’s predictive performance can be improved when the bounds of the scale are explicitly specified.</w:t>
      </w:r>
    </w:p>
    <w:bookmarkEnd w:id="114"/>
    <w:bookmarkEnd w:id="115"/>
    <w:bookmarkStart w:id="126" w:name="zero-inflated-beta-zib-regression"/>
    <w:p>
      <w:pPr>
        <w:pStyle w:val="Heading2"/>
      </w:pPr>
      <w:r>
        <w:t xml:space="preserve">Zero-Inflated beta (ZIB) Regression</w:t>
      </w:r>
    </w:p>
    <w:p>
      <w:pPr>
        <w:pStyle w:val="FirstParagraph"/>
      </w:pPr>
      <w:r>
        <w:rPr>
          <w:b/>
          <w:bCs/>
        </w:rPr>
        <w:t xml:space="preserve">A limitation of beta regression is that it can only accommodate values strictly between 0 and 1, excluding exact zeros and ones — that is, cases where the outcome is observed at the boundary of the scale.</w:t>
      </w:r>
      <w:r>
        <w:t xml:space="preserve"> </w:t>
      </w:r>
      <w:r>
        <w:t xml:space="preserve">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lst-zib"/>
          <w:p>
            <w:pPr>
              <w:jc w:val="center"/>
            </w:pPr>
            <w:pPr>
              <w:jc w:val="start"/>
              <w:spacing w:before="200"/>
              <w:pStyle w:val="ImageCaption"/>
            </w:pPr>
            <w:r>
              <w:t xml:space="preserve">Listing 17: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16"/>
        </w:tc>
      </w:tr>
    </w:tbl>
    <w:bookmarkStart w:id="117"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7"/>
    <w:bookmarkStart w:id="120"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w:t>
      </w:r>
      <w:r>
        <w:t xml:space="preserve"> </w:t>
      </w:r>
      <w:r>
        <w:rPr>
          <w:b/>
          <w:bCs/>
        </w:rPr>
        <w:t xml:space="preserve">evidence for an effect of Fluency is inconclusive – the 95% Cr.I is wide, suggesting substantial uncertainty about the direction and magnitude of the effect–that is, though most of the posterior density supports positive effects, nil and weakly negative effects cannot be ruled out.</w:t>
      </w:r>
    </w:p>
    <w:bookmarkStart w:id="118"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0.043</w:t>
            </w:r>
          </w:p>
        </w:tc>
        <w:tc>
          <w:tcPr/>
          <w:p>
            <w:pPr>
              <w:pStyle w:val="Compact"/>
            </w:pPr>
            <w:r>
              <w:t xml:space="preserve">[-0.033, 0.116]</w:t>
            </w:r>
          </w:p>
        </w:tc>
        <w:tc>
          <w:tcPr/>
          <w:p>
            <w:pPr>
              <w:pStyle w:val="Compact"/>
            </w:pPr>
            <w:r>
              <w:t xml:space="preserve">0.871</w:t>
            </w:r>
          </w:p>
        </w:tc>
      </w:tr>
    </w:tbl>
    <w:bookmarkEnd w:id="118"/>
    <w:p>
      <w:pPr>
        <w:pStyle w:val="Heading4"/>
        <w:rPr>
          <w:vanish/>
          <w:specVanish/>
        </w:rPr>
      </w:pPr>
      <w:r>
        <w:t>\phi.</w:t>
      </w:r>
      <w:r>
        <w:t xml:space="preserve"> </w:t>
      </w:r>
    </w:p>
    <w:bookmarkStart w:id="119"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2.71</w:t>
            </w:r>
          </w:p>
        </w:tc>
        <w:tc>
          <w:tcPr/>
          <w:p>
            <w:pPr>
              <w:pStyle w:val="Compact"/>
            </w:pPr>
            <w:r>
              <w:t xml:space="preserve">[-0.917, 6.618]</w:t>
            </w:r>
          </w:p>
        </w:tc>
        <w:tc>
          <w:tcPr/>
          <w:p>
            <w:pPr>
              <w:pStyle w:val="Compact"/>
            </w:pPr>
            <w:r>
              <w:t xml:space="preserve">0.928</w:t>
            </w:r>
          </w:p>
        </w:tc>
      </w:tr>
    </w:tbl>
    <w:bookmarkEnd w:id="119"/>
    <w:p>
      <w:pPr>
        <w:pStyle w:val="AfterWithoutNote"/>
      </w:pPr>
      <w:r>
        <w:t xml:space="preserve">As shown in</w:t>
      </w:r>
      <w:r>
        <w:t xml:space="preserve"> </w:t>
      </w:r>
      <w:hyperlink w:anchor="tbl-marg-phi-brms">
        <w:r>
          <w:rPr>
            <w:rStyle w:val="Hyperlink"/>
          </w:rPr>
          <w:t xml:space="preserve">Table 5</w:t>
        </w:r>
      </w:hyperlink>
      <w:r>
        <w:t xml:space="preserve">,</w:t>
      </w:r>
      <w:r>
        <w:t xml:space="preserve"> </w:t>
      </w:r>
      <w:r>
        <w:rPr>
          <w:b/>
          <w:bCs/>
        </w:rPr>
        <w:t xml:space="preserve">evidence for an effect of Fluency on dispersion is inconclusive – the 95% Cr.I encompasses negative, nil, and positive values, suggesting uncertainty about the direction of the effect.</w:t>
      </w:r>
      <w:r>
        <w:t xml:space="preserve"> </w:t>
      </w:r>
      <w:r>
        <w:t xml:space="preserve">The pd is 0.93 indicating that 87% of the distribution is positive, but 13% is negative.</w:t>
      </w:r>
    </w:p>
    <w:bookmarkEnd w:id="120"/>
    <w:bookmarkStart w:id="125" w:name="zero-inflation"/>
    <w:p>
      <w:pPr>
        <w:pStyle w:val="Heading3"/>
      </w:pPr>
      <w:r>
        <w:t xml:space="preserve">Zero-Inflation</w:t>
      </w:r>
    </w:p>
    <w:bookmarkStart w:id="124"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22" name="Picture"/>
            <a:graphic>
              <a:graphicData uri="http://schemas.openxmlformats.org/drawingml/2006/picture">
                <pic:pic>
                  <pic:nvPicPr>
                    <pic:cNvPr descr="ms_files/figure-docx/fig-zi-plot-1.png" id="123" name="Picture"/>
                    <pic:cNvPicPr>
                      <a:picLocks noChangeArrowheads="1" noChangeAspect="1"/>
                    </pic:cNvPicPr>
                  </pic:nvPicPr>
                  <pic:blipFill>
                    <a:blip r:embed="rId121"/>
                    <a:stretch>
                      <a:fillRect/>
                    </a:stretch>
                  </pic:blipFill>
                  <pic:spPr bwMode="auto">
                    <a:xfrm>
                      <a:off x="0" y="0"/>
                      <a:ext cx="5504749" cy="4403799"/>
                    </a:xfrm>
                    <a:prstGeom prst="rect">
                      <a:avLst/>
                    </a:prstGeom>
                    <a:noFill/>
                    <a:ln w="9525">
                      <a:noFill/>
                      <a:headEnd/>
                      <a:tailEnd/>
                    </a:ln>
                  </pic:spPr>
                </pic:pic>
              </a:graphicData>
            </a:graphic>
          </wp:inline>
        </w:drawing>
      </w:r>
    </w:p>
    <w:bookmarkEnd w:id="124"/>
    <w:p>
      <w:pPr>
        <w:pStyle w:val="AfterWithoutNote"/>
      </w:pPr>
      <w:r>
        <w:rPr>
          <w:b/>
          <w:bCs/>
        </w:rPr>
        <w:t xml:space="preserve">We can use {marginaleffects} to estimate and plot the posterior difference between the fluent and disfluent conditions (see</w:t>
      </w:r>
      <w:r>
        <w:rPr>
          <w:b/>
          <w:bCs/>
        </w:rPr>
        <w:t xml:space="preserve"> </w:t>
      </w:r>
      <w:hyperlink w:anchor="fig-zi-plot">
        <w:r>
          <w:rPr>
            <w:rStyle w:val="Hyperlink"/>
            <w:b/>
            <w:bCs/>
          </w:rPr>
          <w:t xml:space="preserve">Figure 8</w:t>
        </w:r>
      </w:hyperlink>
      <w:r>
        <w:rPr>
          <w:b/>
          <w:bCs/>
        </w:rPr>
        <w:t xml:space="preserve">). In</w:t>
      </w:r>
      <w:r>
        <w:rPr>
          <w:b/>
          <w:bCs/>
        </w:rPr>
        <w:t xml:space="preserve"> </w:t>
      </w:r>
      <w:hyperlink w:anchor="fig-zi-plot">
        <w:r>
          <w:rPr>
            <w:rStyle w:val="Hyperlink"/>
            <w:b/>
            <w:bCs/>
          </w:rPr>
          <w:t xml:space="preserve">Figure 8</w:t>
        </w:r>
      </w:hyperlink>
      <w:r>
        <w:rPr>
          <w:b/>
          <w:bCs/>
        </w:rPr>
        <w:t xml:space="preserve">, the posterior distribution for this contrast lies mostly below zero, indicating that a disfluent instructor is associated with a higher probability of zero responses. The estimated reduction is approximately 13%, and the posterior probability of a positive effect is 0.99 suggesting strong evidence that the disfluent instruction increases the probability of zero responses.</w:t>
      </w:r>
    </w:p>
    <w:bookmarkEnd w:id="125"/>
    <w:bookmarkEnd w:id="126"/>
    <w:bookmarkStart w:id="136"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7"/>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31"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9" name="Picture"/>
            <a:graphic>
              <a:graphicData uri="http://schemas.openxmlformats.org/drawingml/2006/picture">
                <pic:pic>
                  <pic:nvPicPr>
                    <pic:cNvPr descr="ms_files/figure-docx/fig-zoib-1.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bookmarkEnd w:id="131"/>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18</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32" w:name="lst-zoib"/>
          <w:p>
            <w:pPr>
              <w:jc w:val="center"/>
            </w:pPr>
            <w:pPr>
              <w:jc w:val="start"/>
              <w:spacing w:before="200"/>
              <w:pStyle w:val="ImageCaption"/>
            </w:pPr>
            <w:r>
              <w:t xml:space="preserve">Listing 18: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32"/>
        </w:tc>
      </w:tr>
    </w:tbl>
    <w:bookmarkStart w:id="133"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3"/>
    <w:bookmarkStart w:id="135"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4" w:name="lst-coi"/>
          <w:p>
            <w:pPr>
              <w:jc w:val="center"/>
            </w:pPr>
            <w:pPr>
              <w:jc w:val="start"/>
              <w:spacing w:before="200"/>
              <w:pStyle w:val="ImageCaption"/>
            </w:pPr>
            <w:r>
              <w:t xml:space="preserve">Listing 19: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34"/>
        </w:tc>
      </w:tr>
    </w:tbl>
    <w:bookmarkEnd w:id="135"/>
    <w:bookmarkEnd w:id="136"/>
    <w:bookmarkStart w:id="161"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7"/>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8"/>
      </w:r>
    </w:p>
    <w:bookmarkStart w:id="144"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9" w:name="lst-ordbeta"/>
          <w:p>
            <w:pPr>
              <w:jc w:val="center"/>
            </w:pPr>
            <w:pPr>
              <w:jc w:val="start"/>
              <w:spacing w:before="200"/>
              <w:pStyle w:val="ImageCaption"/>
            </w:pPr>
            <w:r>
              <w:t xml:space="preserve">Listing 20: Load {ordbetareg}</w:t>
            </w:r>
          </w:p>
          <w:p>
            <w:pPr>
              <w:pStyle w:val="SourceCode"/>
              <w:jc w:val="center"/>
            </w:pPr>
            <w:r>
              <w:rPr>
                <w:rStyle w:val="FunctionTok"/>
              </w:rPr>
              <w:t xml:space="preserve">library</w:t>
            </w:r>
            <w:r>
              <w:rPr>
                <w:rStyle w:val="NormalTok"/>
              </w:rPr>
              <w:t xml:space="preserve">(ordbetareg)</w:t>
            </w:r>
          </w:p>
          <w:bookmarkEnd w:id="139"/>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lst-fitordbeta"/>
          <w:p>
            <w:pPr>
              <w:jc w:val="center"/>
            </w:pPr>
            <w:pPr>
              <w:jc w:val="start"/>
              <w:spacing w:before="200"/>
              <w:pStyle w:val="ImageCaption"/>
            </w:pPr>
            <w:r>
              <w:t xml:space="preserve">Listing 21: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40"/>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22</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41" w:name="lst-ordbetadisp"/>
          <w:p>
            <w:pPr>
              <w:jc w:val="center"/>
            </w:pPr>
            <w:pPr>
              <w:jc w:val="start"/>
              <w:spacing w:before="200"/>
              <w:pStyle w:val="ImageCaption"/>
            </w:pPr>
            <w:r>
              <w:t xml:space="preserve">Listing 22: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41"/>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42" w:name="tbl-ordbeta"/>
    <w:p>
      <w:pPr>
        <w:pStyle w:val="FigureTitle"/>
      </w:pPr>
      <w:r>
        <w:t xml:space="preserve">Table 6</w:t>
      </w:r>
    </w:p>
    <w:p>
      <w:pPr>
        <w:pStyle w:val="Caption"/>
      </w:pPr>
      <w:r>
        <w:t xml:space="preserve">Marginal effect of fluency for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[-0.016, 0.136]</w:t>
            </w:r>
          </w:p>
        </w:tc>
        <w:tc>
          <w:tcPr/>
          <w:p>
            <w:pPr>
              <w:pStyle w:val="Compact"/>
            </w:pPr>
            <w:r>
              <w:t xml:space="preserve">0.941</w:t>
            </w:r>
          </w:p>
        </w:tc>
      </w:tr>
    </w:tbl>
    <w:bookmarkEnd w:id="142"/>
    <w:p>
      <w:pPr>
        <w:pStyle w:val="AfterWithoutNote"/>
      </w:pPr>
      <w:r>
        <w:t xml:space="preserve">In</w:t>
      </w:r>
      <w:r>
        <w:t xml:space="preserve"> </w:t>
      </w:r>
      <w:hyperlink w:anchor="tbl-ordbeta">
        <w:r>
          <w:rPr>
            <w:rStyle w:val="Hyperlink"/>
          </w:rPr>
          <w:t xml:space="preserve">Table 6</w:t>
        </w:r>
      </w:hyperlink>
      <w:r>
        <w:t xml:space="preserve"> </w:t>
      </w:r>
      <w:r>
        <w:rPr>
          <w:b/>
          <w:bCs/>
        </w:rPr>
        <w:t xml:space="preserve">the credible interval for the fluent–disfluent difference is mostly positive with 0.94 % the posterior above zero, suggesting that fluent instructions probably yield somewhat higher accuracy than disfluent instructions after accounting for boundary responses, though the effect remains uncertain.</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3"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[-3.56, -2.42]</w:t>
            </w:r>
          </w:p>
        </w:tc>
      </w:tr>
      <w:tr>
        <w:tc>
          <w:tcPr/>
          <w:p>
            <w:pPr>
              <w:pStyle w:val="Compact"/>
            </w:pPr>
            <w:r>
              <w:t xml:space="preserve">cutone</w:t>
            </w:r>
          </w:p>
        </w:tc>
        <w:tc>
          <w:tcPr/>
          <w:p>
            <w:pPr>
              <w:pStyle w:val="Compact"/>
            </w:pPr>
            <w:r>
              <w:t xml:space="preserve">1.85</w:t>
            </w:r>
          </w:p>
        </w:tc>
        <w:tc>
          <w:tcPr/>
          <w:p>
            <w:pPr>
              <w:pStyle w:val="Compact"/>
            </w:pPr>
            <w:r>
              <w:t xml:space="preserve">[1.65, 2.07]</w:t>
            </w:r>
          </w:p>
        </w:tc>
      </w:tr>
    </w:tbl>
    <w:bookmarkEnd w:id="143"/>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44"/>
    <w:bookmarkStart w:id="149"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8"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6" name="Picture"/>
            <a:graphic>
              <a:graphicData uri="http://schemas.openxmlformats.org/drawingml/2006/picture">
                <pic:pic>
                  <pic:nvPicPr>
                    <pic:cNvPr descr="ms_files/figure-docx/fig-ppcheckord-1.png" id="147" name="Picture"/>
                    <pic:cNvPicPr>
                      <a:picLocks noChangeArrowheads="1" noChangeAspect="1"/>
                    </pic:cNvPicPr>
                  </pic:nvPicPr>
                  <pic:blipFill>
                    <a:blip r:embed="rId145"/>
                    <a:stretch>
                      <a:fillRect/>
                    </a:stretch>
                  </pic:blipFill>
                  <pic:spPr bwMode="auto">
                    <a:xfrm>
                      <a:off x="0" y="0"/>
                      <a:ext cx="5943600" cy="4754880"/>
                    </a:xfrm>
                    <a:prstGeom prst="rect">
                      <a:avLst/>
                    </a:prstGeom>
                    <a:noFill/>
                    <a:ln w="9525">
                      <a:noFill/>
                      <a:headEnd/>
                      <a:tailEnd/>
                    </a:ln>
                  </pic:spPr>
                </pic:pic>
              </a:graphicData>
            </a:graphic>
          </wp:inline>
        </w:drawing>
      </w:r>
    </w:p>
    <w:bookmarkEnd w:id="148"/>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9"/>
    <w:bookmarkStart w:id="154"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3"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51" name="Picture"/>
            <a:graphic>
              <a:graphicData uri="http://schemas.openxmlformats.org/drawingml/2006/picture">
                <pic:pic>
                  <pic:nvPicPr>
                    <pic:cNvPr descr="ms_files/figure-docx/fig-heiss-1.png" id="152" name="Picture"/>
                    <pic:cNvPicPr>
                      <a:picLocks noChangeArrowheads="1" noChangeAspect="1"/>
                    </pic:cNvPicPr>
                  </pic:nvPicPr>
                  <pic:blipFill>
                    <a:blip r:embed="rId150"/>
                    <a:stretch>
                      <a:fillRect/>
                    </a:stretch>
                  </pic:blipFill>
                  <pic:spPr bwMode="auto">
                    <a:xfrm>
                      <a:off x="0" y="0"/>
                      <a:ext cx="5504749" cy="4403799"/>
                    </a:xfrm>
                    <a:prstGeom prst="rect">
                      <a:avLst/>
                    </a:prstGeom>
                    <a:noFill/>
                    <a:ln w="9525">
                      <a:noFill/>
                      <a:headEnd/>
                      <a:tailEnd/>
                    </a:ln>
                  </pic:spPr>
                </pic:pic>
              </a:graphicData>
            </a:graphic>
          </wp:inline>
        </w:drawing>
      </w:r>
    </w:p>
    <w:bookmarkEnd w:id="153"/>
    <w:bookmarkEnd w:id="154"/>
    <w:bookmarkStart w:id="160"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5"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241"/>
        <w:gridCol w:w="1241"/>
        <w:gridCol w:w="1241"/>
        <w:gridCol w:w="118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-0.829</w:t>
            </w:r>
          </w:p>
        </w:tc>
        <w:tc>
          <w:tcPr/>
          <w:p>
            <w:pPr>
              <w:pStyle w:val="Compact"/>
            </w:pPr>
            <w:r>
              <w:t xml:space="preserve">-0.828</w:t>
            </w:r>
          </w:p>
        </w:tc>
        <w:tc>
          <w:tcPr/>
          <w:p>
            <w:pPr>
              <w:pStyle w:val="Compact"/>
            </w:pPr>
            <w:r>
              <w:t xml:space="preserve">-0.828</w:t>
            </w:r>
          </w:p>
        </w:tc>
        <w:tc>
          <w:tcPr/>
          <w:p>
            <w:pPr>
              <w:pStyle w:val="Compact"/>
            </w:pPr>
            <w:r>
              <w:t xml:space="preserve">-0.864</w:t>
            </w:r>
          </w:p>
        </w:tc>
      </w:tr>
      <w:tr>
        <w:tc>
          <w:tcPr/>
          <w:p>
            <w:pPr>
              <w:pStyle w:val="Compact"/>
            </w:pPr>
          </w:p>
        </w:tc>
        <w:tc>
          <w:tcPr/>
          <w:p>
            <w:pPr>
              <w:pStyle w:val="Compact"/>
            </w:pPr>
            <w:r>
              <w:rPr>
                <w:i/>
                <w:iCs/>
              </w:rPr>
              <w:t xml:space="preserve">Cr.I</w:t>
            </w:r>
          </w:p>
        </w:tc>
        <w:tc>
          <w:tcPr/>
          <w:p>
            <w:pPr>
              <w:pStyle w:val="Compact"/>
            </w:pPr>
            <w:r>
              <w:rPr>
                <w:i/>
                <w:iCs/>
              </w:rPr>
              <w:t xml:space="preserve">[0.2, 0.314]</w:t>
            </w:r>
          </w:p>
        </w:tc>
        <w:tc>
          <w:tcPr/>
          <w:p>
            <w:pPr>
              <w:pStyle w:val="Compact"/>
            </w:pPr>
            <w:r>
              <w:rPr>
                <w:i/>
                <w:iCs/>
              </w:rPr>
              <w:t xml:space="preserve">[-1.089, -0.554]</w:t>
            </w:r>
          </w:p>
        </w:tc>
        <w:tc>
          <w:tcPr/>
          <w:p>
            <w:pPr>
              <w:pStyle w:val="Compact"/>
            </w:pPr>
            <w:r>
              <w:rPr>
                <w:i/>
                <w:iCs/>
              </w:rPr>
              <w:t xml:space="preserve">[-1.092, -0.557]</w:t>
            </w:r>
          </w:p>
        </w:tc>
        <w:tc>
          <w:tcPr/>
          <w:p>
            <w:pPr>
              <w:pStyle w:val="Compact"/>
            </w:pPr>
            <w:r>
              <w:rPr>
                <w:i/>
                <w:iCs/>
              </w:rPr>
              <w:t xml:space="preserve">[-1.091, -0.558]</w:t>
            </w:r>
          </w:p>
        </w:tc>
        <w:tc>
          <w:tcPr/>
          <w:p>
            <w:pPr>
              <w:pStyle w:val="Compact"/>
            </w:pPr>
            <w:r>
              <w:rPr>
                <w:i/>
                <w:iCs/>
              </w:rPr>
              <w:t xml:space="preserve">[-1.114, -0.6]</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0.201</w:t>
            </w:r>
          </w:p>
        </w:tc>
        <w:tc>
          <w:tcPr/>
          <w:p>
            <w:pPr>
              <w:pStyle w:val="Compact"/>
            </w:pPr>
            <w:r>
              <w:t xml:space="preserve">0.199</w:t>
            </w:r>
          </w:p>
        </w:tc>
        <w:tc>
          <w:tcPr/>
          <w:p>
            <w:pPr>
              <w:pStyle w:val="Compact"/>
            </w:pPr>
            <w:r>
              <w:t xml:space="preserve">0.202</w:t>
            </w:r>
          </w:p>
        </w:tc>
        <w:tc>
          <w:tcPr/>
          <w:p>
            <w:pPr>
              <w:pStyle w:val="Compact"/>
            </w:pPr>
            <w:r>
              <w:t xml:space="preserve">0.260</w:t>
            </w:r>
          </w:p>
        </w:tc>
      </w:tr>
      <w:tr>
        <w:tc>
          <w:tcPr/>
          <w:p>
            <w:pPr>
              <w:pStyle w:val="Compact"/>
            </w:pPr>
          </w:p>
        </w:tc>
        <w:tc>
          <w:tcPr/>
          <w:p>
            <w:pPr>
              <w:pStyle w:val="Compact"/>
            </w:pPr>
            <w:r>
              <w:rPr>
                <w:i/>
                <w:iCs/>
              </w:rPr>
              <w:t xml:space="preserve">Cr.I</w:t>
            </w:r>
          </w:p>
        </w:tc>
        <w:tc>
          <w:tcPr/>
          <w:p>
            <w:pPr>
              <w:pStyle w:val="Compact"/>
            </w:pPr>
            <w:r>
              <w:rPr>
                <w:i/>
                <w:iCs/>
              </w:rPr>
              <w:t xml:space="preserve">[0, 0.169]</w:t>
            </w:r>
          </w:p>
        </w:tc>
        <w:tc>
          <w:tcPr/>
          <w:p>
            <w:pPr>
              <w:pStyle w:val="Compact"/>
            </w:pPr>
            <w:r>
              <w:rPr>
                <w:i/>
                <w:iCs/>
              </w:rPr>
              <w:t xml:space="preserve">[-0.138, 0.528]</w:t>
            </w:r>
          </w:p>
        </w:tc>
        <w:tc>
          <w:tcPr/>
          <w:p>
            <w:pPr>
              <w:pStyle w:val="Compact"/>
            </w:pPr>
            <w:r>
              <w:rPr>
                <w:i/>
                <w:iCs/>
              </w:rPr>
              <w:t xml:space="preserve">[-0.15, 0.535]</w:t>
            </w:r>
          </w:p>
        </w:tc>
        <w:tc>
          <w:tcPr/>
          <w:p>
            <w:pPr>
              <w:pStyle w:val="Compact"/>
            </w:pPr>
            <w:r>
              <w:rPr>
                <w:i/>
                <w:iCs/>
              </w:rPr>
              <w:t xml:space="preserve">[-0.151, 0.549]</w:t>
            </w:r>
          </w:p>
        </w:tc>
        <w:tc>
          <w:tcPr/>
          <w:p>
            <w:pPr>
              <w:pStyle w:val="Compact"/>
            </w:pPr>
            <w:r>
              <w:rPr>
                <w:i/>
                <w:iCs/>
              </w:rPr>
              <w:t xml:space="preserve">[-0.069, 0.593]</w:t>
            </w:r>
          </w:p>
        </w:tc>
      </w:tr>
      <w:tr>
        <w:tc>
          <w:tcPr/>
          <w:p>
            <w:pPr>
              <w:pStyle w:val="Compact"/>
            </w:pPr>
          </w:p>
        </w:tc>
        <w:tc>
          <w:tcPr/>
          <w:p>
            <w:pPr>
              <w:pStyle w:val="Compact"/>
            </w:pPr>
            <w:r>
              <w:rPr>
                <w:i/>
                <w:iCs/>
              </w:rPr>
              <w:t xml:space="preserve">pd</w:t>
            </w:r>
          </w:p>
        </w:tc>
        <w:tc>
          <w:tcPr/>
          <w:p>
            <w:pPr>
              <w:pStyle w:val="Compact"/>
            </w:pPr>
            <w:r>
              <w:t xml:space="preserve">_0.975*_</w:t>
            </w:r>
          </w:p>
        </w:tc>
        <w:tc>
          <w:tcPr/>
          <w:p>
            <w:pPr>
              <w:pStyle w:val="Compact"/>
            </w:pPr>
            <w:r>
              <w:rPr>
                <w:i/>
                <w:iCs/>
              </w:rPr>
              <w:t xml:space="preserve">0.876</w:t>
            </w:r>
          </w:p>
        </w:tc>
        <w:tc>
          <w:tcPr/>
          <w:p>
            <w:pPr>
              <w:pStyle w:val="Compact"/>
            </w:pPr>
            <w:r>
              <w:rPr>
                <w:i/>
                <w:iCs/>
              </w:rPr>
              <w:t xml:space="preserve">0.871</w:t>
            </w:r>
          </w:p>
        </w:tc>
        <w:tc>
          <w:tcPr/>
          <w:p>
            <w:pPr>
              <w:pStyle w:val="Compact"/>
            </w:pPr>
            <w:r>
              <w:rPr>
                <w:i/>
                <w:iCs/>
              </w:rPr>
              <w:t xml:space="preserve">0.880</w:t>
            </w:r>
          </w:p>
        </w:tc>
        <w:tc>
          <w:tcPr/>
          <w:p>
            <w:pPr>
              <w:pStyle w:val="Compact"/>
            </w:pPr>
            <w:r>
              <w:rPr>
                <w:i/>
                <w:iCs/>
              </w:rPr>
              <w:t xml:space="preserve">0.941</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[0.179, 0.243]</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1.604</w:t>
            </w:r>
          </w:p>
        </w:tc>
        <w:tc>
          <w:tcPr/>
          <w:p>
            <w:pPr>
              <w:pStyle w:val="Compact"/>
            </w:pPr>
            <w:r>
              <w:t xml:space="preserve">1.603</w:t>
            </w:r>
          </w:p>
        </w:tc>
        <w:tc>
          <w:tcPr/>
          <w:p>
            <w:pPr>
              <w:pStyle w:val="Compact"/>
            </w:pPr>
            <w:r>
              <w:t xml:space="preserve">1.595</w:t>
            </w:r>
          </w:p>
        </w:tc>
        <w:tc>
          <w:tcPr/>
          <w:p>
            <w:pPr>
              <w:pStyle w:val="Compact"/>
            </w:pPr>
            <w:r>
              <w:t xml:space="preserve">1.622</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[1.173, 1.98]</w:t>
            </w:r>
          </w:p>
        </w:tc>
        <w:tc>
          <w:tcPr/>
          <w:p>
            <w:pPr>
              <w:pStyle w:val="Compact"/>
            </w:pPr>
            <w:r>
              <w:rPr>
                <w:i/>
                <w:iCs/>
              </w:rPr>
              <w:t xml:space="preserve">[1.196, 1.99]</w:t>
            </w:r>
          </w:p>
        </w:tc>
        <w:tc>
          <w:tcPr/>
          <w:p>
            <w:pPr>
              <w:pStyle w:val="Compact"/>
            </w:pPr>
            <w:r>
              <w:rPr>
                <w:i/>
                <w:iCs/>
              </w:rPr>
              <w:t xml:space="preserve">[1.18, 1.963]</w:t>
            </w:r>
          </w:p>
        </w:tc>
        <w:tc>
          <w:tcPr/>
          <w:p>
            <w:pPr>
              <w:pStyle w:val="Compact"/>
            </w:pPr>
            <w:r>
              <w:rPr>
                <w:i/>
                <w:iCs/>
              </w:rPr>
              <w:t xml:space="preserve">[1.23, 1.995]</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0.421</w:t>
            </w:r>
          </w:p>
        </w:tc>
        <w:tc>
          <w:tcPr/>
          <w:p>
            <w:pPr>
              <w:pStyle w:val="Compact"/>
            </w:pPr>
            <w:r>
              <w:t xml:space="preserve">0.427</w:t>
            </w:r>
          </w:p>
        </w:tc>
        <w:tc>
          <w:tcPr/>
          <w:p>
            <w:pPr>
              <w:pStyle w:val="Compact"/>
            </w:pPr>
            <w:r>
              <w:t xml:space="preserve">0.432</w:t>
            </w:r>
          </w:p>
        </w:tc>
        <w:tc>
          <w:tcPr/>
          <w:p>
            <w:pPr>
              <w:pStyle w:val="Compact"/>
            </w:pPr>
            <w:r>
              <w:t xml:space="preserve">0.394</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[-0.151, 0.989]</w:t>
            </w:r>
          </w:p>
        </w:tc>
        <w:tc>
          <w:tcPr/>
          <w:p>
            <w:pPr>
              <w:pStyle w:val="Compact"/>
            </w:pPr>
            <w:r>
              <w:rPr>
                <w:i/>
                <w:iCs/>
              </w:rPr>
              <w:t xml:space="preserve">[-0.154, 0.997]</w:t>
            </w:r>
          </w:p>
        </w:tc>
        <w:tc>
          <w:tcPr/>
          <w:p>
            <w:pPr>
              <w:pStyle w:val="Compact"/>
            </w:pPr>
            <w:r>
              <w:rPr>
                <w:i/>
                <w:iCs/>
              </w:rPr>
              <w:t xml:space="preserve">[-0.151, 1.02]</w:t>
            </w:r>
          </w:p>
        </w:tc>
        <w:tc>
          <w:tcPr/>
          <w:p>
            <w:pPr>
              <w:pStyle w:val="Compact"/>
            </w:pPr>
            <w:r>
              <w:rPr>
                <w:i/>
                <w:iCs/>
              </w:rPr>
              <w:t xml:space="preserve">[-0.179, 0.97]</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0.924</w:t>
            </w:r>
          </w:p>
        </w:tc>
        <w:tc>
          <w:tcPr/>
          <w:p>
            <w:pPr>
              <w:pStyle w:val="Compact"/>
            </w:pPr>
            <w:r>
              <w:rPr>
                <w:i/>
                <w:iCs/>
              </w:rPr>
              <w:t xml:space="preserve">0.928</w:t>
            </w:r>
          </w:p>
        </w:tc>
        <w:tc>
          <w:tcPr/>
          <w:p>
            <w:pPr>
              <w:pStyle w:val="Compact"/>
            </w:pPr>
            <w:r>
              <w:rPr>
                <w:i/>
                <w:iCs/>
              </w:rPr>
              <w:t xml:space="preserve">0.930</w:t>
            </w:r>
          </w:p>
        </w:tc>
        <w:tc>
          <w:tcPr/>
          <w:p>
            <w:pPr>
              <w:pStyle w:val="Compact"/>
            </w:pPr>
            <w:r>
              <w:rPr>
                <w:i/>
                <w:iCs/>
              </w:rPr>
              <w:t xml:space="preserve">0.916</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[-2.441, -1.008]</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-2.149</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[-4.637, -0.352]</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_0.993**_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-1.551</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[-2.303, -0.874]</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-2.236</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[-4.728, -0.53]</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_0.998***_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-2.049</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[-4.565, -0.307]</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0.210</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[-6.586, 5.711]</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0.559</w:t>
            </w:r>
          </w:p>
        </w:tc>
        <w:tc>
          <w:tcPr/>
          <w:p>
            <w:pPr>
              <w:pStyle w:val="Compact"/>
            </w:pPr>
            <w:r>
              <w:rPr>
                <w:i/>
                <w:iCs/>
              </w:rPr>
              <w:t xml:space="preserve">-</w:t>
            </w:r>
          </w:p>
        </w:tc>
      </w:tr>
    </w:tbl>
    <w:bookmarkEnd w:id="155"/>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9"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ZIB (C) and ZOIB (D).</w:t>
      </w:r>
    </w:p>
    <w:p>
      <w:pPr>
        <w:pStyle w:val="FigureWithoutNote"/>
      </w:pPr>
      <w:r>
        <w:drawing>
          <wp:inline>
            <wp:extent cx="5943600" cy="4754880"/>
            <wp:effectExtent b="0" l="0" r="0" t="0"/>
            <wp:docPr descr="" title="" id="157" name="Picture"/>
            <a:graphic>
              <a:graphicData uri="http://schemas.openxmlformats.org/drawingml/2006/picture">
                <pic:pic>
                  <pic:nvPicPr>
                    <pic:cNvPr descr="ms_files/figure-docx/fig-ppcheckall-1.png" id="158" name="Picture"/>
                    <pic:cNvPicPr>
                      <a:picLocks noChangeArrowheads="1" noChangeAspect="1"/>
                    </pic:cNvPicPr>
                  </pic:nvPicPr>
                  <pic:blipFill>
                    <a:blip r:embed="rId156"/>
                    <a:stretch>
                      <a:fillRect/>
                    </a:stretch>
                  </pic:blipFill>
                  <pic:spPr bwMode="auto">
                    <a:xfrm>
                      <a:off x="0" y="0"/>
                      <a:ext cx="5943600" cy="4754880"/>
                    </a:xfrm>
                    <a:prstGeom prst="rect">
                      <a:avLst/>
                    </a:prstGeom>
                    <a:noFill/>
                    <a:ln w="9525">
                      <a:noFill/>
                      <a:headEnd/>
                      <a:tailEnd/>
                    </a:ln>
                  </pic:spPr>
                </pic:pic>
              </a:graphicData>
            </a:graphic>
          </wp:inline>
        </w:drawing>
      </w:r>
    </w:p>
    <w:bookmarkEnd w:id="159"/>
    <w:bookmarkEnd w:id="160"/>
    <w:bookmarkEnd w:id="161"/>
    <w:bookmarkStart w:id="176" w:name="case-study-2"/>
    <w:p>
      <w:pPr>
        <w:pStyle w:val="Heading2"/>
      </w:pPr>
      <w:r>
        <w:t xml:space="preserve">Case Study 2</w:t>
      </w:r>
    </w:p>
    <w:p>
      <w:pPr>
        <w:pStyle w:val="FirstParagraph"/>
      </w:pPr>
      <w:r>
        <w:rPr>
          <w:b/>
          <w:bCs/>
        </w:rPr>
        <w:t xml:space="preserve">In Case Study 1, our accuracy measure contained both zeros and ones; however, there was only a single one in the dataset. To more clearly demonstrate boundary value handling, we use example data that contains multiple zeros and ones. In the same paper, @wilford2020 also had participants provide metamemory judgments for each video using judgments of learning (JOLs). Metamemory judgments are judgments about future memory performance (i.e., how likely one is to remember a stimulus on a future memory test). JOLs require participants to rate an item on a scale from 0 to 100, where 0 indicates the item will not be remembered and 100 indicates they will definitely remember it. JOLs are widely used in the learning and memory literature</w:t>
      </w:r>
      <w:r>
        <w:rPr>
          <w:b/>
          <w:bCs/>
        </w:rPr>
        <w:t xml:space="preserve"> </w:t>
      </w:r>
      <w:r>
        <w:rPr>
          <w:b/>
          <w:bCs/>
        </w:rPr>
        <w:t xml:space="preserve">(Carpenter et al., 2013; Carpenter &amp; Olson, 2012; Rhodes &amp; Castel, 2008, 2009; Sungkhasettee et al., 2011)</w:t>
      </w:r>
      <w:r>
        <w:rPr>
          <w:b/>
          <w:bCs/>
        </w:rPr>
        <w:t xml:space="preserve">. In the current example, we use data from Experiment 1b, in which participants completed the study online. As shown in</w:t>
      </w:r>
      <w:r>
        <w:rPr>
          <w:b/>
          <w:bCs/>
        </w:rPr>
        <w:t xml:space="preserve"> </w:t>
      </w:r>
      <w:hyperlink w:anchor="fig-jol">
        <w:r>
          <w:rPr>
            <w:rStyle w:val="Hyperlink"/>
            <w:b/>
            <w:bCs/>
          </w:rPr>
          <w:t xml:space="preserve">Figure 13</w:t>
        </w:r>
      </w:hyperlink>
      <w:r>
        <w:rPr>
          <w:b/>
          <w:bCs/>
        </w:rPr>
        <w:t xml:space="preserve">, these judgments can generate zeros and ones in the dataset.</w:t>
      </w:r>
      <w:r>
        <w:rPr>
          <w:b/>
          <w:bCs/>
        </w:rPr>
        <w:t xml:space="preserve"> </w:t>
      </w:r>
      <w:r>
        <w:rPr>
          <w:b/>
          <w:bCs/>
        </w:rPr>
        <w:t xml:space="preserve">Wilford et al. (2020)</w:t>
      </w:r>
      <w:r>
        <w:rPr>
          <w:b/>
          <w:bCs/>
        </w:rPr>
        <w:t xml:space="preserve"> </w:t>
      </w:r>
      <w:r>
        <w:rPr>
          <w:b/>
          <w:bCs/>
        </w:rPr>
        <w:t xml:space="preserve">were interested in whether disfluent videos received lower JOLs compared to fluent videos. Given the models fit previously, one could apply either a ZOIB model or an ordered beta model here. Because the authors were primarily interested in the overall effect of fluency on JOLs, we fit an ordered beta model to these data.</w:t>
      </w:r>
    </w:p>
    <w:bookmarkStart w:id="162" w:name="tbl-dataset-jol"/>
    <w:p>
      <w:pPr>
        <w:pStyle w:val="FigureTitle"/>
      </w:pPr>
      <w:r>
        <w:t xml:space="preserve">Table 9</w:t>
      </w:r>
    </w:p>
    <w:p>
      <w:pPr>
        <w:pStyle w:val="Caption"/>
      </w:pPr>
      <w:r>
        <w:t xml:space="preserve">Four observations from</w:t>
      </w:r>
      <w:r>
        <w:t xml:space="preserve"> </w:t>
      </w:r>
      <w:r>
        <w:t xml:space="preserve">Wilford et al. (2020)</w:t>
      </w:r>
      <w:r>
        <w:t xml:space="preserve"> </w:t>
      </w:r>
      <w:r>
        <w:t xml:space="preserve">(Experiment 1b). JOL refers to how likley partiicpant will be to recall information from videos.</w:t>
      </w:r>
    </w:p>
    <w:tbl>
      <w:tblPr>
        <w:tblStyle w:val="Table"/>
        <w:tblW w:type="pct" w:w="2222"/>
        <w:tblLayout w:type="fixed"/>
        <w:tblLook w:firstRow="1" w:lastRow="0" w:firstColumn="0" w:lastColumn="0" w:noHBand="0" w:noVBand="0" w:val="0020"/>
      </w:tblPr>
      <w:tblGrid>
        <w:gridCol w:w="1540"/>
        <w:gridCol w:w="1320"/>
        <w:gridCol w:w="66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JOL</w:t>
            </w:r>
          </w:p>
        </w:tc>
      </w:tr>
      <w:tr>
        <w:tc>
          <w:tcPr/>
          <w:p>
            <w:pPr>
              <w:pStyle w:val="Compact"/>
            </w:pPr>
            <w:r>
              <w:t xml:space="preserve">11</w:t>
            </w:r>
          </w:p>
        </w:tc>
        <w:tc>
          <w:tcPr/>
          <w:p>
            <w:pPr>
              <w:pStyle w:val="Compact"/>
            </w:pPr>
            <w:r>
              <w:t xml:space="preserve">Disfluent</w:t>
            </w:r>
          </w:p>
        </w:tc>
        <w:tc>
          <w:tcPr/>
          <w:p>
            <w:pPr>
              <w:pStyle w:val="Compact"/>
            </w:pPr>
            <w:r>
              <w:t xml:space="preserve">0.1</w:t>
            </w:r>
          </w:p>
        </w:tc>
      </w:tr>
      <w:tr>
        <w:tc>
          <w:tcPr/>
          <w:p>
            <w:pPr>
              <w:pStyle w:val="Compact"/>
            </w:pPr>
            <w:r>
              <w:t xml:space="preserve">59</w:t>
            </w:r>
          </w:p>
        </w:tc>
        <w:tc>
          <w:tcPr/>
          <w:p>
            <w:pPr>
              <w:pStyle w:val="Compact"/>
            </w:pPr>
            <w:r>
              <w:t xml:space="preserve">Fluent</w:t>
            </w:r>
          </w:p>
        </w:tc>
        <w:tc>
          <w:tcPr/>
          <w:p>
            <w:pPr>
              <w:pStyle w:val="Compact"/>
            </w:pPr>
            <w:r>
              <w:t xml:space="preserve">0.6</w:t>
            </w:r>
          </w:p>
        </w:tc>
      </w:tr>
      <w:tr>
        <w:tc>
          <w:tcPr/>
          <w:p>
            <w:pPr>
              <w:pStyle w:val="Compact"/>
            </w:pPr>
            <w:r>
              <w:t xml:space="preserve">14</w:t>
            </w:r>
          </w:p>
        </w:tc>
        <w:tc>
          <w:tcPr/>
          <w:p>
            <w:pPr>
              <w:pStyle w:val="Compact"/>
            </w:pPr>
            <w:r>
              <w:t xml:space="preserve">Disfluent</w:t>
            </w:r>
          </w:p>
        </w:tc>
        <w:tc>
          <w:tcPr/>
          <w:p>
            <w:pPr>
              <w:pStyle w:val="Compact"/>
            </w:pPr>
            <w:r>
              <w:t xml:space="preserve">0.1</w:t>
            </w:r>
          </w:p>
        </w:tc>
      </w:tr>
      <w:tr>
        <w:tc>
          <w:tcPr/>
          <w:p>
            <w:pPr>
              <w:pStyle w:val="Compact"/>
            </w:pPr>
            <w:r>
              <w:t xml:space="preserve">122</w:t>
            </w:r>
          </w:p>
        </w:tc>
        <w:tc>
          <w:tcPr/>
          <w:p>
            <w:pPr>
              <w:pStyle w:val="Compact"/>
            </w:pPr>
            <w:r>
              <w:t xml:space="preserve">Disfluent</w:t>
            </w:r>
          </w:p>
        </w:tc>
        <w:tc>
          <w:tcPr/>
          <w:p>
            <w:pPr>
              <w:pStyle w:val="Compact"/>
            </w:pPr>
            <w:r>
              <w:t xml:space="preserve">0.2</w:t>
            </w:r>
          </w:p>
        </w:tc>
      </w:tr>
    </w:tbl>
    <w:bookmarkEnd w:id="162"/>
    <w:bookmarkStart w:id="166" w:name="fig-jol"/>
    <w:p>
      <w:pPr>
        <w:pStyle w:val="FigureTitle"/>
      </w:pPr>
      <w:r>
        <w:t xml:space="preserve">Figure 13</w:t>
      </w:r>
    </w:p>
    <w:p>
      <w:pPr>
        <w:pStyle w:val="Caption"/>
      </w:pPr>
      <w:r>
        <w:t xml:space="preserve">Dot plot depicting JOL distributions for the Fluent and Disfluent conditions. Each condition shows individual data points and mean (diamond))</w:t>
      </w:r>
    </w:p>
    <w:p>
      <w:pPr>
        <w:pStyle w:val="FigureWithoutNote"/>
      </w:pPr>
      <w:r>
        <w:drawing>
          <wp:inline>
            <wp:extent cx="5504749" cy="4403799"/>
            <wp:effectExtent b="0" l="0" r="0" t="0"/>
            <wp:docPr descr="" title="" id="164" name="Picture"/>
            <a:graphic>
              <a:graphicData uri="http://schemas.openxmlformats.org/drawingml/2006/picture">
                <pic:pic>
                  <pic:nvPicPr>
                    <pic:cNvPr descr="ms_files/figure-docx/fig-jol-1.png" id="165" name="Picture"/>
                    <pic:cNvPicPr>
                      <a:picLocks noChangeArrowheads="1" noChangeAspect="1"/>
                    </pic:cNvPicPr>
                  </pic:nvPicPr>
                  <pic:blipFill>
                    <a:blip r:embed="rId163"/>
                    <a:stretch>
                      <a:fillRect/>
                    </a:stretch>
                  </pic:blipFill>
                  <pic:spPr bwMode="auto">
                    <a:xfrm>
                      <a:off x="0" y="0"/>
                      <a:ext cx="5504749" cy="4403799"/>
                    </a:xfrm>
                    <a:prstGeom prst="rect">
                      <a:avLst/>
                    </a:prstGeom>
                    <a:noFill/>
                    <a:ln w="9525">
                      <a:noFill/>
                      <a:headEnd/>
                      <a:tailEnd/>
                    </a:ln>
                  </pic:spPr>
                </pic:pic>
              </a:graphicData>
            </a:graphic>
          </wp:inline>
        </w:drawing>
      </w:r>
    </w:p>
    <w:bookmarkEnd w:id="166"/>
    <w:bookmarkStart w:id="170" w:name="ordered-beta-regression-1"/>
    <w:p>
      <w:pPr>
        <w:pStyle w:val="Heading3"/>
      </w:pPr>
      <w:r>
        <w:rPr>
          <w:b/>
          <w:bCs/>
        </w:rPr>
        <w:t xml:space="preserve">Ordered Beta Regression</w:t>
      </w:r>
    </w:p>
    <w:p>
      <w:pPr>
        <w:pStyle w:val="FirstParagraph"/>
      </w:pPr>
      <w:hyperlink w:anchor="lst-ordbetadispjol">
        <w:r>
          <w:rPr>
            <w:rStyle w:val="Hyperlink"/>
          </w:rPr>
          <w:t xml:space="preserve">Listing 23</w:t>
        </w:r>
      </w:hyperlink>
      <w:r>
        <w:t xml:space="preserve"> </w:t>
      </w:r>
      <w:r>
        <w:rPr>
          <w:b/>
          <w:bCs/>
        </w:rPr>
        <w:t xml:space="preserve">shows the code for fitting an ordered beta regression model for JOLs as a fluency on</w:t>
      </w:r>
      <w:r>
        <w:t xml:space="preserve"> </w:t>
      </w:r>
      <m:oMath>
        <m:r>
          <m:t>μ</m:t>
        </m:r>
      </m:oMath>
      <w:r>
        <w:t xml:space="preserve"> </w:t>
      </w:r>
      <w:r>
        <w:rPr>
          <w:b/>
          <w:bCs/>
        </w:rPr>
        <w:t xml:space="preserve">and</w:t>
      </w:r>
      <w:r>
        <w:t xml:space="preserve"> </w:t>
      </w:r>
      <m:oMath>
        <m:r>
          <m:t>ϕ</m:t>
        </m:r>
      </m:oMath>
      <w:r>
        <w:rPr>
          <w:b/>
          <w:bCs/>
        </w:rPr>
        <w:t xml:space="preserve">. Using {marginaleffects}</w:t>
      </w:r>
      <w:r>
        <w:rPr>
          <w:b/>
          <w:bCs/>
        </w:rPr>
        <w:t xml:space="preserve"> </w:t>
      </w:r>
      <w:hyperlink w:anchor="lst-ordbetamargjol">
        <w:r>
          <w:rPr>
            <w:rStyle w:val="Hyperlink"/>
            <w:b/>
            <w:bCs/>
          </w:rPr>
          <w:t xml:space="preserve">Listing 24</w:t>
        </w:r>
      </w:hyperlink>
      <w:r>
        <w:rPr>
          <w:b/>
          <w:bCs/>
        </w:rPr>
        <w:t xml:space="preserve"> </w:t>
      </w:r>
      <w:r>
        <w:rPr>
          <w:b/>
          <w:bCs/>
        </w:rPr>
        <w:t xml:space="preserve">we see the difference between the conditions is 12% and the probability of direction is high (pd = 1) suggesting the difference is positive and above zero</w:t>
      </w:r>
      <w:r>
        <w:rPr>
          <w:b/>
          <w:bCs/>
        </w:rPr>
        <w:t xml:space="preserve"> </w:t>
      </w:r>
      <w:hyperlink w:anchor="tbl-jol">
        <w:r>
          <w:rPr>
            <w:rStyle w:val="Hyperlink"/>
            <w:b/>
            <w:bCs/>
          </w:rPr>
          <w:t xml:space="preserve">Table 10</w:t>
        </w:r>
      </w:hyperlink>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167" w:name="lst-ordbetadispjol"/>
          <w:p>
            <w:pPr>
              <w:jc w:val="center"/>
            </w:pPr>
            <w:pPr>
              <w:jc w:val="start"/>
              <w:spacing w:before="200"/>
              <w:pStyle w:val="ImageCaption"/>
            </w:pPr>
            <w:r>
              <w:t xml:space="preserve">Listing 23: Fitting ordered beta model with dispersion using</w:t>
            </w:r>
            <w:r>
              <w:t xml:space="preserve"> </w:t>
            </w:r>
            <w:r>
              <w:rPr>
                <w:rStyle w:val="VerbatimChar"/>
              </w:rPr>
              <w:t xml:space="preserve">ordbetareg()</w:t>
            </w:r>
            <w:r>
              <w:t xml:space="preserve"> </w:t>
            </w:r>
            <w:r>
              <w:t xml:space="preserve">for JOLs</w:t>
            </w:r>
          </w:p>
          <w:p>
            <w:pPr>
              <w:pStyle w:val="SourceCode"/>
              <w:jc w:val="center"/>
            </w:pPr>
            <w:r>
              <w:rPr>
                <w:rStyle w:val="NormalTok"/>
              </w:rPr>
              <w:t xml:space="preserve">ord_beta_phi_jol </w:t>
            </w:r>
            <w:r>
              <w:rPr>
                <w:rStyle w:val="OtherTok"/>
              </w:rPr>
              <w:t xml:space="preserve">&lt;-</w:t>
            </w:r>
            <w:r>
              <w:rPr>
                <w:rStyle w:val="NormalTok"/>
              </w:rPr>
              <w:t xml:space="preserve"> </w:t>
            </w:r>
            <w:r>
              <w:rPr>
                <w:rStyle w:val="FunctionTok"/>
              </w:rPr>
              <w:t xml:space="preserve">bf</w:t>
            </w:r>
            <w:r>
              <w:rPr>
                <w:rStyle w:val="NormalTok"/>
              </w:rPr>
              <w:t xml:space="preserve">(JOL</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m.phi_jol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ord_beta_phi_jol,</w:t>
            </w:r>
            <w:r>
              <w:br/>
            </w:r>
            <w:r>
              <w:rPr>
                <w:rStyle w:val="NormalTok"/>
              </w:rPr>
              <w:t xml:space="preserve">  </w:t>
            </w:r>
            <w:r>
              <w:rPr>
                <w:rStyle w:val="AttributeTok"/>
              </w:rPr>
              <w:t xml:space="preserve">data =</w:t>
            </w:r>
            <w:r>
              <w:rPr>
                <w:rStyle w:val="NormalTok"/>
              </w:rPr>
              <w:t xml:space="preserve"> jol_data,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"bayes_ordbeta_phi_jol_model"</w:t>
            </w:r>
            <w:r>
              <w:rPr>
                <w:rStyle w:val="NormalTok"/>
              </w:rPr>
              <w:t xml:space="preserve">)</w:t>
            </w:r>
            <w:r>
              <w:br/>
            </w:r>
            <w:r>
              <w:rPr>
                <w:rStyle w:val="NormalTok"/>
              </w:rPr>
              <w:t xml:space="preserve">)</w:t>
            </w:r>
          </w:p>
          <w:bookmarkEnd w:id="167"/>
        </w:tc>
      </w:tr>
    </w:tbl>
    <w:tbl>
      <w:tblPr>
        <w:tblStyle w:val="Table"/>
        <w:tblW w:type="pct" w:w="5000"/>
        <w:tblLayout w:type="fixed"/>
        <w:tblLook w:firstRow="0" w:lastRow="0" w:firstColumn="0" w:lastColumn="0" w:noHBand="0" w:noVBand="0" w:val="0000"/>
      </w:tblPr>
      <w:tblGrid>
        <w:gridCol w:w="7920"/>
      </w:tblGrid>
      <w:tr>
        <w:tc>
          <w:tcPr/>
          <w:bookmarkStart w:id="168" w:name="lst-ordbetamargjol"/>
          <w:p>
            <w:pPr>
              <w:jc w:val="center"/>
            </w:pPr>
            <w:pPr>
              <w:jc w:val="start"/>
              <w:spacing w:before="200"/>
              <w:pStyle w:val="ImageCaption"/>
            </w:pPr>
            <w:r>
              <w:t xml:space="preserve">Listing 24: marginal effects for JOL difference between conditions</w:t>
            </w:r>
          </w:p>
          <w:p>
            <w:pPr>
              <w:pStyle w:val="SourceCode"/>
              <w:jc w:val="center"/>
            </w:pPr>
            <w:r>
              <w:rPr>
                <w:rStyle w:val="NormalTok"/>
              </w:rPr>
              <w:t xml:space="preserve">ord_beta_avg_jol</w:t>
            </w:r>
            <w:r>
              <w:rPr>
                <w:rStyle w:val="OtherTok"/>
              </w:rPr>
              <w:t xml:space="preserve">&lt;-</w:t>
            </w:r>
            <w:r>
              <w:rPr>
                <w:rStyle w:val="NormalTok"/>
              </w:rPr>
              <w:t xml:space="preserve"> </w:t>
            </w:r>
            <w:r>
              <w:rPr>
                <w:rStyle w:val="FunctionTok"/>
              </w:rPr>
              <w:t xml:space="preserve">avg_comparisons</w:t>
            </w:r>
            <w:r>
              <w:rPr>
                <w:rStyle w:val="NormalTok"/>
              </w:rPr>
              <w:t xml:space="preserve">(m.phi_jol,</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  )</w:t>
            </w:r>
          </w:p>
          <w:bookmarkEnd w:id="168"/>
        </w:tc>
      </w:tr>
    </w:tbl>
    <w:bookmarkStart w:id="169" w:name="tbl-jol"/>
    <w:p>
      <w:pPr>
        <w:pStyle w:val="FigureTitle"/>
      </w:pPr>
      <w:r>
        <w:t xml:space="preserve">Table 10</w:t>
      </w:r>
    </w:p>
    <w:p>
      <w:pPr>
        <w:pStyle w:val="Caption"/>
      </w:pPr>
      <w:r>
        <w:t xml:space="preserve">Marginal effect of fluency as a fucntion of JOLs for ordered beta model</w:t>
      </w:r>
    </w:p>
    <w:tbl>
      <w:tblPr>
        <w:tblStyle w:val="Table"/>
        <w:tblW w:type="pct" w:w="3681"/>
        <w:tblLayout w:type="fixed"/>
        <w:tblLook w:firstRow="1" w:lastRow="0" w:firstColumn="0" w:lastColumn="0" w:noHBand="0" w:noVBand="0" w:val="0020"/>
      </w:tblPr>
      <w:tblGrid>
        <w:gridCol w:w="2310"/>
        <w:gridCol w:w="77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0.12</w:t>
            </w:r>
          </w:p>
        </w:tc>
        <w:tc>
          <w:tcPr/>
          <w:p>
            <w:pPr>
              <w:pStyle w:val="Compact"/>
            </w:pPr>
            <w:r>
              <w:t xml:space="preserve">[0.035, 0.203]</w:t>
            </w:r>
          </w:p>
        </w:tc>
        <w:tc>
          <w:tcPr/>
          <w:p>
            <w:pPr>
              <w:pStyle w:val="Compact"/>
            </w:pPr>
            <w:r>
              <w:t xml:space="preserve">0.998</w:t>
            </w:r>
          </w:p>
        </w:tc>
      </w:tr>
    </w:tbl>
    <w:bookmarkEnd w:id="169"/>
    <w:bookmarkEnd w:id="170"/>
    <w:bookmarkStart w:id="175" w:name="posterior-check"/>
    <w:p>
      <w:pPr>
        <w:pStyle w:val="Heading3"/>
      </w:pPr>
      <w:r>
        <w:rPr>
          <w:b/>
          <w:bCs/>
        </w:rPr>
        <w:t xml:space="preserve">Posterior Check</w:t>
      </w:r>
    </w:p>
    <w:p>
      <w:pPr>
        <w:pStyle w:val="FirstParagraph"/>
      </w:pPr>
      <w:hyperlink w:anchor="fig-ppcheckjol">
        <w:r>
          <w:rPr>
            <w:rStyle w:val="Hyperlink"/>
          </w:rPr>
          <w:t xml:space="preserve">Figure 14</w:t>
        </w:r>
      </w:hyperlink>
      <w:r>
        <w:t xml:space="preserve"> </w:t>
      </w:r>
      <w:r>
        <w:rPr>
          <w:b/>
          <w:bCs/>
        </w:rPr>
        <w:t xml:space="preserve">highlights our posterior check and the ordered beta model does a good job at describing our data.</w:t>
      </w:r>
    </w:p>
    <w:bookmarkStart w:id="174" w:name="fig-ppcheckjol"/>
    <w:p>
      <w:pPr>
        <w:pStyle w:val="FigureTitle"/>
      </w:pPr>
      <w:r>
        <w:t xml:space="preserve">Figure 14</w:t>
      </w:r>
    </w:p>
    <w:p>
      <w:pPr>
        <w:pStyle w:val="Caption"/>
      </w:pPr>
      <w:r>
        <w:t xml:space="preserve">Posterior check for JOL ordered beta model</w:t>
      </w:r>
    </w:p>
    <w:p>
      <w:pPr>
        <w:pStyle w:val="FigureWithoutNote"/>
      </w:pPr>
      <w:r>
        <w:drawing>
          <wp:inline>
            <wp:extent cx="5943600" cy="4754880"/>
            <wp:effectExtent b="0" l="0" r="0" t="0"/>
            <wp:docPr descr="" title="" id="172" name="Picture"/>
            <a:graphic>
              <a:graphicData uri="http://schemas.openxmlformats.org/drawingml/2006/picture">
                <pic:pic>
                  <pic:nvPicPr>
                    <pic:cNvPr descr="ms_files/figure-docx/fig-ppcheckjol-1.png" id="173" name="Picture"/>
                    <pic:cNvPicPr>
                      <a:picLocks noChangeArrowheads="1" noChangeAspect="1"/>
                    </pic:cNvPicPr>
                  </pic:nvPicPr>
                  <pic:blipFill>
                    <a:blip r:embed="rId171"/>
                    <a:stretch>
                      <a:fillRect/>
                    </a:stretch>
                  </pic:blipFill>
                  <pic:spPr bwMode="auto">
                    <a:xfrm>
                      <a:off x="0" y="0"/>
                      <a:ext cx="5943600" cy="4754880"/>
                    </a:xfrm>
                    <a:prstGeom prst="rect">
                      <a:avLst/>
                    </a:prstGeom>
                    <a:noFill/>
                    <a:ln w="9525">
                      <a:noFill/>
                      <a:headEnd/>
                      <a:tailEnd/>
                    </a:ln>
                  </pic:spPr>
                </pic:pic>
              </a:graphicData>
            </a:graphic>
          </wp:inline>
        </w:drawing>
      </w:r>
    </w:p>
    <w:bookmarkEnd w:id="174"/>
    <w:bookmarkEnd w:id="175"/>
    <w:bookmarkEnd w:id="176"/>
    <w:bookmarkEnd w:id="177"/>
    <w:bookmarkStart w:id="17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a Bayesian framework using the {brms} package. In the current tutorial, we used real data from</w:t>
      </w:r>
      <w:r>
        <w:t xml:space="preserve"> </w:t>
      </w:r>
      <w:r>
        <w:t xml:space="preserve">Wilford et al. (2020)</w:t>
      </w:r>
      <w:r>
        <w:t xml:space="preserve"> </w:t>
      </w:r>
      <w:r>
        <w:t xml:space="preserve">(Experiments 1a and 1b) and discussed how to fit these models in R, interpret model parameters, extract predicted probabilities and marginal effects, and visualize the results using the {marginaleffects} package. Specifically, we used data that is commonly used in psychology–accuracy and JOLs.</w:t>
      </w:r>
    </w:p>
    <w:p>
      <w:pPr>
        <w:pStyle w:val="BodyText"/>
      </w:pPr>
      <w:r>
        <w:t xml:space="preserve">Comparing our analysis with that of</w:t>
      </w:r>
      <w:r>
        <w:t xml:space="preserve"> </w:t>
      </w:r>
      <w:r>
        <w:t xml:space="preserve">Wilford et al. (2020)</w:t>
      </w:r>
      <w:r>
        <w:t xml:space="preserve">, we demonstrated that using a traditional approach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Following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rPr>
          <w:b/>
          <w:bCs/>
        </w:rPr>
        <w:t xml:space="preserve">In addition, with the fitting of Bayesian models we were able to move beyond the simple dichotomous thinking involved in frequentist statistics (yes there is an effect or no there is not an effect). With the inclusion of pd, ROPE, and when appropriate Bayes Factors, we discovered that while there may be an effect of fluency, the evidence is inconclusive. There is uncertainty both as to whether the effect exists and, if it does, whether the difference is meaningful enough compared to the the original study it is based on exceed our ROPE boundary of +-4%.</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2017a)</w:t>
      </w:r>
      <w:r>
        <w:t xml:space="preserve"> </w:t>
      </w:r>
      <w:r>
        <w:t xml:space="preserve">and {gamlss}</w:t>
      </w:r>
      <w:r>
        <w:t xml:space="preserve"> </w:t>
      </w:r>
      <w:r>
        <w:t xml:space="preserve">(2005)</w:t>
      </w:r>
      <w:r>
        <w:t xml:space="preserve"> </w:t>
      </w:r>
      <w:r>
        <w:t xml:space="preserve">are nice options. To this end,</w:t>
      </w:r>
      <w:r>
        <w:t xml:space="preserve"> </w:t>
      </w:r>
      <w:r>
        <w:rPr>
          <w:b/>
          <w:bCs/>
        </w:rPr>
        <w:t xml:space="preserve">we</w:t>
      </w:r>
      <w:r>
        <w:t xml:space="preserve"> </w:t>
      </w:r>
      <w:r>
        <w:t xml:space="preserve">have included supplemental materials demonstrating how to use frequentist packages to analyze the data presented herein.</w:t>
      </w:r>
    </w:p>
    <w:bookmarkStart w:id="17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p>
      <w:r>
        <w:br w:type="page"/>
      </w:r>
    </w:p>
    <w:bookmarkEnd w:id="178"/>
    <w:bookmarkEnd w:id="179"/>
    <w:bookmarkStart w:id="313" w:name="references"/>
    <w:p>
      <w:pPr>
        <w:pStyle w:val="Heading1"/>
      </w:pPr>
      <w:r>
        <w:t xml:space="preserve">References</w:t>
      </w:r>
    </w:p>
    <w:bookmarkStart w:id="312" w:name="refs"/>
    <w:bookmarkStart w:id="18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80">
        <w:r>
          <w:rPr>
            <w:rStyle w:val="Hyperlink"/>
          </w:rPr>
          <w:t xml:space="preserve">https://CRAN.R-project.org/package=marginaleffects</w:t>
        </w:r>
      </w:hyperlink>
    </w:p>
    <w:bookmarkEnd w:id="181"/>
    <w:bookmarkStart w:id="18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82">
        <w:r>
          <w:rPr>
            <w:rStyle w:val="Hyperlink"/>
          </w:rPr>
          <w:t xml:space="preserve">https://doi.org/10.18637/jss.v111.i09</w:t>
        </w:r>
      </w:hyperlink>
    </w:p>
    <w:bookmarkEnd w:id="183"/>
    <w:bookmarkStart w:id="18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84">
        <w:r>
          <w:rPr>
            <w:rStyle w:val="Hyperlink"/>
          </w:rPr>
          <w:t xml:space="preserve">https://doi.org/10.2307/2983678</w:t>
        </w:r>
      </w:hyperlink>
    </w:p>
    <w:bookmarkEnd w:id="185"/>
    <w:bookmarkStart w:id="18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86">
        <w:r>
          <w:rPr>
            <w:rStyle w:val="Hyperlink"/>
          </w:rPr>
          <w:t xml:space="preserve">https://doi.org/10.1037/met0000553</w:t>
        </w:r>
      </w:hyperlink>
    </w:p>
    <w:bookmarkEnd w:id="187"/>
    <w:bookmarkStart w:id="189" w:name="ref-glmmTMB"/>
    <w:p>
      <w:pPr>
        <w:pStyle w:val="Bibliography"/>
      </w:pPr>
      <w:r>
        <w:t xml:space="preserve">Brooks, M. E., Kristensen, K., van, K. J., Magnusson, A., Berg, C. W., Nielsen, A., Skaug, H. J., Maechler, M., &amp; Bolker, B. M. (2017a).</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88">
        <w:r>
          <w:rPr>
            <w:rStyle w:val="Hyperlink"/>
          </w:rPr>
          <w:t xml:space="preserve">https://doi.org/10.32614/RJ-2017-066</w:t>
        </w:r>
      </w:hyperlink>
    </w:p>
    <w:bookmarkEnd w:id="189"/>
    <w:bookmarkStart w:id="190" w:name="ref-glmmTMB-4"/>
    <w:p>
      <w:pPr>
        <w:pStyle w:val="Bibliography"/>
      </w:pPr>
      <w:r>
        <w:t xml:space="preserve">Brooks, M. E., Kristensen, K., van, K. J., Magnusson, A., Berg, C. W., Nielsen, A., Skaug, H. J., Maechler, M., &amp; Bolker, B. M. (2017b).</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88">
        <w:r>
          <w:rPr>
            <w:rStyle w:val="Hyperlink"/>
          </w:rPr>
          <w:t xml:space="preserve">https://doi.org/10.32614/RJ-2017-066</w:t>
        </w:r>
      </w:hyperlink>
    </w:p>
    <w:bookmarkEnd w:id="190"/>
    <w:bookmarkStart w:id="192"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91">
        <w:r>
          <w:rPr>
            <w:rStyle w:val="Hyperlink"/>
          </w:rPr>
          <w:t xml:space="preserve">https://doi.org/10.18637/jss.v080.i01</w:t>
        </w:r>
      </w:hyperlink>
    </w:p>
    <w:bookmarkEnd w:id="192"/>
    <w:bookmarkStart w:id="194"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93">
        <w:r>
          <w:rPr>
            <w:rStyle w:val="Hyperlink"/>
          </w:rPr>
          <w:t xml:space="preserve">https://mc-stan.org/posterior/</w:t>
        </w:r>
      </w:hyperlink>
    </w:p>
    <w:bookmarkEnd w:id="194"/>
    <w:bookmarkStart w:id="196"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95">
        <w:r>
          <w:rPr>
            <w:rStyle w:val="Hyperlink"/>
          </w:rPr>
          <w:t xml:space="preserve">https://doi.org/10.1177/2515245918823199</w:t>
        </w:r>
      </w:hyperlink>
    </w:p>
    <w:bookmarkEnd w:id="196"/>
    <w:bookmarkStart w:id="198" w:name="ref-carpenter2012"/>
    <w:p>
      <w:pPr>
        <w:pStyle w:val="Bibliography"/>
      </w:pPr>
      <w:r>
        <w:t xml:space="preserve">Carpenter, S. K., &amp; Olson, K. M. (2012). Are pictures good for learning new vocabulary in a foreign language? Only if you think they are not.</w:t>
      </w:r>
      <w:r>
        <w:t xml:space="preserve"> </w:t>
      </w:r>
      <w:r>
        <w:rPr>
          <w:i/>
          <w:iCs/>
        </w:rPr>
        <w:t xml:space="preserve">Journal of Experimental Psychology: Learning Memory and Cognition</w:t>
      </w:r>
      <w:r>
        <w:t xml:space="preserve">,</w:t>
      </w:r>
      <w:r>
        <w:t xml:space="preserve"> </w:t>
      </w:r>
      <w:r>
        <w:rPr>
          <w:i/>
          <w:iCs/>
        </w:rPr>
        <w:t xml:space="preserve">38</w:t>
      </w:r>
      <w:r>
        <w:t xml:space="preserve">(1), 92101.</w:t>
      </w:r>
      <w:r>
        <w:t xml:space="preserve"> </w:t>
      </w:r>
      <w:hyperlink r:id="rId197">
        <w:r>
          <w:rPr>
            <w:rStyle w:val="Hyperlink"/>
          </w:rPr>
          <w:t xml:space="preserve">https://doi.org/10.1037/a0024828</w:t>
        </w:r>
      </w:hyperlink>
    </w:p>
    <w:bookmarkEnd w:id="198"/>
    <w:bookmarkStart w:id="200"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99">
        <w:r>
          <w:rPr>
            <w:rStyle w:val="Hyperlink"/>
          </w:rPr>
          <w:t xml:space="preserve">https://doi.org/10.3758/s13423-013-0442-z</w:t>
        </w:r>
      </w:hyperlink>
    </w:p>
    <w:bookmarkEnd w:id="200"/>
    <w:bookmarkStart w:id="201"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201"/>
    <w:bookmarkStart w:id="203"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202">
        <w:r>
          <w:rPr>
            <w:rStyle w:val="Hyperlink"/>
          </w:rPr>
          <w:t xml:space="preserve">https://doi.org/10.31219/osf.io/f9rqg_v1</w:t>
        </w:r>
      </w:hyperlink>
      <w:r>
        <w:t xml:space="preserve">.</w:t>
      </w:r>
    </w:p>
    <w:bookmarkEnd w:id="203"/>
    <w:bookmarkStart w:id="205"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204">
        <w:r>
          <w:rPr>
            <w:rStyle w:val="Hyperlink"/>
          </w:rPr>
          <w:t xml:space="preserve">https://doi.org/10.1126/science.adq1814</w:t>
        </w:r>
      </w:hyperlink>
    </w:p>
    <w:bookmarkEnd w:id="205"/>
    <w:bookmarkStart w:id="207"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206">
        <w:r>
          <w:rPr>
            <w:rStyle w:val="Hyperlink"/>
          </w:rPr>
          <w:t xml:space="preserve">https://doi.org/10.18637/jss.v034.i02</w:t>
        </w:r>
      </w:hyperlink>
    </w:p>
    <w:bookmarkEnd w:id="207"/>
    <w:bookmarkStart w:id="209"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208">
        <w:r>
          <w:rPr>
            <w:rStyle w:val="Hyperlink"/>
          </w:rPr>
          <w:t xml:space="preserve">https://nixos.org/</w:t>
        </w:r>
      </w:hyperlink>
    </w:p>
    <w:bookmarkEnd w:id="209"/>
    <w:bookmarkStart w:id="211"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210">
        <w:r>
          <w:rPr>
            <w:rStyle w:val="Hyperlink"/>
          </w:rPr>
          <w:t xml:space="preserve">https://doi.org/10.1080/0266476042000214501</w:t>
        </w:r>
      </w:hyperlink>
    </w:p>
    <w:bookmarkEnd w:id="211"/>
    <w:bookmarkStart w:id="213"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212">
        <w:r>
          <w:rPr>
            <w:rStyle w:val="Hyperlink"/>
          </w:rPr>
          <w:t xml:space="preserve">https://doi.org/10.1007/s11121-021-01302-y</w:t>
        </w:r>
      </w:hyperlink>
    </w:p>
    <w:bookmarkEnd w:id="213"/>
    <w:bookmarkStart w:id="215"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214">
        <w:r>
          <w:rPr>
            <w:rStyle w:val="Hyperlink"/>
          </w:rPr>
          <w:t xml:space="preserve">https://mc-stan.org/cmdstanr/</w:t>
        </w:r>
      </w:hyperlink>
    </w:p>
    <w:bookmarkEnd w:id="215"/>
    <w:bookmarkStart w:id="217"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216">
        <w:r>
          <w:rPr>
            <w:rStyle w:val="Hyperlink"/>
          </w:rPr>
          <w:t xml:space="preserve">https://stat.columbia.edu/~gelman/book/</w:t>
        </w:r>
      </w:hyperlink>
    </w:p>
    <w:bookmarkEnd w:id="217"/>
    <w:bookmarkStart w:id="219"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218">
        <w:r>
          <w:rPr>
            <w:rStyle w:val="Hyperlink"/>
          </w:rPr>
          <w:t xml:space="preserve">http://dx.doi.org/10.59350/7p1a4-0tw75</w:t>
        </w:r>
      </w:hyperlink>
    </w:p>
    <w:bookmarkEnd w:id="219"/>
    <w:bookmarkStart w:id="221"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220">
        <w:r>
          <w:rPr>
            <w:rStyle w:val="Hyperlink"/>
          </w:rPr>
          <w:t xml:space="preserve">https://doi.org/10.1525/collabra.140755</w:t>
        </w:r>
      </w:hyperlink>
    </w:p>
    <w:bookmarkEnd w:id="221"/>
    <w:bookmarkStart w:id="222" w:name="ref-jeffries1961"/>
    <w:p>
      <w:pPr>
        <w:pStyle w:val="Bibliography"/>
      </w:pPr>
      <w:r>
        <w:t xml:space="preserve">Jeffries, H. (1961).</w:t>
      </w:r>
      <w:r>
        <w:t xml:space="preserve"> </w:t>
      </w:r>
      <w:r>
        <w:rPr>
          <w:i/>
          <w:iCs/>
        </w:rPr>
        <w:t xml:space="preserve">Theory of probability</w:t>
      </w:r>
      <w:r>
        <w:t xml:space="preserve">. Clarendon Press, Oxford.</w:t>
      </w:r>
    </w:p>
    <w:bookmarkEnd w:id="222"/>
    <w:bookmarkStart w:id="223"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223"/>
    <w:bookmarkStart w:id="225" w:name="ref-kass1995"/>
    <w:p>
      <w:pPr>
        <w:pStyle w:val="Bibliography"/>
      </w:pPr>
      <w:r>
        <w:t xml:space="preserve">Kass, R. E., &amp; Raftery, A. E. (1995). Bayes factors.</w:t>
      </w:r>
      <w:r>
        <w:t xml:space="preserve"> </w:t>
      </w:r>
      <w:r>
        <w:rPr>
          <w:i/>
          <w:iCs/>
        </w:rPr>
        <w:t xml:space="preserve">Journal of the American Statistical Association</w:t>
      </w:r>
      <w:r>
        <w:t xml:space="preserve">,</w:t>
      </w:r>
      <w:r>
        <w:t xml:space="preserve"> </w:t>
      </w:r>
      <w:r>
        <w:rPr>
          <w:i/>
          <w:iCs/>
        </w:rPr>
        <w:t xml:space="preserve">90</w:t>
      </w:r>
      <w:r>
        <w:t xml:space="preserve">(430), 773–795.</w:t>
      </w:r>
      <w:r>
        <w:t xml:space="preserve"> </w:t>
      </w:r>
      <w:hyperlink r:id="rId224">
        <w:r>
          <w:rPr>
            <w:rStyle w:val="Hyperlink"/>
          </w:rPr>
          <w:t xml:space="preserve">https://doi.org/10.1080/01621459.1995.10476572</w:t>
        </w:r>
      </w:hyperlink>
    </w:p>
    <w:bookmarkEnd w:id="225"/>
    <w:bookmarkStart w:id="227"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26">
        <w:r>
          <w:rPr>
            <w:rStyle w:val="Hyperlink"/>
          </w:rPr>
          <w:t xml:space="preserve">https://doi.org/10.1016/j.ecosta.2021.07.006</w:t>
        </w:r>
      </w:hyperlink>
    </w:p>
    <w:bookmarkEnd w:id="227"/>
    <w:bookmarkStart w:id="229"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28">
        <w:r>
          <w:rPr>
            <w:rStyle w:val="Hyperlink"/>
          </w:rPr>
          <w:t xml:space="preserve">https://doi.org/10.1016/j.wocn.2016.08.006</w:t>
        </w:r>
      </w:hyperlink>
    </w:p>
    <w:bookmarkEnd w:id="229"/>
    <w:bookmarkStart w:id="231"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30">
        <w:r>
          <w:rPr>
            <w:rStyle w:val="Hyperlink"/>
          </w:rPr>
          <w:t xml:space="preserve">https://doi.org/10.1111/j.1467-9280.2008.02127.x</w:t>
        </w:r>
      </w:hyperlink>
    </w:p>
    <w:bookmarkEnd w:id="231"/>
    <w:bookmarkStart w:id="233"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32">
        <w:r>
          <w:rPr>
            <w:rStyle w:val="Hyperlink"/>
          </w:rPr>
          <w:t xml:space="preserve">https://doi.org/10.1093/jrsssc/qlaf039</w:t>
        </w:r>
      </w:hyperlink>
    </w:p>
    <w:bookmarkEnd w:id="233"/>
    <w:bookmarkStart w:id="235"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34">
        <w:r>
          <w:rPr>
            <w:rStyle w:val="Hyperlink"/>
          </w:rPr>
          <w:t xml:space="preserve">https://doi.org/10.1037/a0029146</w:t>
        </w:r>
      </w:hyperlink>
    </w:p>
    <w:bookmarkEnd w:id="235"/>
    <w:bookmarkStart w:id="236"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36"/>
    <w:bookmarkStart w:id="238"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37">
        <w:r>
          <w:rPr>
            <w:rStyle w:val="Hyperlink"/>
          </w:rPr>
          <w:t xml:space="preserve">https://doi.org/10.1177/2515245918771304</w:t>
        </w:r>
      </w:hyperlink>
    </w:p>
    <w:bookmarkEnd w:id="238"/>
    <w:bookmarkStart w:id="240"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39">
        <w:r>
          <w:rPr>
            <w:rStyle w:val="Hyperlink"/>
          </w:rPr>
          <w:t xml:space="preserve">https://doi.org/10.1017/pan.2022.20</w:t>
        </w:r>
      </w:hyperlink>
    </w:p>
    <w:bookmarkEnd w:id="240"/>
    <w:bookmarkStart w:id="242"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41">
        <w:r>
          <w:rPr>
            <w:rStyle w:val="Hyperlink"/>
          </w:rPr>
          <w:t xml:space="preserve">https://CRAN.R-project.org/package=ordbetareg</w:t>
        </w:r>
      </w:hyperlink>
    </w:p>
    <w:bookmarkEnd w:id="242"/>
    <w:bookmarkStart w:id="244"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43">
        <w:r>
          <w:rPr>
            <w:rStyle w:val="Hyperlink"/>
          </w:rPr>
          <w:t xml:space="preserve">https://doi.org/10.32614/CRAN.package.emmeans</w:t>
        </w:r>
      </w:hyperlink>
    </w:p>
    <w:bookmarkEnd w:id="244"/>
    <w:bookmarkStart w:id="246"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45">
        <w:r>
          <w:rPr>
            <w:rStyle w:val="Hyperlink"/>
          </w:rPr>
          <w:t xml:space="preserve">https://doi.org/10.32614/rj-2015-019</w:t>
        </w:r>
      </w:hyperlink>
    </w:p>
    <w:bookmarkEnd w:id="246"/>
    <w:bookmarkStart w:id="248"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47">
        <w:r>
          <w:rPr>
            <w:rStyle w:val="Hyperlink"/>
          </w:rPr>
          <w:t xml:space="preserve">https://easystats.github.io/easystats/</w:t>
        </w:r>
      </w:hyperlink>
    </w:p>
    <w:bookmarkEnd w:id="248"/>
    <w:bookmarkStart w:id="250"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49">
        <w:r>
          <w:rPr>
            <w:rStyle w:val="Hyperlink"/>
          </w:rPr>
          <w:t xml:space="preserve">https://doi.org/10.3389/fpsyg.2019.02767</w:t>
        </w:r>
      </w:hyperlink>
    </w:p>
    <w:bookmarkEnd w:id="250"/>
    <w:bookmarkStart w:id="252"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51">
        <w:r>
          <w:rPr>
            <w:rStyle w:val="Hyperlink"/>
          </w:rPr>
          <w:t xml:space="preserve">https://doi.org/10.21105/joss.01541</w:t>
        </w:r>
      </w:hyperlink>
    </w:p>
    <w:bookmarkEnd w:id="252"/>
    <w:bookmarkStart w:id="254"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53">
        <w:r>
          <w:rPr>
            <w:rStyle w:val="Hyperlink"/>
          </w:rPr>
          <w:t xml:space="preserve">https://doi.org/10.31234/osf.io/z68v3_v1</w:t>
        </w:r>
      </w:hyperlink>
    </w:p>
    <w:bookmarkEnd w:id="254"/>
    <w:bookmarkStart w:id="256"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55">
        <w:r>
          <w:rPr>
            <w:rStyle w:val="Hyperlink"/>
          </w:rPr>
          <w:t xml:space="preserve">https://doi.org/10.1177/0013164416669201</w:t>
        </w:r>
      </w:hyperlink>
    </w:p>
    <w:bookmarkEnd w:id="256"/>
    <w:bookmarkStart w:id="258"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57">
        <w:r>
          <w:rPr>
            <w:rStyle w:val="Hyperlink"/>
          </w:rPr>
          <w:t xml:space="preserve">https://doi.org/10.1098/rsos.231713</w:t>
        </w:r>
      </w:hyperlink>
    </w:p>
    <w:bookmarkEnd w:id="258"/>
    <w:bookmarkStart w:id="260"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59">
        <w:r>
          <w:rPr>
            <w:rStyle w:val="Hyperlink"/>
          </w:rPr>
          <w:t xml:space="preserve">https://doi.org/10.1080/00273171.2020.1868966</w:t>
        </w:r>
      </w:hyperlink>
    </w:p>
    <w:bookmarkEnd w:id="260"/>
    <w:bookmarkStart w:id="262"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61">
        <w:r>
          <w:rPr>
            <w:rStyle w:val="Hyperlink"/>
          </w:rPr>
          <w:t xml:space="preserve">https://doi.org/10.1201/9780429029608</w:t>
        </w:r>
      </w:hyperlink>
    </w:p>
    <w:bookmarkEnd w:id="262"/>
    <w:bookmarkStart w:id="264"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63">
        <w:r>
          <w:rPr>
            <w:rStyle w:val="Hyperlink"/>
          </w:rPr>
          <w:t xml:space="preserve">https://doi.org/10.2307/2344614</w:t>
        </w:r>
      </w:hyperlink>
    </w:p>
    <w:bookmarkEnd w:id="264"/>
    <w:bookmarkStart w:id="266" w:name="ref-Nicenboim2025"/>
    <w:p>
      <w:pPr>
        <w:pStyle w:val="Bibliography"/>
      </w:pPr>
      <w:r>
        <w:t xml:space="preserve">Nicenboim, B., Schad, D. J., &amp; Vasishth, S. (2025).</w:t>
      </w:r>
      <w:r>
        <w:t xml:space="preserve"> </w:t>
      </w:r>
      <w:r>
        <w:rPr>
          <w:i/>
          <w:iCs/>
        </w:rPr>
        <w:t xml:space="preserve">Introduction to bayesian data analysis for cognitive science</w:t>
      </w:r>
      <w:r>
        <w:t xml:space="preserve">. Chapman; Hall/CRC.</w:t>
      </w:r>
      <w:r>
        <w:t xml:space="preserve"> </w:t>
      </w:r>
      <w:hyperlink r:id="rId265">
        <w:r>
          <w:rPr>
            <w:rStyle w:val="Hyperlink"/>
          </w:rPr>
          <w:t xml:space="preserve">https://doi.org/10.1201/9780429342646</w:t>
        </w:r>
      </w:hyperlink>
    </w:p>
    <w:bookmarkEnd w:id="266"/>
    <w:bookmarkStart w:id="268"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67">
        <w:r>
          <w:rPr>
            <w:rStyle w:val="Hyperlink"/>
          </w:rPr>
          <w:t xml:space="preserve">https://www.sciencedirect.com/science/article/pii/S0048969723041505</w:t>
        </w:r>
      </w:hyperlink>
    </w:p>
    <w:bookmarkEnd w:id="268"/>
    <w:bookmarkStart w:id="270"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69">
        <w:r>
          <w:rPr>
            <w:rStyle w:val="Hyperlink"/>
          </w:rPr>
          <w:t xml:space="preserve">https://doi.org/10.1093/oxfordjournals.pan.a004873</w:t>
        </w:r>
      </w:hyperlink>
    </w:p>
    <w:bookmarkEnd w:id="270"/>
    <w:bookmarkStart w:id="272"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71">
        <w:r>
          <w:rPr>
            <w:rStyle w:val="Hyperlink"/>
          </w:rPr>
          <w:t xml:space="preserve">https://doi.org/10.31234/osf.io/ck3js_v1</w:t>
        </w:r>
      </w:hyperlink>
    </w:p>
    <w:bookmarkEnd w:id="272"/>
    <w:bookmarkStart w:id="274"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73">
        <w:r>
          <w:rPr>
            <w:rStyle w:val="Hyperlink"/>
          </w:rPr>
          <w:t xml:space="preserve">https://www.R-project.org/</w:t>
        </w:r>
      </w:hyperlink>
    </w:p>
    <w:bookmarkEnd w:id="274"/>
    <w:bookmarkStart w:id="275"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75"/>
    <w:bookmarkStart w:id="277" w:name="ref-Rhodes2008"/>
    <w:p>
      <w:pPr>
        <w:pStyle w:val="Bibliography"/>
      </w:pPr>
      <w:r>
        <w:t xml:space="preserve">Rhodes, M. G., &amp; Castel, A. D. (2008). Memory predictions are influenced by perceptual information: Evidence for metacognitive illusions.</w:t>
      </w:r>
      <w:r>
        <w:t xml:space="preserve"> </w:t>
      </w:r>
      <w:r>
        <w:rPr>
          <w:i/>
          <w:iCs/>
        </w:rPr>
        <w:t xml:space="preserve">Journal of Experimental Psychology: General</w:t>
      </w:r>
      <w:r>
        <w:t xml:space="preserve">,</w:t>
      </w:r>
      <w:r>
        <w:t xml:space="preserve"> </w:t>
      </w:r>
      <w:r>
        <w:rPr>
          <w:i/>
          <w:iCs/>
        </w:rPr>
        <w:t xml:space="preserve">137</w:t>
      </w:r>
      <w:r>
        <w:t xml:space="preserve">(4), 615–625.</w:t>
      </w:r>
      <w:r>
        <w:t xml:space="preserve"> </w:t>
      </w:r>
      <w:hyperlink r:id="rId276">
        <w:r>
          <w:rPr>
            <w:rStyle w:val="Hyperlink"/>
          </w:rPr>
          <w:t xml:space="preserve">https://doi.org/10.1037/a0013684</w:t>
        </w:r>
      </w:hyperlink>
    </w:p>
    <w:bookmarkEnd w:id="277"/>
    <w:bookmarkStart w:id="279" w:name="ref-rhodes2009"/>
    <w:p>
      <w:pPr>
        <w:pStyle w:val="Bibliography"/>
      </w:pPr>
      <w:r>
        <w:t xml:space="preserve">Rhodes, M. G., &amp; Castel, A. D. (2009). Metacognitive illusions for auditory information: Effects on monitoring and control.</w:t>
      </w:r>
      <w:r>
        <w:t xml:space="preserve"> </w:t>
      </w:r>
      <w:r>
        <w:rPr>
          <w:i/>
          <w:iCs/>
        </w:rPr>
        <w:t xml:space="preserve">Psychonomic Bulletin and Review</w:t>
      </w:r>
      <w:r>
        <w:t xml:space="preserve">,</w:t>
      </w:r>
      <w:r>
        <w:t xml:space="preserve"> </w:t>
      </w:r>
      <w:r>
        <w:rPr>
          <w:i/>
          <w:iCs/>
        </w:rPr>
        <w:t xml:space="preserve">16</w:t>
      </w:r>
      <w:r>
        <w:t xml:space="preserve">(3), 550554.</w:t>
      </w:r>
      <w:r>
        <w:t xml:space="preserve"> </w:t>
      </w:r>
      <w:hyperlink r:id="rId278">
        <w:r>
          <w:rPr>
            <w:rStyle w:val="Hyperlink"/>
          </w:rPr>
          <w:t xml:space="preserve">https://doi.org/10.3758/PBR.16.3.550</w:t>
        </w:r>
      </w:hyperlink>
    </w:p>
    <w:bookmarkEnd w:id="279"/>
    <w:bookmarkStart w:id="281"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80">
        <w:r>
          <w:rPr>
            <w:rStyle w:val="Hyperlink"/>
          </w:rPr>
          <w:t xml:space="preserve">https://docs.ropensci.org/rix/</w:t>
        </w:r>
      </w:hyperlink>
    </w:p>
    <w:bookmarkEnd w:id="281"/>
    <w:bookmarkStart w:id="283"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82">
        <w:r>
          <w:rPr>
            <w:rStyle w:val="Hyperlink"/>
          </w:rPr>
          <w:t xml:space="preserve">https://doi.org/10.31234/osf.io/g4s2a_v1</w:t>
        </w:r>
      </w:hyperlink>
    </w:p>
    <w:bookmarkEnd w:id="283"/>
    <w:bookmarkStart w:id="285"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84">
        <w:r>
          <w:rPr>
            <w:rStyle w:val="Hyperlink"/>
          </w:rPr>
          <w:t xml:space="preserve">https://doi.org/10.1177/08902070241239834</w:t>
        </w:r>
      </w:hyperlink>
    </w:p>
    <w:bookmarkEnd w:id="285"/>
    <w:bookmarkStart w:id="287"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86">
        <w:r>
          <w:rPr>
            <w:rStyle w:val="Hyperlink"/>
          </w:rPr>
          <w:t xml:space="preserve">https://doi.org/10.31234/osf.io/4rznt</w:t>
        </w:r>
      </w:hyperlink>
    </w:p>
    <w:bookmarkEnd w:id="287"/>
    <w:bookmarkStart w:id="289"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88">
        <w:r>
          <w:rPr>
            <w:rStyle w:val="Hyperlink"/>
          </w:rPr>
          <w:t xml:space="preserve">https://doi.org/10.1001/jamanetworkopen.2023.53401</w:t>
        </w:r>
      </w:hyperlink>
    </w:p>
    <w:bookmarkEnd w:id="289"/>
    <w:bookmarkStart w:id="291"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90">
        <w:r>
          <w:rPr>
            <w:rStyle w:val="Hyperlink"/>
          </w:rPr>
          <w:t xml:space="preserve">https://doi.org/10.1037/1082-989x.11.1.54</w:t>
        </w:r>
      </w:hyperlink>
    </w:p>
    <w:bookmarkEnd w:id="291"/>
    <w:bookmarkStart w:id="293" w:name="ref-sungkhasettee2011"/>
    <w:p>
      <w:pPr>
        <w:pStyle w:val="Bibliography"/>
      </w:pPr>
      <w:r>
        <w:t xml:space="preserve">Sungkhasettee, V. W., Friedman, M. C., &amp; Castel, A. D. (2011). Memory and metamemory for inverted words: Illusions of competency and desirable difficulties.</w:t>
      </w:r>
      <w:r>
        <w:t xml:space="preserve"> </w:t>
      </w:r>
      <w:r>
        <w:rPr>
          <w:i/>
          <w:iCs/>
        </w:rPr>
        <w:t xml:space="preserve">Psychonomic Bulletin and Review</w:t>
      </w:r>
      <w:r>
        <w:t xml:space="preserve">,</w:t>
      </w:r>
      <w:r>
        <w:t xml:space="preserve"> </w:t>
      </w:r>
      <w:r>
        <w:rPr>
          <w:i/>
          <w:iCs/>
        </w:rPr>
        <w:t xml:space="preserve">18</w:t>
      </w:r>
      <w:r>
        <w:t xml:space="preserve">(5), 973978.</w:t>
      </w:r>
      <w:r>
        <w:t xml:space="preserve"> </w:t>
      </w:r>
      <w:hyperlink r:id="rId292">
        <w:r>
          <w:rPr>
            <w:rStyle w:val="Hyperlink"/>
          </w:rPr>
          <w:t xml:space="preserve">https://doi.org/10.3758/s13423-011-0114-9</w:t>
        </w:r>
      </w:hyperlink>
    </w:p>
    <w:bookmarkEnd w:id="293"/>
    <w:bookmarkStart w:id="295"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94">
        <w:r>
          <w:rPr>
            <w:rStyle w:val="Hyperlink"/>
          </w:rPr>
          <w:t xml:space="preserve">https://mc-stan.org</w:t>
        </w:r>
      </w:hyperlink>
    </w:p>
    <w:bookmarkEnd w:id="295"/>
    <w:bookmarkStart w:id="297"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96">
        <w:r>
          <w:rPr>
            <w:rStyle w:val="Hyperlink"/>
          </w:rPr>
          <w:t xml:space="preserve">https://doi.org/10.1007/s11409-017-9175-0</w:t>
        </w:r>
      </w:hyperlink>
    </w:p>
    <w:bookmarkEnd w:id="297"/>
    <w:bookmarkStart w:id="299" w:name="ref-veríssimo2025"/>
    <w:p>
      <w:pPr>
        <w:pStyle w:val="Bibliography"/>
      </w:pPr>
      <w:r>
        <w:t xml:space="preserve">Veríssimo, J. (2025). A gentle introduction to bayesian statistics, with applications to bilingualism research.</w:t>
      </w:r>
      <w:r>
        <w:t xml:space="preserve"> </w:t>
      </w:r>
      <w:r>
        <w:rPr>
          <w:i/>
          <w:iCs/>
        </w:rPr>
        <w:t xml:space="preserve">Linguistic Approaches to Bilingualism</w:t>
      </w:r>
      <w:r>
        <w:t xml:space="preserve">,</w:t>
      </w:r>
      <w:r>
        <w:t xml:space="preserve"> </w:t>
      </w:r>
      <w:r>
        <w:rPr>
          <w:i/>
          <w:iCs/>
        </w:rPr>
        <w:t xml:space="preserve">15</w:t>
      </w:r>
      <w:r>
        <w:t xml:space="preserve">(4), 453–486.</w:t>
      </w:r>
      <w:r>
        <w:t xml:space="preserve"> </w:t>
      </w:r>
      <w:hyperlink r:id="rId298">
        <w:r>
          <w:rPr>
            <w:rStyle w:val="Hyperlink"/>
          </w:rPr>
          <w:t xml:space="preserve">https://doi.org/10.1075/lab.24027.ver</w:t>
        </w:r>
      </w:hyperlink>
    </w:p>
    <w:bookmarkEnd w:id="299"/>
    <w:bookmarkStart w:id="301" w:name="ref-vuorre2019"/>
    <w:p>
      <w:pPr>
        <w:pStyle w:val="Bibliography"/>
      </w:pPr>
      <w:r>
        <w:t xml:space="preserve">Vuorre, M. (2019, February 18).</w:t>
      </w:r>
      <w:r>
        <w:t xml:space="preserve"> </w:t>
      </w:r>
      <w:r>
        <w:rPr>
          <w:i/>
          <w:iCs/>
        </w:rPr>
        <w:t xml:space="preserve">How to analyze visual analog (slider) scale data?</w:t>
      </w:r>
      <w:r>
        <w:t xml:space="preserve"> </w:t>
      </w:r>
      <w:hyperlink r:id="rId300">
        <w:r>
          <w:rPr>
            <w:rStyle w:val="Hyperlink"/>
          </w:rPr>
          <w:t xml:space="preserve">https://vuorre.com/posts/2019-02-18-analyze-analog-scale-ratings-with-zero-one-inflated-beta-models</w:t>
        </w:r>
      </w:hyperlink>
    </w:p>
    <w:bookmarkEnd w:id="301"/>
    <w:bookmarkStart w:id="303"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302">
        <w:r>
          <w:rPr>
            <w:rStyle w:val="Hyperlink"/>
          </w:rPr>
          <w:t xml:space="preserve">https://r4ds.hadley.nz/</w:t>
        </w:r>
      </w:hyperlink>
    </w:p>
    <w:bookmarkEnd w:id="303"/>
    <w:bookmarkStart w:id="305"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304">
        <w:r>
          <w:rPr>
            <w:rStyle w:val="Hyperlink"/>
          </w:rPr>
          <w:t xml:space="preserve">https://doi.org/10.1002/acp.3724</w:t>
        </w:r>
      </w:hyperlink>
    </w:p>
    <w:bookmarkEnd w:id="305"/>
    <w:bookmarkStart w:id="307"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306">
        <w:r>
          <w:rPr>
            <w:rStyle w:val="Hyperlink"/>
          </w:rPr>
          <w:t xml:space="preserve">https://doi.org/10.1111/gcb.17422</w:t>
        </w:r>
      </w:hyperlink>
    </w:p>
    <w:bookmarkEnd w:id="307"/>
    <w:bookmarkStart w:id="309"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308">
        <w:r>
          <w:rPr>
            <w:rStyle w:val="Hyperlink"/>
          </w:rPr>
          <w:t xml:space="preserve">https://doi.org/10.1037/mac0000003</w:t>
        </w:r>
      </w:hyperlink>
    </w:p>
    <w:bookmarkEnd w:id="309"/>
    <w:bookmarkStart w:id="311"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310">
        <w:r>
          <w:rPr>
            <w:rStyle w:val="Hyperlink"/>
          </w:rPr>
          <w:t xml:space="preserve">https://stats.andrewheiss.com/compassionate-clam/manuscript/output/manuscript.html</w:t>
        </w:r>
      </w:hyperlink>
    </w:p>
    <w:bookmarkEnd w:id="311"/>
    <w:bookmarkEnd w:id="312"/>
    <w:p>
      <w:r>
        <w:br w:type="page"/>
      </w:r>
    </w:p>
    <w:bookmarkEnd w:id="313"/>
    <w:p>
      <w:pPr>
        <w:pStyle w:val="Heading1"/>
      </w:pPr>
      <w:r>
        <w:t xml:space="preserve">Appendix</w:t>
      </w:r>
    </w:p>
    <w:bookmarkStart w:id="345" w:name="apx-beta"/>
    <w:p>
      <w:pPr>
        <w:pStyle w:val="Heading1"/>
      </w:pPr>
      <w:r>
        <w:t xml:space="preserve">Frequentist Beta Regression Approaches</w:t>
      </w:r>
    </w:p>
    <w:bookmarkStart w:id="322" w:name="beat-regression"/>
    <w:p>
      <w:pPr>
        <w:pStyle w:val="Heading2"/>
      </w:pPr>
      <w:r>
        <w:t xml:space="preserve">Beat Regression</w:t>
      </w:r>
    </w:p>
    <w:p>
      <w:pPr>
        <w:pStyle w:val="FirstParagraph"/>
      </w:pPr>
      <w:r>
        <w:t xml:space="preserve">Standard beta regression requires that the outcome lie strictly within the open interval</w:t>
      </w:r>
      <w:r>
        <w:t xml:space="preserve"> </w:t>
      </w:r>
      <m:oMath>
        <m:r>
          <m:rPr>
            <m:sty m:val="p"/>
          </m:rPr>
          <m:t>(</m:t>
        </m:r>
        <m:r>
          <m:t>0</m:t>
        </m:r>
        <m:r>
          <m:rPr>
            <m:sty m:val="p"/>
          </m:rPr>
          <m:t>,</m:t>
        </m:r>
        <m:r>
          <m:t>1</m:t>
        </m:r>
        <m:r>
          <m:rPr>
            <m:sty m:val="p"/>
          </m:rPr>
          <m:t>)</m:t>
        </m:r>
      </m:oMath>
      <w:r>
        <w:t xml:space="preserve">, so we first remove boundary values. In</w:t>
      </w:r>
      <w:r>
        <w:t xml:space="preserve"> </w:t>
      </w:r>
      <w:hyperlink w:anchor="lst-betareg">
        <w:r>
          <w:rPr>
            <w:rStyle w:val="Hyperlink"/>
          </w:rPr>
          <w:t xml:space="preserve">Listing 25</w:t>
        </w:r>
      </w:hyperlink>
      <w:r>
        <w:t xml:space="preserve"> </w:t>
      </w:r>
      <w:r>
        <w:t xml:space="preserve">we fit the beta regression using</w:t>
      </w:r>
      <w:r>
        <w:t xml:space="preserve"> </w:t>
      </w:r>
      <w:r>
        <w:rPr>
          <w:rStyle w:val="VerbatimChar"/>
        </w:rPr>
        <w:t xml:space="preserve">glmmTMB</w:t>
      </w:r>
      <w:r>
        <w:t xml:space="preserve"> </w:t>
      </w:r>
      <w:r>
        <w:t xml:space="preserve">(Brooks et al., 2017b)</w:t>
      </w:r>
      <w:r>
        <w:t xml:space="preserve">, specifying</w:t>
      </w:r>
      <w:r>
        <w:t xml:space="preserve"> </w:t>
      </w:r>
      <w:r>
        <w:rPr>
          <w:rStyle w:val="VerbatimChar"/>
        </w:rPr>
        <w:t xml:space="preserve">family = beta_family(link = "logit")</w:t>
      </w:r>
      <w:r>
        <w:t xml:space="preserve">. The</w:t>
      </w:r>
      <w:r>
        <w:t xml:space="preserve"> </w:t>
      </w:r>
      <w:r>
        <w:rPr>
          <w:rStyle w:val="VerbatimChar"/>
        </w:rPr>
        <w:t xml:space="preserve">disp = ~Fluency</w:t>
      </w:r>
      <w:r>
        <w:t xml:space="preserve"> </w:t>
      </w:r>
      <w:r>
        <w:t xml:space="preserve">argument allows the precision parameter</w:t>
      </w:r>
      <w:r>
        <w:t xml:space="preserve"> </w:t>
      </w:r>
      <m:oMath>
        <m:r>
          <m:t>ϕ</m:t>
        </m:r>
      </m:oMath>
      <w:r>
        <w:t xml:space="preserve"> </w:t>
      </w:r>
      <w:r>
        <w:t xml:space="preserve">to vary by fluency.Alternative packages for frequentist beta regression include</w:t>
      </w:r>
      <w:r>
        <w:t xml:space="preserve"> </w:t>
      </w:r>
      <w:r>
        <w:rPr>
          <w:rStyle w:val="VerbatimChar"/>
        </w:rPr>
        <w:t xml:space="preserve">betareg</w:t>
      </w:r>
      <w:r>
        <w:t xml:space="preserve"> </w:t>
      </w:r>
      <w:r>
        <w:t xml:space="preserve">(Cribari-Neto &amp; Zeileis, 2010)</w:t>
      </w:r>
      <w:r>
        <w:t xml:space="preserve"> </w:t>
      </w:r>
      <w:r>
        <w:t xml:space="preserve">and</w:t>
      </w:r>
      <w:r>
        <w:t xml:space="preserve"> </w:t>
      </w:r>
      <w:r>
        <w:rPr>
          <w:rStyle w:val="VerbatimChar"/>
        </w:rPr>
        <w:t xml:space="preserve">gamlss</w:t>
      </w:r>
      <w:r>
        <w:t xml:space="preserve"> </w:t>
      </w:r>
      <w:r>
        <w:t xml:space="preserve">(2005)</w:t>
      </w:r>
      <w:r>
        <w:t xml:space="preserve">, though</w:t>
      </w:r>
      <w:r>
        <w:t xml:space="preserve"> </w:t>
      </w:r>
      <w:r>
        <w:rPr>
          <w:rStyle w:val="VerbatimChar"/>
        </w:rPr>
        <w:t xml:space="preserve">glmmTMB</w:t>
      </w:r>
      <w:r>
        <w:t xml:space="preserve"> </w:t>
      </w:r>
      <w:r>
        <w:t xml:space="preserve">is preferred here for its support of random effects and extended family options.</w:t>
      </w:r>
    </w:p>
    <w:tbl>
      <w:tblPr>
        <w:tblStyle w:val="Table"/>
        <w:tblW w:type="pct" w:w="5000"/>
        <w:tblLayout w:type="fixed"/>
        <w:tblLook w:firstRow="0" w:lastRow="0" w:firstColumn="0" w:lastColumn="0" w:noHBand="0" w:noVBand="0" w:val="0000"/>
      </w:tblPr>
      <w:tblGrid>
        <w:gridCol w:w="7920"/>
      </w:tblGrid>
      <w:tr>
        <w:tc>
          <w:tcPr/>
          <w:bookmarkStart w:id="314" w:name="lst-betareg"/>
          <w:p>
            <w:pPr>
              <w:jc w:val="center"/>
            </w:pPr>
            <w:pPr>
              <w:jc w:val="start"/>
              <w:spacing w:before="200"/>
              <w:pStyle w:val="ImageCaption"/>
            </w:pPr>
            <w:r>
              <w:t xml:space="preserve">Listing 25: Fitting beta regression using {glmmTMB}</w:t>
            </w:r>
          </w:p>
          <w:p>
            <w:pPr>
              <w:pStyle w:val="SourceCode"/>
              <w:jc w:val="center"/>
            </w:pPr>
            <w:r>
              <w:rPr>
                <w:rStyle w:val="NormalTok"/>
              </w:rPr>
              <w:t xml:space="preserve">beta_model </w:t>
            </w:r>
            <w:r>
              <w:rPr>
                <w:rStyle w:val="OtherTok"/>
              </w:rPr>
              <w:t xml:space="preserve">&lt;-</w:t>
            </w:r>
            <w:r>
              <w:rPr>
                <w:rStyle w:val="NormalTok"/>
              </w:rPr>
              <w:t xml:space="preserve"> </w:t>
            </w:r>
            <w:r>
              <w:rPr>
                <w:rStyle w:val="FunctionTok"/>
              </w:rPr>
              <w:t xml:space="preserve">glmmTMB</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disp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beta_family</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p>
          <w:bookmarkEnd w:id="314"/>
        </w:tc>
      </w:tr>
    </w:tbl>
    <w:bookmarkStart w:id="316" w:name="model-parameters-2"/>
    <w:p>
      <w:pPr>
        <w:pStyle w:val="Heading3"/>
      </w:pPr>
      <w:r>
        <w:t xml:space="preserve">Model Parameters</w:t>
      </w:r>
    </w:p>
    <w:p>
      <w:pPr>
        <w:pStyle w:val="FirstParagraph"/>
      </w:pPr>
      <w:hyperlink w:anchor="tbl-beta-params">
        <w:r>
          <w:rPr>
            <w:rStyle w:val="Hyperlink"/>
          </w:rPr>
          <w:t xml:space="preserve">Table A1</w:t>
        </w:r>
      </w:hyperlink>
      <w:r>
        <w:t xml:space="preserve"> </w:t>
      </w:r>
      <w:r>
        <w:t xml:space="preserve">reports the full model summary. Conditional component coefficients (</w:t>
      </w:r>
      <m:oMath>
        <m:r>
          <m:t>μ</m:t>
        </m:r>
      </m:oMath>
      <w:r>
        <w:t xml:space="preserve">) are on the logit scale; the dispersion component (</w:t>
      </w:r>
      <m:oMath>
        <m:r>
          <m:t>ϕ</m:t>
        </m:r>
      </m:oMath>
      <w:r>
        <w:t xml:space="preserve">) is on the log scale.</w:t>
      </w:r>
    </w:p>
    <w:bookmarkStart w:id="315" w:name="tbl-beta-params"/>
    <w:p>
      <w:pPr>
        <w:pStyle w:val="FigureTitle"/>
      </w:pPr>
      <w:r>
        <w:t xml:space="preserve">Table A1</w:t>
      </w:r>
    </w:p>
    <w:p>
      <w:pPr>
        <w:pStyle w:val="Caption"/>
      </w:pPr>
      <w:r>
        <w:t xml:space="preserve">Parameter estimates for the beta regression model</w:t>
      </w:r>
    </w:p>
    <w:tbl>
      <w:tblPr>
        <w:tblStyle w:val="Table"/>
        <w:tblW w:type="pct" w:w="4731"/>
        <w:tblLayout w:type="fixed"/>
        <w:tblLook w:firstRow="1" w:lastRow="0" w:firstColumn="0" w:lastColumn="0" w:noHBand="0" w:noVBand="0" w:val="0020"/>
      </w:tblPr>
      <w:tblGrid>
        <w:gridCol w:w="1362"/>
        <w:gridCol w:w="1192"/>
        <w:gridCol w:w="1192"/>
        <w:gridCol w:w="681"/>
        <w:gridCol w:w="1618"/>
        <w:gridCol w:w="766"/>
        <w:gridCol w:w="681"/>
      </w:tblGrid>
      <w:tr>
        <w:trPr>
          <w:tblHeader w:val="on"/>
        </w:trPr>
        <w:tc>
          <w:tcPr/>
          <w:p>
            <w:pPr>
              <w:pStyle w:val="Compact"/>
            </w:pPr>
            <w:r>
              <w:t xml:space="preserve">Parameter</w:t>
            </w:r>
          </w:p>
        </w:tc>
        <w:tc>
          <w:tcPr/>
          <w:p>
            <w:pPr>
              <w:pStyle w:val="Compact"/>
            </w:pPr>
            <w:r>
              <w:t xml:space="preserve">Component</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conditional</w:t>
            </w:r>
          </w:p>
        </w:tc>
        <w:tc>
          <w:tcPr/>
          <w:p>
            <w:pPr>
              <w:pStyle w:val="Compact"/>
            </w:pPr>
            <w:r>
              <w:t xml:space="preserve">-0.835</w:t>
            </w:r>
          </w:p>
        </w:tc>
        <w:tc>
          <w:tcPr/>
          <w:p>
            <w:pPr>
              <w:pStyle w:val="Compact"/>
            </w:pPr>
            <w:r>
              <w:t xml:space="preserve">0.132</w:t>
            </w:r>
          </w:p>
        </w:tc>
        <w:tc>
          <w:tcPr/>
          <w:p>
            <w:pPr>
              <w:pStyle w:val="Compact"/>
            </w:pPr>
            <w:r>
              <w:t xml:space="preserve">[-1.095, -0.576]</w:t>
            </w:r>
          </w:p>
        </w:tc>
        <w:tc>
          <w:tcPr/>
          <w:p>
            <w:pPr>
              <w:pStyle w:val="Compact"/>
            </w:pPr>
            <w:r>
              <w:t xml:space="preserve">-6.306</w:t>
            </w:r>
          </w:p>
        </w:tc>
        <w:tc>
          <w:tcPr/>
          <w:p>
            <w:pPr>
              <w:pStyle w:val="Compact"/>
            </w:pPr>
            <w:r>
              <w:t xml:space="preserve">&lt;.001</w:t>
            </w:r>
          </w:p>
        </w:tc>
      </w:tr>
      <w:tr>
        <w:tc>
          <w:tcPr/>
          <w:p>
            <w:pPr>
              <w:pStyle w:val="Compact"/>
            </w:pPr>
            <w:r>
              <w:t xml:space="preserve">FluencyFluent</w:t>
            </w:r>
          </w:p>
        </w:tc>
        <w:tc>
          <w:tcPr/>
          <w:p>
            <w:pPr>
              <w:pStyle w:val="Compact"/>
            </w:pPr>
            <w:r>
              <w:t xml:space="preserve">conditional</w:t>
            </w:r>
          </w:p>
        </w:tc>
        <w:tc>
          <w:tcPr/>
          <w:p>
            <w:pPr>
              <w:pStyle w:val="Compact"/>
            </w:pPr>
            <w:r>
              <w:t xml:space="preserve">0.204</w:t>
            </w:r>
          </w:p>
        </w:tc>
        <w:tc>
          <w:tcPr/>
          <w:p>
            <w:pPr>
              <w:pStyle w:val="Compact"/>
            </w:pPr>
            <w:r>
              <w:t xml:space="preserve">0.170</w:t>
            </w:r>
          </w:p>
        </w:tc>
        <w:tc>
          <w:tcPr/>
          <w:p>
            <w:pPr>
              <w:pStyle w:val="Compact"/>
            </w:pPr>
            <w:r>
              <w:t xml:space="preserve">[-0.129, 0.538]</w:t>
            </w:r>
          </w:p>
        </w:tc>
        <w:tc>
          <w:tcPr/>
          <w:p>
            <w:pPr>
              <w:pStyle w:val="Compact"/>
            </w:pPr>
            <w:r>
              <w:t xml:space="preserve">1.201</w:t>
            </w:r>
          </w:p>
        </w:tc>
        <w:tc>
          <w:tcPr/>
          <w:p>
            <w:pPr>
              <w:pStyle w:val="Compact"/>
            </w:pPr>
            <w:r>
              <w:t xml:space="preserve">0.230</w:t>
            </w:r>
          </w:p>
        </w:tc>
      </w:tr>
      <w:tr>
        <w:tc>
          <w:tcPr/>
          <w:p>
            <w:pPr>
              <w:pStyle w:val="Compact"/>
            </w:pPr>
            <w:r>
              <w:t xml:space="preserve">(Intercept)</w:t>
            </w:r>
          </w:p>
        </w:tc>
        <w:tc>
          <w:tcPr/>
          <w:p>
            <w:pPr>
              <w:pStyle w:val="Compact"/>
            </w:pPr>
            <w:r>
              <w:t xml:space="preserve">dispersion</w:t>
            </w:r>
          </w:p>
        </w:tc>
        <w:tc>
          <w:tcPr/>
          <w:p>
            <w:pPr>
              <w:pStyle w:val="Compact"/>
            </w:pPr>
            <w:r>
              <w:t xml:space="preserve">1.640</w:t>
            </w:r>
          </w:p>
        </w:tc>
        <w:tc>
          <w:tcPr/>
          <w:p>
            <w:pPr>
              <w:pStyle w:val="Compact"/>
            </w:pPr>
            <w:r>
              <w:t xml:space="preserve">0.202</w:t>
            </w:r>
          </w:p>
        </w:tc>
        <w:tc>
          <w:tcPr/>
          <w:p>
            <w:pPr>
              <w:pStyle w:val="Compact"/>
            </w:pPr>
            <w:r>
              <w:t xml:space="preserve">[1.244, 2.037]</w:t>
            </w:r>
          </w:p>
        </w:tc>
        <w:tc>
          <w:tcPr/>
          <w:p>
            <w:pPr>
              <w:pStyle w:val="Compact"/>
            </w:pPr>
            <w:r>
              <w:t xml:space="preserve">8.110</w:t>
            </w:r>
          </w:p>
        </w:tc>
        <w:tc>
          <w:tcPr/>
          <w:p>
            <w:pPr>
              <w:pStyle w:val="Compact"/>
            </w:pPr>
            <w:r>
              <w:t xml:space="preserve">&lt;.001</w:t>
            </w:r>
          </w:p>
        </w:tc>
      </w:tr>
      <w:tr>
        <w:tc>
          <w:tcPr/>
          <w:p>
            <w:pPr>
              <w:pStyle w:val="Compact"/>
            </w:pPr>
            <w:r>
              <w:t xml:space="preserve">FluencyFluent</w:t>
            </w:r>
          </w:p>
        </w:tc>
        <w:tc>
          <w:tcPr/>
          <w:p>
            <w:pPr>
              <w:pStyle w:val="Compact"/>
            </w:pPr>
            <w:r>
              <w:t xml:space="preserve">dispersion</w:t>
            </w:r>
          </w:p>
        </w:tc>
        <w:tc>
          <w:tcPr/>
          <w:p>
            <w:pPr>
              <w:pStyle w:val="Compact"/>
            </w:pPr>
            <w:r>
              <w:t xml:space="preserve">0.430</w:t>
            </w:r>
          </w:p>
        </w:tc>
        <w:tc>
          <w:tcPr/>
          <w:p>
            <w:pPr>
              <w:pStyle w:val="Compact"/>
            </w:pPr>
            <w:r>
              <w:t xml:space="preserve">0.288</w:t>
            </w:r>
          </w:p>
        </w:tc>
        <w:tc>
          <w:tcPr/>
          <w:p>
            <w:pPr>
              <w:pStyle w:val="Compact"/>
            </w:pPr>
            <w:r>
              <w:t xml:space="preserve">[-0.134, 0.994]</w:t>
            </w:r>
          </w:p>
        </w:tc>
        <w:tc>
          <w:tcPr/>
          <w:p>
            <w:pPr>
              <w:pStyle w:val="Compact"/>
            </w:pPr>
            <w:r>
              <w:t xml:space="preserve">1.494</w:t>
            </w:r>
          </w:p>
        </w:tc>
        <w:tc>
          <w:tcPr/>
          <w:p>
            <w:pPr>
              <w:pStyle w:val="Compact"/>
            </w:pPr>
            <w:r>
              <w:t xml:space="preserve">0.135</w:t>
            </w:r>
          </w:p>
        </w:tc>
      </w:tr>
    </w:tbl>
    <w:bookmarkEnd w:id="315"/>
    <w:bookmarkEnd w:id="316"/>
    <w:bookmarkStart w:id="321" w:name="X5ad1013a5bc4b34c6df7318e16cf240e6a547ce"/>
    <w:p>
      <w:pPr>
        <w:pStyle w:val="Heading3"/>
      </w:pPr>
      <w:r>
        <w:t xml:space="preserve">Predicted Probabilities and Marginal Effects</w:t>
      </w:r>
    </w:p>
    <w:p>
      <w:pPr>
        <w:pStyle w:val="FirstParagraph"/>
      </w:pPr>
      <w:r>
        <w:t xml:space="preserve">We obtain predicted probabilities for each level of fluency with</w:t>
      </w:r>
      <w:r>
        <w:t xml:space="preserve"> </w:t>
      </w:r>
      <w:r>
        <w:rPr>
          <w:rStyle w:val="VerbatimChar"/>
        </w:rPr>
        <w:t xml:space="preserve">avg_predictions()</w:t>
      </w:r>
      <w:r>
        <w:t xml:space="preserve"> </w:t>
      </w:r>
      <w:r>
        <w:t xml:space="preserve">(</w:t>
      </w:r>
      <w:hyperlink w:anchor="lst-beta-preds">
        <w:r>
          <w:rPr>
            <w:rStyle w:val="Hyperlink"/>
          </w:rPr>
          <w:t xml:space="preserve">Listing 26</w:t>
        </w:r>
      </w:hyperlink>
      <w:r>
        <w:t xml:space="preserve">), setting</w:t>
      </w:r>
      <w:r>
        <w:t xml:space="preserve"> </w:t>
      </w:r>
      <w:r>
        <w:rPr>
          <w:rStyle w:val="VerbatimChar"/>
        </w:rPr>
        <w:t xml:space="preserve">dpar = "mu"</w:t>
      </w:r>
      <w:r>
        <w:t xml:space="preserve"> </w:t>
      </w:r>
      <w:r>
        <w:t xml:space="preserve">to target the conditional mean. Results are shown in</w:t>
      </w:r>
      <w:r>
        <w:t xml:space="preserve"> </w:t>
      </w:r>
      <w:hyperlink w:anchor="tbl-beta-preds">
        <w:r>
          <w:rPr>
            <w:rStyle w:val="Hyperlink"/>
          </w:rPr>
          <w:t xml:space="preserve">Table A2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7" w:name="lst-beta-preds"/>
          <w:p>
            <w:pPr>
              <w:jc w:val="center"/>
            </w:pPr>
            <w:pPr>
              <w:jc w:val="start"/>
              <w:spacing w:before="200"/>
              <w:pStyle w:val="ImageCaption"/>
            </w:pPr>
            <w:r>
              <w:t xml:space="preserve">Listing 26: Predicted probabilities for the beta model</w:t>
            </w:r>
          </w:p>
          <w:p>
            <w:pPr>
              <w:pStyle w:val="SourceCode"/>
              <w:jc w:val="center"/>
            </w:pPr>
            <w:r>
              <w:rPr>
                <w:rStyle w:val="FunctionTok"/>
              </w:rPr>
              <w:t xml:space="preserve">avg_predictions</w:t>
            </w:r>
            <w:r>
              <w:rPr>
                <w:rStyle w:val="NormalTok"/>
              </w:rPr>
              <w:t xml:space="preserve">(beta_model,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"mu"</w:t>
            </w:r>
            <w:r>
              <w:rPr>
                <w:rStyle w:val="NormalTok"/>
              </w:rPr>
              <w:t xml:space="preserve">)</w:t>
            </w:r>
          </w:p>
          <w:bookmarkEnd w:id="317"/>
        </w:tc>
      </w:tr>
    </w:tbl>
    <w:bookmarkStart w:id="318" w:name="tbl-beta-preds"/>
    <w:p>
      <w:pPr>
        <w:pStyle w:val="FigureTitle"/>
      </w:pPr>
      <w:r>
        <w:t xml:space="preserve">Table A2</w:t>
      </w:r>
    </w:p>
    <w:p>
      <w:pPr>
        <w:pStyle w:val="Caption"/>
      </w:pPr>
      <w:r>
        <w:t xml:space="preserve">Predicted probabilities by fluency from the beta model</w:t>
      </w:r>
    </w:p>
    <w:tbl>
      <w:tblPr>
        <w:tblStyle w:val="Table"/>
        <w:tblW w:type="pct" w:w="3125"/>
        <w:tblLayout w:type="fixed"/>
        <w:tblLook w:firstRow="1" w:lastRow="0" w:firstColumn="0" w:lastColumn="0" w:noHBand="0" w:noVBand="0" w:val="0020"/>
      </w:tblPr>
      <w:tblGrid>
        <w:gridCol w:w="1320"/>
        <w:gridCol w:w="880"/>
        <w:gridCol w:w="187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0.303</w:t>
            </w:r>
          </w:p>
        </w:tc>
        <w:tc>
          <w:tcPr/>
          <w:p>
            <w:pPr>
              <w:pStyle w:val="Compact"/>
            </w:pPr>
            <w:r>
              <w:t xml:space="preserve">[0.248, 0.357]</w:t>
            </w:r>
          </w:p>
        </w:tc>
        <w:tc>
          <w:tcPr/>
          <w:p>
            <w:pPr>
              <w:pStyle w:val="Compact"/>
            </w:pPr>
            <w:r>
              <w:t xml:space="preserve">&lt;.001</w:t>
            </w:r>
          </w:p>
        </w:tc>
      </w:tr>
      <w:tr>
        <w:tc>
          <w:tcPr/>
          <w:p>
            <w:pPr>
              <w:pStyle w:val="Compact"/>
            </w:pPr>
            <w:r>
              <w:t xml:space="preserve">Fluent</w:t>
            </w:r>
          </w:p>
        </w:tc>
        <w:tc>
          <w:tcPr/>
          <w:p>
            <w:pPr>
              <w:pStyle w:val="Compact"/>
            </w:pPr>
            <w:r>
              <w:t xml:space="preserve">0.347</w:t>
            </w:r>
          </w:p>
        </w:tc>
        <w:tc>
          <w:tcPr/>
          <w:p>
            <w:pPr>
              <w:pStyle w:val="Compact"/>
            </w:pPr>
            <w:r>
              <w:t xml:space="preserve">[0.3, 0.395]</w:t>
            </w:r>
          </w:p>
        </w:tc>
        <w:tc>
          <w:tcPr/>
          <w:p>
            <w:pPr>
              <w:pStyle w:val="Compact"/>
            </w:pPr>
            <w:r>
              <w:t xml:space="preserve">&lt;.001</w:t>
            </w:r>
          </w:p>
        </w:tc>
      </w:tr>
    </w:tbl>
    <w:bookmarkEnd w:id="318"/>
    <w:p>
      <w:pPr>
        <w:pStyle w:val="AfterWithoutNote"/>
      </w:pPr>
      <w:r>
        <w:t xml:space="preserve">The average marginal effect of fluency on the conditional mean is computed with</w:t>
      </w:r>
      <w:r>
        <w:t xml:space="preserve"> </w:t>
      </w:r>
      <w:r>
        <w:rPr>
          <w:rStyle w:val="VerbatimChar"/>
        </w:rPr>
        <w:t xml:space="preserve">avg_comparisons()</w:t>
      </w:r>
      <w:r>
        <w:t xml:space="preserve"> </w:t>
      </w:r>
      <w:r>
        <w:t xml:space="preserve">(</w:t>
      </w:r>
      <w:hyperlink w:anchor="lst-beta-ame">
        <w:r>
          <w:rPr>
            <w:rStyle w:val="Hyperlink"/>
          </w:rPr>
          <w:t xml:space="preserve">Listing 27</w:t>
        </w:r>
      </w:hyperlink>
      <w:r>
        <w:t xml:space="preserve">); estimates are shown in</w:t>
      </w:r>
      <w:r>
        <w:t xml:space="preserve"> </w:t>
      </w:r>
      <w:hyperlink w:anchor="tbl-beta-ame">
        <w:r>
          <w:rPr>
            <w:rStyle w:val="Hyperlink"/>
          </w:rPr>
          <w:t xml:space="preserve">Table A3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9" w:name="lst-beta-ame"/>
          <w:p>
            <w:pPr>
              <w:jc w:val="center"/>
            </w:pPr>
            <w:pPr>
              <w:jc w:val="start"/>
              <w:spacing w:before="200"/>
              <w:pStyle w:val="ImageCaption"/>
            </w:pPr>
            <w:r>
              <w:t xml:space="preserve">Listing 27: AME (</w:t>
            </w:r>
            <m:oMath>
              <m:r>
                <m:t>μ</m:t>
              </m:r>
            </m:oMath>
            <w:r>
              <w:t xml:space="preserve">) for fluency from the beta model</w:t>
            </w:r>
          </w:p>
          <w:p>
            <w:pPr>
              <w:pStyle w:val="SourceCode"/>
              <w:jc w:val="center"/>
            </w:pPr>
            <w:r>
              <w:rPr>
                <w:rStyle w:val="FunctionTok"/>
              </w:rPr>
              <w:t xml:space="preserve">avg_comparisons</w:t>
            </w:r>
            <w:r>
              <w:rPr>
                <w:rStyle w:val="NormalTok"/>
              </w:rPr>
              <w:t xml:space="preserve">(beta_model,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"mu"</w:t>
            </w:r>
            <w:r>
              <w:rPr>
                <w:rStyle w:val="NormalTok"/>
              </w:rPr>
              <w:t xml:space="preserve">)</w:t>
            </w:r>
          </w:p>
          <w:bookmarkEnd w:id="319"/>
        </w:tc>
      </w:tr>
    </w:tbl>
    <w:bookmarkStart w:id="320" w:name="tbl-beta-ame"/>
    <w:p>
      <w:pPr>
        <w:pStyle w:val="FigureTitle"/>
      </w:pPr>
      <w:r>
        <w:t xml:space="preserve">Table A3</w:t>
      </w:r>
    </w:p>
    <w:p>
      <w:pPr>
        <w:pStyle w:val="Caption"/>
      </w:pPr>
      <w:r>
        <w:t xml:space="preserve">Average marginal effect of fluency from the beta model</w:t>
      </w:r>
    </w:p>
    <w:tbl>
      <w:tblPr>
        <w:tblStyle w:val="Table"/>
        <w:tblW w:type="pct" w:w="4028"/>
        <w:tblLayout w:type="fixed"/>
        <w:tblLook w:firstRow="1" w:lastRow="0" w:firstColumn="0" w:lastColumn="0" w:noHBand="0" w:noVBand="0" w:val="0020"/>
      </w:tblPr>
      <w:tblGrid>
        <w:gridCol w:w="2310"/>
        <w:gridCol w:w="1210"/>
        <w:gridCol w:w="198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0.045</w:t>
            </w:r>
          </w:p>
        </w:tc>
        <w:tc>
          <w:tcPr/>
          <w:p>
            <w:pPr>
              <w:pStyle w:val="Compact"/>
            </w:pPr>
            <w:r>
              <w:t xml:space="preserve">[-0.028, 0.117]</w:t>
            </w:r>
          </w:p>
        </w:tc>
        <w:tc>
          <w:tcPr/>
          <w:p>
            <w:pPr>
              <w:pStyle w:val="Compact"/>
            </w:pPr>
            <w:r>
              <w:t xml:space="preserve">0.226</w:t>
            </w:r>
          </w:p>
        </w:tc>
      </w:tr>
    </w:tbl>
    <w:bookmarkEnd w:id="320"/>
    <w:bookmarkEnd w:id="321"/>
    <w:bookmarkEnd w:id="322"/>
    <w:bookmarkStart w:id="334" w:name="zero-inflated-beta-regression"/>
    <w:p>
      <w:pPr>
        <w:pStyle w:val="Heading2"/>
      </w:pPr>
      <w:r>
        <w:t xml:space="preserve">Zero-Inflated Beta Regression</w:t>
      </w:r>
    </w:p>
    <w:p>
      <w:pPr>
        <w:pStyle w:val="FirstParagraph"/>
      </w:pPr>
      <w:r>
        <w:t xml:space="preserve">The zero-inflated beta (ZIB) model accommodates exact zeros but not ones, so we drop only the ones from the data.</w:t>
      </w:r>
    </w:p>
    <w:tbl>
      <w:tblPr>
        <w:tblStyle w:val="Table"/>
        <w:tblW w:type="pct" w:w="5000"/>
        <w:tblLayout w:type="fixed"/>
        <w:tblLook w:firstRow="0" w:lastRow="0" w:firstColumn="0" w:lastColumn="0" w:noHBand="0" w:noVBand="0" w:val="0000"/>
      </w:tblPr>
      <w:tblGrid>
        <w:gridCol w:w="7920"/>
      </w:tblGrid>
      <w:tr>
        <w:tc>
          <w:tcPr/>
          <w:bookmarkStart w:id="323" w:name="lst-zofilter"/>
          <w:p>
            <w:pPr>
              <w:jc w:val="center"/>
            </w:pPr>
            <w:pPr>
              <w:jc w:val="start"/>
              <w:spacing w:before="200"/>
              <w:pStyle w:val="ImageCaption"/>
            </w:pPr>
            <w:r>
              <w:t xml:space="preserve">Listing 28: Filtering out ones for the ZIB model</w:t>
            </w:r>
          </w:p>
          <w:p>
            <w:pPr>
              <w:pStyle w:val="SourceCode"/>
              <w:jc w:val="center"/>
            </w:pP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p>
          <w:bookmarkEnd w:id="323"/>
        </w:tc>
      </w:tr>
    </w:tbl>
    <w:p>
      <w:pPr>
        <w:pStyle w:val="FirstParagraph"/>
      </w:pPr>
      <w:r>
        <w:t xml:space="preserve">In</w:t>
      </w:r>
      <w:r>
        <w:t xml:space="preserve"> </w:t>
      </w:r>
      <w:r>
        <w:rPr>
          <w:rStyle w:val="VerbatimChar"/>
        </w:rPr>
        <w:t xml:space="preserve">glmmTMB</w:t>
      </w:r>
      <w:r>
        <w:t xml:space="preserve"> </w:t>
      </w:r>
      <w:r>
        <w:t xml:space="preserve">the zero-inflation component is specified via the</w:t>
      </w:r>
      <w:r>
        <w:t xml:space="preserve"> </w:t>
      </w:r>
      <w:r>
        <w:rPr>
          <w:rStyle w:val="VerbatimChar"/>
        </w:rPr>
        <w:t xml:space="preserve">ziformula</w:t>
      </w:r>
      <w:r>
        <w:t xml:space="preserve"> </w:t>
      </w:r>
      <w:r>
        <w:t xml:space="preserve">argument (</w:t>
      </w:r>
      <w:hyperlink w:anchor="lst-zibmodel">
        <w:r>
          <w:rPr>
            <w:rStyle w:val="Hyperlink"/>
          </w:rPr>
          <w:t xml:space="preserve">Listing 29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lst-zibmodel"/>
          <w:p>
            <w:pPr>
              <w:jc w:val="center"/>
            </w:pPr>
            <w:pPr>
              <w:jc w:val="start"/>
              <w:spacing w:before="200"/>
              <w:pStyle w:val="ImageCaption"/>
            </w:pPr>
            <w:r>
              <w:t xml:space="preserve">Listing 29: Fitting the ZIB model</w:t>
            </w:r>
          </w:p>
          <w:p>
            <w:pPr>
              <w:pStyle w:val="SourceCode"/>
              <w:jc w:val="center"/>
            </w:pPr>
            <w:r>
              <w:rPr>
                <w:rStyle w:val="NormalTok"/>
              </w:rPr>
              <w:t xml:space="preserve">beta_model_0 </w:t>
            </w:r>
            <w:r>
              <w:rPr>
                <w:rStyle w:val="OtherTok"/>
              </w:rPr>
              <w:t xml:space="preserve">&lt;-</w:t>
            </w:r>
            <w:r>
              <w:rPr>
                <w:rStyle w:val="NormalTok"/>
              </w:rPr>
              <w:t xml:space="preserve"> </w:t>
            </w:r>
            <w:r>
              <w:rPr>
                <w:rStyle w:val="FunctionTok"/>
              </w:rPr>
              <w:t xml:space="preserve">glmmTMB</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disp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ziformula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family =</w:t>
            </w:r>
            <w:r>
              <w:rPr>
                <w:rStyle w:val="NormalTok"/>
              </w:rPr>
              <w:t xml:space="preserve"> </w:t>
            </w:r>
            <w:r>
              <w:rPr>
                <w:rStyle w:val="FunctionTok"/>
              </w:rPr>
              <w:t xml:space="preserve">beta_family</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p>
          <w:bookmarkEnd w:id="324"/>
        </w:tc>
      </w:tr>
    </w:tbl>
    <w:bookmarkStart w:id="326" w:name="model-parameters-3"/>
    <w:p>
      <w:pPr>
        <w:pStyle w:val="Heading3"/>
      </w:pPr>
      <w:r>
        <w:t xml:space="preserve">Model Parameters</w:t>
      </w:r>
    </w:p>
    <w:p>
      <w:pPr>
        <w:pStyle w:val="FirstParagraph"/>
      </w:pPr>
      <w:hyperlink w:anchor="tbl-zib-params">
        <w:r>
          <w:rPr>
            <w:rStyle w:val="Hyperlink"/>
          </w:rPr>
          <w:t xml:space="preserve">Table A4</w:t>
        </w:r>
      </w:hyperlink>
      <w:r>
        <w:t xml:space="preserve"> </w:t>
      </w:r>
      <w:r>
        <w:t xml:space="preserve">reports the full ZIB model summary. Conditional (</w:t>
      </w:r>
      <m:oMath>
        <m:r>
          <m:t>μ</m:t>
        </m:r>
      </m:oMath>
      <w:r>
        <w:t xml:space="preserve">) and zero-inflated (</w:t>
      </w:r>
      <m:oMath>
        <m:r>
          <m:t>α</m:t>
        </m:r>
      </m:oMath>
      <w:r>
        <w:t xml:space="preserve">) coefficients are on the logit scale; the dispersion (</w:t>
      </w:r>
      <m:oMath>
        <m:r>
          <m:t>ϕ</m:t>
        </m:r>
      </m:oMath>
      <w:r>
        <w:t xml:space="preserve">) coefficient is on the log scale.</w:t>
      </w:r>
    </w:p>
    <w:bookmarkStart w:id="325" w:name="tbl-zib-params"/>
    <w:p>
      <w:pPr>
        <w:pStyle w:val="FigureTitle"/>
      </w:pPr>
      <w:r>
        <w:t xml:space="preserve">Table A4</w:t>
      </w:r>
    </w:p>
    <w:p>
      <w:pPr>
        <w:pStyle w:val="Caption"/>
      </w:pPr>
      <w:r>
        <w:t xml:space="preserve">Parameter estimates for the zero-inflated beta regression model</w:t>
      </w:r>
    </w:p>
    <w:tbl>
      <w:tblPr>
        <w:tblStyle w:val="Table"/>
        <w:tblW w:type="pct" w:w="4737"/>
        <w:tblLayout w:type="fixed"/>
        <w:tblLook w:firstRow="1" w:lastRow="0" w:firstColumn="0" w:lastColumn="0" w:noHBand="0" w:noVBand="0" w:val="0020"/>
      </w:tblPr>
      <w:tblGrid>
        <w:gridCol w:w="1333"/>
        <w:gridCol w:w="1333"/>
        <w:gridCol w:w="1167"/>
        <w:gridCol w:w="666"/>
        <w:gridCol w:w="1584"/>
        <w:gridCol w:w="750"/>
        <w:gridCol w:w="666"/>
      </w:tblGrid>
      <w:tr>
        <w:trPr>
          <w:tblHeader w:val="on"/>
        </w:trPr>
        <w:tc>
          <w:tcPr/>
          <w:p>
            <w:pPr>
              <w:pStyle w:val="Compact"/>
            </w:pPr>
            <w:r>
              <w:t xml:space="preserve">Parameter</w:t>
            </w:r>
          </w:p>
        </w:tc>
        <w:tc>
          <w:tcPr/>
          <w:p>
            <w:pPr>
              <w:pStyle w:val="Compact"/>
            </w:pPr>
            <w:r>
              <w:t xml:space="preserve">Component</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conditional</w:t>
            </w:r>
          </w:p>
        </w:tc>
        <w:tc>
          <w:tcPr/>
          <w:p>
            <w:pPr>
              <w:pStyle w:val="Compact"/>
            </w:pPr>
            <w:r>
              <w:t xml:space="preserve">-0.835</w:t>
            </w:r>
          </w:p>
        </w:tc>
        <w:tc>
          <w:tcPr/>
          <w:p>
            <w:pPr>
              <w:pStyle w:val="Compact"/>
            </w:pPr>
            <w:r>
              <w:t xml:space="preserve">0.132</w:t>
            </w:r>
          </w:p>
        </w:tc>
        <w:tc>
          <w:tcPr/>
          <w:p>
            <w:pPr>
              <w:pStyle w:val="Compact"/>
            </w:pPr>
            <w:r>
              <w:t xml:space="preserve">[-1.095, -0.576]</w:t>
            </w:r>
          </w:p>
        </w:tc>
        <w:tc>
          <w:tcPr/>
          <w:p>
            <w:pPr>
              <w:pStyle w:val="Compact"/>
            </w:pPr>
            <w:r>
              <w:t xml:space="preserve">-6.306</w:t>
            </w:r>
          </w:p>
        </w:tc>
        <w:tc>
          <w:tcPr/>
          <w:p>
            <w:pPr>
              <w:pStyle w:val="Compact"/>
            </w:pPr>
            <w:r>
              <w:t xml:space="preserve">&lt;.001</w:t>
            </w:r>
          </w:p>
        </w:tc>
      </w:tr>
      <w:tr>
        <w:tc>
          <w:tcPr/>
          <w:p>
            <w:pPr>
              <w:pStyle w:val="Compact"/>
            </w:pPr>
            <w:r>
              <w:t xml:space="preserve">FluencyFluent</w:t>
            </w:r>
          </w:p>
        </w:tc>
        <w:tc>
          <w:tcPr/>
          <w:p>
            <w:pPr>
              <w:pStyle w:val="Compact"/>
            </w:pPr>
            <w:r>
              <w:t xml:space="preserve">conditional</w:t>
            </w:r>
          </w:p>
        </w:tc>
        <w:tc>
          <w:tcPr/>
          <w:p>
            <w:pPr>
              <w:pStyle w:val="Compact"/>
            </w:pPr>
            <w:r>
              <w:t xml:space="preserve">0.204</w:t>
            </w:r>
          </w:p>
        </w:tc>
        <w:tc>
          <w:tcPr/>
          <w:p>
            <w:pPr>
              <w:pStyle w:val="Compact"/>
            </w:pPr>
            <w:r>
              <w:t xml:space="preserve">0.170</w:t>
            </w:r>
          </w:p>
        </w:tc>
        <w:tc>
          <w:tcPr/>
          <w:p>
            <w:pPr>
              <w:pStyle w:val="Compact"/>
            </w:pPr>
            <w:r>
              <w:t xml:space="preserve">[-0.129, 0.538]</w:t>
            </w:r>
          </w:p>
        </w:tc>
        <w:tc>
          <w:tcPr/>
          <w:p>
            <w:pPr>
              <w:pStyle w:val="Compact"/>
            </w:pPr>
            <w:r>
              <w:t xml:space="preserve">1.201</w:t>
            </w:r>
          </w:p>
        </w:tc>
        <w:tc>
          <w:tcPr/>
          <w:p>
            <w:pPr>
              <w:pStyle w:val="Compact"/>
            </w:pPr>
            <w:r>
              <w:t xml:space="preserve">0.230</w:t>
            </w:r>
          </w:p>
        </w:tc>
      </w:tr>
      <w:tr>
        <w:tc>
          <w:tcPr/>
          <w:p>
            <w:pPr>
              <w:pStyle w:val="Compact"/>
            </w:pPr>
            <w:r>
              <w:t xml:space="preserve">(Intercept)</w:t>
            </w:r>
          </w:p>
        </w:tc>
        <w:tc>
          <w:tcPr/>
          <w:p>
            <w:pPr>
              <w:pStyle w:val="Compact"/>
            </w:pPr>
            <w:r>
              <w:t xml:space="preserve">zero_inflated</w:t>
            </w:r>
          </w:p>
        </w:tc>
        <w:tc>
          <w:tcPr/>
          <w:p>
            <w:pPr>
              <w:pStyle w:val="Compact"/>
            </w:pPr>
            <w:r>
              <w:t xml:space="preserve">-1.682</w:t>
            </w:r>
          </w:p>
        </w:tc>
        <w:tc>
          <w:tcPr/>
          <w:p>
            <w:pPr>
              <w:pStyle w:val="Compact"/>
            </w:pPr>
            <w:r>
              <w:t xml:space="preserve">0.385</w:t>
            </w:r>
          </w:p>
        </w:tc>
        <w:tc>
          <w:tcPr/>
          <w:p>
            <w:pPr>
              <w:pStyle w:val="Compact"/>
            </w:pPr>
            <w:r>
              <w:t xml:space="preserve">[-2.436, -0.927]</w:t>
            </w:r>
          </w:p>
        </w:tc>
        <w:tc>
          <w:tcPr/>
          <w:p>
            <w:pPr>
              <w:pStyle w:val="Compact"/>
            </w:pPr>
            <w:r>
              <w:t xml:space="preserve">-4.368</w:t>
            </w:r>
          </w:p>
        </w:tc>
        <w:tc>
          <w:tcPr/>
          <w:p>
            <w:pPr>
              <w:pStyle w:val="Compact"/>
            </w:pPr>
            <w:r>
              <w:t xml:space="preserve">&lt;.001</w:t>
            </w:r>
          </w:p>
        </w:tc>
      </w:tr>
      <w:tr>
        <w:tc>
          <w:tcPr/>
          <w:p>
            <w:pPr>
              <w:pStyle w:val="Compact"/>
            </w:pPr>
            <w:r>
              <w:t xml:space="preserve">FluencyFluent</w:t>
            </w:r>
          </w:p>
        </w:tc>
        <w:tc>
          <w:tcPr/>
          <w:p>
            <w:pPr>
              <w:pStyle w:val="Compact"/>
            </w:pPr>
            <w:r>
              <w:t xml:space="preserve">zero_inflated</w:t>
            </w:r>
          </w:p>
        </w:tc>
        <w:tc>
          <w:tcPr/>
          <w:p>
            <w:pPr>
              <w:pStyle w:val="Compact"/>
            </w:pPr>
            <w:r>
              <w:t xml:space="preserve">-2.079</w:t>
            </w:r>
          </w:p>
        </w:tc>
        <w:tc>
          <w:tcPr/>
          <w:p>
            <w:pPr>
              <w:pStyle w:val="Compact"/>
            </w:pPr>
            <w:r>
              <w:t xml:space="preserve">1.082</w:t>
            </w:r>
          </w:p>
        </w:tc>
        <w:tc>
          <w:tcPr/>
          <w:p>
            <w:pPr>
              <w:pStyle w:val="Compact"/>
            </w:pPr>
            <w:r>
              <w:t xml:space="preserve">[-4.201, 0.042]</w:t>
            </w:r>
          </w:p>
        </w:tc>
        <w:tc>
          <w:tcPr/>
          <w:p>
            <w:pPr>
              <w:pStyle w:val="Compact"/>
            </w:pPr>
            <w:r>
              <w:t xml:space="preserve">-1.921</w:t>
            </w:r>
          </w:p>
        </w:tc>
        <w:tc>
          <w:tcPr/>
          <w:p>
            <w:pPr>
              <w:pStyle w:val="Compact"/>
            </w:pPr>
            <w:r>
              <w:t xml:space="preserve">0.055</w:t>
            </w:r>
          </w:p>
        </w:tc>
      </w:tr>
      <w:tr>
        <w:tc>
          <w:tcPr/>
          <w:p>
            <w:pPr>
              <w:pStyle w:val="Compact"/>
            </w:pPr>
            <w:r>
              <w:t xml:space="preserve">(Intercept)</w:t>
            </w:r>
          </w:p>
        </w:tc>
        <w:tc>
          <w:tcPr/>
          <w:p>
            <w:pPr>
              <w:pStyle w:val="Compact"/>
            </w:pPr>
            <w:r>
              <w:t xml:space="preserve">dispersion</w:t>
            </w:r>
          </w:p>
        </w:tc>
        <w:tc>
          <w:tcPr/>
          <w:p>
            <w:pPr>
              <w:pStyle w:val="Compact"/>
            </w:pPr>
            <w:r>
              <w:t xml:space="preserve">1.640</w:t>
            </w:r>
          </w:p>
        </w:tc>
        <w:tc>
          <w:tcPr/>
          <w:p>
            <w:pPr>
              <w:pStyle w:val="Compact"/>
            </w:pPr>
            <w:r>
              <w:t xml:space="preserve">0.202</w:t>
            </w:r>
          </w:p>
        </w:tc>
        <w:tc>
          <w:tcPr/>
          <w:p>
            <w:pPr>
              <w:pStyle w:val="Compact"/>
            </w:pPr>
            <w:r>
              <w:t xml:space="preserve">[1.244, 2.037]</w:t>
            </w:r>
          </w:p>
        </w:tc>
        <w:tc>
          <w:tcPr/>
          <w:p>
            <w:pPr>
              <w:pStyle w:val="Compact"/>
            </w:pPr>
            <w:r>
              <w:t xml:space="preserve">8.110</w:t>
            </w:r>
          </w:p>
        </w:tc>
        <w:tc>
          <w:tcPr/>
          <w:p>
            <w:pPr>
              <w:pStyle w:val="Compact"/>
            </w:pPr>
            <w:r>
              <w:t xml:space="preserve">&lt;.001</w:t>
            </w:r>
          </w:p>
        </w:tc>
      </w:tr>
      <w:tr>
        <w:tc>
          <w:tcPr/>
          <w:p>
            <w:pPr>
              <w:pStyle w:val="Compact"/>
            </w:pPr>
            <w:r>
              <w:t xml:space="preserve">FluencyFluent</w:t>
            </w:r>
          </w:p>
        </w:tc>
        <w:tc>
          <w:tcPr/>
          <w:p>
            <w:pPr>
              <w:pStyle w:val="Compact"/>
            </w:pPr>
            <w:r>
              <w:t xml:space="preserve">dispersion</w:t>
            </w:r>
          </w:p>
        </w:tc>
        <w:tc>
          <w:tcPr/>
          <w:p>
            <w:pPr>
              <w:pStyle w:val="Compact"/>
            </w:pPr>
            <w:r>
              <w:t xml:space="preserve">0.430</w:t>
            </w:r>
          </w:p>
        </w:tc>
        <w:tc>
          <w:tcPr/>
          <w:p>
            <w:pPr>
              <w:pStyle w:val="Compact"/>
            </w:pPr>
            <w:r>
              <w:t xml:space="preserve">0.288</w:t>
            </w:r>
          </w:p>
        </w:tc>
        <w:tc>
          <w:tcPr/>
          <w:p>
            <w:pPr>
              <w:pStyle w:val="Compact"/>
            </w:pPr>
            <w:r>
              <w:t xml:space="preserve">[-0.134, 0.994]</w:t>
            </w:r>
          </w:p>
        </w:tc>
        <w:tc>
          <w:tcPr/>
          <w:p>
            <w:pPr>
              <w:pStyle w:val="Compact"/>
            </w:pPr>
            <w:r>
              <w:t xml:space="preserve">1.494</w:t>
            </w:r>
          </w:p>
        </w:tc>
        <w:tc>
          <w:tcPr/>
          <w:p>
            <w:pPr>
              <w:pStyle w:val="Compact"/>
            </w:pPr>
            <w:r>
              <w:t xml:space="preserve">0.135</w:t>
            </w:r>
          </w:p>
        </w:tc>
      </w:tr>
    </w:tbl>
    <w:bookmarkEnd w:id="325"/>
    <w:bookmarkEnd w:id="326"/>
    <w:bookmarkStart w:id="333" w:name="Xab4c9d669e7c01356b9310128fee5e327571161"/>
    <w:p>
      <w:pPr>
        <w:pStyle w:val="Heading3"/>
      </w:pPr>
      <w:r>
        <w:t xml:space="preserve">Predicted Probabilities and Marginal Effects</w:t>
      </w:r>
    </w:p>
    <w:p>
      <w:pPr>
        <w:pStyle w:val="FirstParagraph"/>
      </w:pPr>
      <w:r>
        <w:t xml:space="preserve">The ZIB model has three components, so we extract predictions and marginal effects for</w:t>
      </w:r>
      <w:r>
        <w:t xml:space="preserve"> </w:t>
      </w:r>
      <m:oMath>
        <m:r>
          <m:t>μ</m:t>
        </m:r>
      </m:oMath>
      <w:r>
        <w:t xml:space="preserve"> </w:t>
      </w:r>
      <w:r>
        <w:t xml:space="preserve">and</w:t>
      </w:r>
      <w:r>
        <w:t xml:space="preserve"> </w:t>
      </w:r>
      <m:oMath>
        <m:r>
          <m:t>α</m:t>
        </m:r>
      </m:oMath>
      <w:r>
        <w:t xml:space="preserve">.</w:t>
      </w:r>
      <w:r>
        <w:t xml:space="preserve"> </w:t>
      </w:r>
      <w:hyperlink w:anchor="lst-zib-preds">
        <w:r>
          <w:rPr>
            <w:rStyle w:val="Hyperlink"/>
          </w:rPr>
          <w:t xml:space="preserve">Listing 30</w:t>
        </w:r>
      </w:hyperlink>
      <w:r>
        <w:t xml:space="preserve"> </w:t>
      </w:r>
      <w:r>
        <w:t xml:space="preserve">shows how to obtain predicted probabilities for the conditional mean (</w:t>
      </w:r>
      <m:oMath>
        <m:r>
          <m:t>μ</m:t>
        </m:r>
      </m:oMath>
      <w:r>
        <w:t xml:space="preserve">) and the zero-inflation component (</w:t>
      </w:r>
      <w:r>
        <w:rPr>
          <w:rStyle w:val="VerbatimChar"/>
        </w:rPr>
        <w:t xml:space="preserve">type = "zprob"</w:t>
      </w:r>
      <w:r>
        <w:t xml:space="preserve">); results appear in</w:t>
      </w:r>
      <w:r>
        <w:t xml:space="preserve"> </w:t>
      </w:r>
      <w:hyperlink w:anchor="tbl-zib-preds-mu">
        <w:r>
          <w:rPr>
            <w:rStyle w:val="Hyperlink"/>
          </w:rPr>
          <w:t xml:space="preserve">Table A5</w:t>
        </w:r>
      </w:hyperlink>
      <w:r>
        <w:t xml:space="preserve"> </w:t>
      </w:r>
      <w:r>
        <w:t xml:space="preserve">and</w:t>
      </w:r>
      <w:r>
        <w:t xml:space="preserve"> </w:t>
      </w:r>
      <w:hyperlink w:anchor="tbl-zib-preds-zi">
        <w:r>
          <w:rPr>
            <w:rStyle w:val="Hyperlink"/>
          </w:rPr>
          <w:t xml:space="preserve">Table A6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lst-zib-preds"/>
          <w:p>
            <w:pPr>
              <w:jc w:val="center"/>
            </w:pPr>
            <w:pPr>
              <w:jc w:val="start"/>
              <w:spacing w:before="200"/>
              <w:pStyle w:val="ImageCaption"/>
            </w:pPr>
            <w:r>
              <w:t xml:space="preserve">Listing 30: Predicted probabilities for the ZIB model</w:t>
            </w:r>
          </w:p>
          <w:p>
            <w:pPr>
              <w:pStyle w:val="SourceCode"/>
              <w:jc w:val="center"/>
            </w:pPr>
            <w:r>
              <w:rPr>
                <w:rStyle w:val="CommentTok"/>
              </w:rPr>
              <w:t xml:space="preserve"># conditional mean</w:t>
            </w:r>
            <w:r>
              <w:br/>
            </w:r>
            <w:r>
              <w:rPr>
                <w:rStyle w:val="FunctionTok"/>
              </w:rPr>
              <w:t xml:space="preserve">avg_predictions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"conditional"</w:t>
            </w:r>
            <w:r>
              <w:rPr>
                <w:rStyle w:val="NormalTok"/>
              </w:rPr>
              <w:t xml:space="preserve">)</w:t>
            </w:r>
            <w:r>
              <w:br/>
            </w:r>
            <w:r>
              <w:br/>
            </w:r>
            <w:r>
              <w:rPr>
                <w:rStyle w:val="CommentTok"/>
              </w:rPr>
              <w:t xml:space="preserve"># zero-inflation component</w:t>
            </w:r>
            <w:r>
              <w:br/>
            </w:r>
            <w:r>
              <w:rPr>
                <w:rStyle w:val="FunctionTok"/>
              </w:rPr>
              <w:t xml:space="preserve">avg_predictions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"zprob"</w:t>
            </w:r>
            <w:r>
              <w:rPr>
                <w:rStyle w:val="NormalTok"/>
              </w:rPr>
              <w:t xml:space="preserve">)</w:t>
            </w:r>
          </w:p>
          <w:bookmarkEnd w:id="327"/>
        </w:tc>
      </w:tr>
    </w:tbl>
    <w:bookmarkStart w:id="328" w:name="tbl-zib-preds-mu"/>
    <w:p>
      <w:pPr>
        <w:pStyle w:val="FigureTitle"/>
      </w:pPr>
      <w:r>
        <w:t xml:space="preserve">Table A5</w:t>
      </w:r>
    </w:p>
    <w:p>
      <w:pPr>
        <w:pStyle w:val="Caption"/>
      </w:pPr>
      <w:r>
        <w:t xml:space="preserve">Predicted probabilities (</w:t>
      </w:r>
      <m:oMath>
        <m:r>
          <m:t>μ</m:t>
        </m:r>
      </m:oMath>
      <w:r>
        <w:t xml:space="preserve">) by fluency from the ZIB model</w:t>
      </w:r>
    </w:p>
    <w:tbl>
      <w:tblPr>
        <w:tblStyle w:val="Table"/>
        <w:tblW w:type="pct" w:w="3125"/>
        <w:tblLayout w:type="fixed"/>
        <w:tblLook w:firstRow="1" w:lastRow="0" w:firstColumn="0" w:lastColumn="0" w:noHBand="0" w:noVBand="0" w:val="0020"/>
      </w:tblPr>
      <w:tblGrid>
        <w:gridCol w:w="1320"/>
        <w:gridCol w:w="880"/>
        <w:gridCol w:w="187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0.303</w:t>
            </w:r>
          </w:p>
        </w:tc>
        <w:tc>
          <w:tcPr/>
          <w:p>
            <w:pPr>
              <w:pStyle w:val="Compact"/>
            </w:pPr>
            <w:r>
              <w:t xml:space="preserve">[0.248, 0.357]</w:t>
            </w:r>
          </w:p>
        </w:tc>
        <w:tc>
          <w:tcPr/>
          <w:p>
            <w:pPr>
              <w:pStyle w:val="Compact"/>
            </w:pPr>
            <w:r>
              <w:t xml:space="preserve">&lt;.001</w:t>
            </w:r>
          </w:p>
        </w:tc>
      </w:tr>
      <w:tr>
        <w:tc>
          <w:tcPr/>
          <w:p>
            <w:pPr>
              <w:pStyle w:val="Compact"/>
            </w:pPr>
            <w:r>
              <w:t xml:space="preserve">Fluent</w:t>
            </w:r>
          </w:p>
        </w:tc>
        <w:tc>
          <w:tcPr/>
          <w:p>
            <w:pPr>
              <w:pStyle w:val="Compact"/>
            </w:pPr>
            <w:r>
              <w:t xml:space="preserve">0.347</w:t>
            </w:r>
          </w:p>
        </w:tc>
        <w:tc>
          <w:tcPr/>
          <w:p>
            <w:pPr>
              <w:pStyle w:val="Compact"/>
            </w:pPr>
            <w:r>
              <w:t xml:space="preserve">[0.3, 0.395]</w:t>
            </w:r>
          </w:p>
        </w:tc>
        <w:tc>
          <w:tcPr/>
          <w:p>
            <w:pPr>
              <w:pStyle w:val="Compact"/>
            </w:pPr>
            <w:r>
              <w:t xml:space="preserve">&lt;.001</w:t>
            </w:r>
          </w:p>
        </w:tc>
      </w:tr>
    </w:tbl>
    <w:bookmarkEnd w:id="328"/>
    <w:p>
      <w:pPr>
        <w:pStyle w:val="AfterWithoutNote"/>
      </w:pPr>
      <w:r>
        <w:t xml:space="preserve"> </w:t>
      </w:r>
    </w:p>
    <w:bookmarkStart w:id="329" w:name="tbl-zib-preds-zi"/>
    <w:p>
      <w:pPr>
        <w:pStyle w:val="FigureTitle"/>
      </w:pPr>
      <w:r>
        <w:t xml:space="preserve">Table A6</w:t>
      </w:r>
    </w:p>
    <w:p>
      <w:pPr>
        <w:pStyle w:val="Caption"/>
      </w:pPr>
      <w:r>
        <w:t xml:space="preserve">Predicted zero-inflation probabilities by fluency from the ZIB model</w:t>
      </w:r>
    </w:p>
    <w:tbl>
      <w:tblPr>
        <w:tblStyle w:val="Table"/>
        <w:tblW w:type="pct" w:w="3194"/>
        <w:tblLayout w:type="fixed"/>
        <w:tblLook w:firstRow="1" w:lastRow="0" w:firstColumn="0" w:lastColumn="0" w:noHBand="0" w:noVBand="0" w:val="0020"/>
      </w:tblPr>
      <w:tblGrid>
        <w:gridCol w:w="1320"/>
        <w:gridCol w:w="880"/>
        <w:gridCol w:w="198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0.157</w:t>
            </w:r>
          </w:p>
        </w:tc>
        <w:tc>
          <w:tcPr/>
          <w:p>
            <w:pPr>
              <w:pStyle w:val="Compact"/>
            </w:pPr>
            <w:r>
              <w:t xml:space="preserve">[0.057, 0.257]</w:t>
            </w:r>
          </w:p>
        </w:tc>
        <w:tc>
          <w:tcPr/>
          <w:p>
            <w:pPr>
              <w:pStyle w:val="Compact"/>
            </w:pPr>
            <w:r>
              <w:t xml:space="preserve">0.002</w:t>
            </w:r>
          </w:p>
        </w:tc>
      </w:tr>
      <w:tr>
        <w:tc>
          <w:tcPr/>
          <w:p>
            <w:pPr>
              <w:pStyle w:val="Compact"/>
            </w:pPr>
            <w:r>
              <w:t xml:space="preserve">Fluent</w:t>
            </w:r>
          </w:p>
        </w:tc>
        <w:tc>
          <w:tcPr/>
          <w:p>
            <w:pPr>
              <w:pStyle w:val="Compact"/>
            </w:pPr>
            <w:r>
              <w:t xml:space="preserve">0.023</w:t>
            </w:r>
          </w:p>
        </w:tc>
        <w:tc>
          <w:tcPr/>
          <w:p>
            <w:pPr>
              <w:pStyle w:val="Compact"/>
            </w:pPr>
            <w:r>
              <w:t xml:space="preserve">[-0.021, 0.067]</w:t>
            </w:r>
          </w:p>
        </w:tc>
        <w:tc>
          <w:tcPr/>
          <w:p>
            <w:pPr>
              <w:pStyle w:val="Compact"/>
            </w:pPr>
            <w:r>
              <w:t xml:space="preserve">0.312</w:t>
            </w:r>
          </w:p>
        </w:tc>
      </w:tr>
    </w:tbl>
    <w:bookmarkEnd w:id="329"/>
    <w:p>
      <w:pPr>
        <w:pStyle w:val="AfterWithoutNote"/>
      </w:pPr>
      <w:r>
        <w:t xml:space="preserve">Average marginal effects for both components are computed analogously (</w:t>
      </w:r>
      <w:hyperlink w:anchor="lst-zib-ame">
        <w:r>
          <w:rPr>
            <w:rStyle w:val="Hyperlink"/>
          </w:rPr>
          <w:t xml:space="preserve">Listing 31</w:t>
        </w:r>
      </w:hyperlink>
      <w:r>
        <w:t xml:space="preserve">); results are reported in</w:t>
      </w:r>
      <w:r>
        <w:t xml:space="preserve"> </w:t>
      </w:r>
      <w:hyperlink w:anchor="tbl-zib-ame-mu">
        <w:r>
          <w:rPr>
            <w:rStyle w:val="Hyperlink"/>
          </w:rPr>
          <w:t xml:space="preserve">Table A7</w:t>
        </w:r>
      </w:hyperlink>
      <w:r>
        <w:t xml:space="preserve"> </w:t>
      </w:r>
      <w:r>
        <w:t xml:space="preserve">and</w:t>
      </w:r>
      <w:r>
        <w:t xml:space="preserve"> </w:t>
      </w:r>
      <w:hyperlink w:anchor="tbl-zib-ame-zi">
        <w:r>
          <w:rPr>
            <w:rStyle w:val="Hyperlink"/>
          </w:rPr>
          <w:t xml:space="preserve">Table A8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0" w:name="lst-zib-ame"/>
          <w:p>
            <w:pPr>
              <w:jc w:val="center"/>
            </w:pPr>
            <w:pPr>
              <w:jc w:val="start"/>
              <w:spacing w:before="200"/>
              <w:pStyle w:val="ImageCaption"/>
            </w:pPr>
            <w:r>
              <w:t xml:space="preserve">Listing 31: AMEs for the ZIB model</w:t>
            </w:r>
          </w:p>
          <w:p>
            <w:pPr>
              <w:pStyle w:val="SourceCode"/>
              <w:jc w:val="center"/>
            </w:pPr>
            <w:r>
              <w:rPr>
                <w:rStyle w:val="CommentTok"/>
              </w:rPr>
              <w:t xml:space="preserve"># AME on the conditional mean</w:t>
            </w:r>
            <w:r>
              <w:br/>
            </w:r>
            <w:r>
              <w:rPr>
                <w:rStyle w:val="FunctionTok"/>
              </w:rPr>
              <w:t xml:space="preserve">avg_comparisons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"conditional"</w:t>
            </w:r>
            <w:r>
              <w:rPr>
                <w:rStyle w:val="NormalTok"/>
              </w:rPr>
              <w:t xml:space="preserve">)</w:t>
            </w:r>
            <w:r>
              <w:br/>
            </w:r>
            <w:r>
              <w:br/>
            </w:r>
            <w:r>
              <w:rPr>
                <w:rStyle w:val="CommentTok"/>
              </w:rPr>
              <w:t xml:space="preserve"># AME on the zero-inflation component</w:t>
            </w:r>
            <w:r>
              <w:br/>
            </w:r>
            <w:r>
              <w:rPr>
                <w:rStyle w:val="FunctionTok"/>
              </w:rPr>
              <w:t xml:space="preserve">avg_comparisons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"zprob"</w:t>
            </w:r>
            <w:r>
              <w:rPr>
                <w:rStyle w:val="NormalTok"/>
              </w:rPr>
              <w:t xml:space="preserve">)</w:t>
            </w:r>
          </w:p>
          <w:bookmarkEnd w:id="330"/>
        </w:tc>
      </w:tr>
    </w:tbl>
    <w:bookmarkStart w:id="331" w:name="tbl-zib-ame-mu"/>
    <w:p>
      <w:pPr>
        <w:pStyle w:val="FigureTitle"/>
      </w:pPr>
      <w:r>
        <w:t xml:space="preserve">Table A7</w:t>
      </w:r>
    </w:p>
    <w:p>
      <w:pPr>
        <w:pStyle w:val="Caption"/>
      </w:pPr>
      <w:r>
        <w:t xml:space="preserve">AME (</w:t>
      </w:r>
      <m:oMath>
        <m:r>
          <m:t>μ</m:t>
        </m:r>
      </m:oMath>
      <w:r>
        <w:t xml:space="preserve">) of fluency from the ZIB model</w:t>
      </w:r>
    </w:p>
    <w:tbl>
      <w:tblPr>
        <w:tblStyle w:val="Table"/>
        <w:tblW w:type="pct" w:w="4028"/>
        <w:tblLayout w:type="fixed"/>
        <w:tblLook w:firstRow="1" w:lastRow="0" w:firstColumn="0" w:lastColumn="0" w:noHBand="0" w:noVBand="0" w:val="0020"/>
      </w:tblPr>
      <w:tblGrid>
        <w:gridCol w:w="2310"/>
        <w:gridCol w:w="1210"/>
        <w:gridCol w:w="198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0.045</w:t>
            </w:r>
          </w:p>
        </w:tc>
        <w:tc>
          <w:tcPr/>
          <w:p>
            <w:pPr>
              <w:pStyle w:val="Compact"/>
            </w:pPr>
            <w:r>
              <w:t xml:space="preserve">[-0.028, 0.117]</w:t>
            </w:r>
          </w:p>
        </w:tc>
        <w:tc>
          <w:tcPr/>
          <w:p>
            <w:pPr>
              <w:pStyle w:val="Compact"/>
            </w:pPr>
            <w:r>
              <w:t xml:space="preserve">0.226</w:t>
            </w:r>
          </w:p>
        </w:tc>
      </w:tr>
    </w:tbl>
    <w:bookmarkEnd w:id="331"/>
    <w:p>
      <w:pPr>
        <w:pStyle w:val="AfterWithoutNote"/>
      </w:pPr>
      <w:r>
        <w:t xml:space="preserve"> </w:t>
      </w:r>
    </w:p>
    <w:bookmarkStart w:id="332" w:name="tbl-zib-ame-zi"/>
    <w:p>
      <w:pPr>
        <w:pStyle w:val="FigureTitle"/>
      </w:pPr>
      <w:r>
        <w:t xml:space="preserve">Table A8</w:t>
      </w:r>
    </w:p>
    <w:p>
      <w:pPr>
        <w:pStyle w:val="Caption"/>
      </w:pPr>
      <w:r>
        <w:t xml:space="preserve">AME (zero-inflation) of fluency from the ZIB model</w:t>
      </w:r>
    </w:p>
    <w:tbl>
      <w:tblPr>
        <w:tblStyle w:val="Table"/>
        <w:tblW w:type="pct" w:w="4097"/>
        <w:tblLayout w:type="fixed"/>
        <w:tblLook w:firstRow="1" w:lastRow="0" w:firstColumn="0" w:lastColumn="0" w:noHBand="0" w:noVBand="0" w:val="0020"/>
      </w:tblPr>
      <w:tblGrid>
        <w:gridCol w:w="2310"/>
        <w:gridCol w:w="1210"/>
        <w:gridCol w:w="209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-0.134</w:t>
            </w:r>
          </w:p>
        </w:tc>
        <w:tc>
          <w:tcPr/>
          <w:p>
            <w:pPr>
              <w:pStyle w:val="Compact"/>
            </w:pPr>
            <w:r>
              <w:t xml:space="preserve">[-0.243, -0.025]</w:t>
            </w:r>
          </w:p>
        </w:tc>
        <w:tc>
          <w:tcPr/>
          <w:p>
            <w:pPr>
              <w:pStyle w:val="Compact"/>
            </w:pPr>
            <w:r>
              <w:t xml:space="preserve">0.016</w:t>
            </w:r>
          </w:p>
        </w:tc>
      </w:tr>
    </w:tbl>
    <w:bookmarkEnd w:id="332"/>
    <w:bookmarkEnd w:id="333"/>
    <w:bookmarkEnd w:id="334"/>
    <w:bookmarkStart w:id="335" w:name="zero-one-inflated-beta-regression"/>
    <w:p>
      <w:pPr>
        <w:pStyle w:val="Heading2"/>
      </w:pPr>
      <w:r>
        <w:t xml:space="preserve">Zero-One-Inflated Beta Regression</w:t>
      </w:r>
    </w:p>
    <w:p>
      <w:pPr>
        <w:pStyle w:val="FirstParagraph"/>
      </w:pPr>
      <w:r>
        <w:t xml:space="preserve">No frequentist packages currently fit this model. See the main article for a Bayesian implementation.</w:t>
      </w:r>
    </w:p>
    <w:bookmarkEnd w:id="335"/>
    <w:bookmarkStart w:id="343" w:name="ordered-beta-regression-2"/>
    <w:p>
      <w:pPr>
        <w:pStyle w:val="Heading2"/>
      </w:pPr>
      <w:r>
        <w:t xml:space="preserve">Ordered Beta Regression</w:t>
      </w:r>
    </w:p>
    <w:p>
      <w:pPr>
        <w:pStyle w:val="FirstParagraph"/>
      </w:pPr>
      <w:r>
        <w:t xml:space="preserve">Ordered beta regression accommodates boundary values (0 and 1) directly without removal or transformation, and is fit using</w:t>
      </w:r>
      <w:r>
        <w:t xml:space="preserve"> </w:t>
      </w:r>
      <w:r>
        <w:rPr>
          <w:rStyle w:val="VerbatimChar"/>
        </w:rPr>
        <w:t xml:space="preserve">family = ordbeta</w:t>
      </w:r>
      <w:r>
        <w:t xml:space="preserve"> </w:t>
      </w:r>
      <w:r>
        <w:t xml:space="preserve">in</w:t>
      </w:r>
      <w:r>
        <w:t xml:space="preserve"> </w:t>
      </w:r>
      <w:r>
        <w:rPr>
          <w:rStyle w:val="VerbatimChar"/>
        </w:rPr>
        <w:t xml:space="preserve">glmmTMB</w:t>
      </w:r>
      <w:r>
        <w:t xml:space="preserve">. As before, we can allow</w:t>
      </w:r>
      <w:r>
        <w:t xml:space="preserve"> </w:t>
      </w:r>
      <m:oMath>
        <m:r>
          <m:t>ϕ</m:t>
        </m:r>
      </m:oMath>
      <w:r>
        <w:t xml:space="preserve"> </w:t>
      </w:r>
      <w:r>
        <w:t xml:space="preserve">to vary by fluency (see</w:t>
      </w:r>
      <w:r>
        <w:t xml:space="preserve"> </w:t>
      </w:r>
      <w:hyperlink w:anchor="lst-ordbeta-disp">
        <w:r>
          <w:rPr>
            <w:rStyle w:val="Hyperlink"/>
          </w:rPr>
          <w:t xml:space="preserve">Listing 32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6" w:name="lst-ordbeta-disp"/>
          <w:p>
            <w:pPr>
              <w:jc w:val="center"/>
            </w:pPr>
            <w:pPr>
              <w:jc w:val="start"/>
              <w:spacing w:before="200"/>
              <w:pStyle w:val="ImageCaption"/>
            </w:pPr>
            <w:r>
              <w:t xml:space="preserve">Listing 32: Fitting ordered beta regression using {glmmTMB}</w:t>
            </w:r>
          </w:p>
          <w:p>
            <w:pPr>
              <w:pStyle w:val="SourceCode"/>
              <w:jc w:val="center"/>
            </w:pPr>
            <w:r>
              <w:rPr>
                <w:rStyle w:val="NormalTok"/>
              </w:rPr>
              <w:t xml:space="preserve">ord_fit_dis </w:t>
            </w:r>
            <w:r>
              <w:rPr>
                <w:rStyle w:val="OtherTok"/>
              </w:rPr>
              <w:t xml:space="preserve">&lt;-</w:t>
            </w:r>
            <w:r>
              <w:rPr>
                <w:rStyle w:val="NormalTok"/>
              </w:rPr>
              <w:t xml:space="preserve"> </w:t>
            </w:r>
            <w:r>
              <w:rPr>
                <w:rStyle w:val="FunctionTok"/>
              </w:rPr>
              <w:t xml:space="preserve">glmmTMB</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disp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ordbeta</w:t>
            </w:r>
            <w:r>
              <w:br/>
            </w:r>
            <w:r>
              <w:rPr>
                <w:rStyle w:val="NormalTok"/>
              </w:rPr>
              <w:t xml:space="preserve">)</w:t>
            </w:r>
          </w:p>
          <w:bookmarkEnd w:id="336"/>
        </w:tc>
      </w:tr>
    </w:tbl>
    <w:bookmarkStart w:id="338" w:name="model-parameters-4"/>
    <w:p>
      <w:pPr>
        <w:pStyle w:val="Heading3"/>
      </w:pPr>
      <w:r>
        <w:t xml:space="preserve">Model Parameters</w:t>
      </w:r>
    </w:p>
    <w:p>
      <w:pPr>
        <w:pStyle w:val="FirstParagraph"/>
      </w:pPr>
      <w:hyperlink w:anchor="tbl-ordbeta-disp-params">
        <w:r>
          <w:rPr>
            <w:rStyle w:val="Hyperlink"/>
          </w:rPr>
          <w:t xml:space="preserve">Table A9</w:t>
        </w:r>
      </w:hyperlink>
      <w:r>
        <w:t xml:space="preserve"> </w:t>
      </w:r>
      <w:r>
        <w:t xml:space="preserve">reports parameter estimates for the ordered beta model with</w:t>
      </w:r>
      <w:r>
        <w:t xml:space="preserve"> </w:t>
      </w:r>
      <m:oMath>
        <m:r>
          <m:t>ϕ</m:t>
        </m:r>
      </m:oMath>
      <w:r>
        <w:t xml:space="preserve"> </w:t>
      </w:r>
      <w:r>
        <w:t xml:space="preserve">modeled by fluency. Conditional coefficients are on the logit scale.</w:t>
      </w:r>
    </w:p>
    <w:bookmarkStart w:id="337" w:name="tbl-ordbeta-disp-params"/>
    <w:p>
      <w:pPr>
        <w:pStyle w:val="FigureTitle"/>
      </w:pPr>
      <w:r>
        <w:t xml:space="preserve">Table A9</w:t>
      </w:r>
    </w:p>
    <w:p>
      <w:pPr>
        <w:pStyle w:val="Caption"/>
      </w:pPr>
      <w:r>
        <w:t xml:space="preserve">Parameter estimates for the ordered beta regression model with</w:t>
      </w:r>
      <w:r>
        <w:t xml:space="preserve"> </w:t>
      </w:r>
      <m:oMath>
        <m:r>
          <m:t>ϕ</m:t>
        </m:r>
      </m:oMath>
      <w:r>
        <w:t xml:space="preserve"> </w:t>
      </w:r>
      <w:r>
        <w:t xml:space="preserve">modeled by fluency</w:t>
      </w:r>
    </w:p>
    <w:tbl>
      <w:tblPr>
        <w:tblStyle w:val="Table"/>
        <w:tblW w:type="pct" w:w="4731"/>
        <w:tblLayout w:type="fixed"/>
        <w:tblLook w:firstRow="1" w:lastRow="0" w:firstColumn="0" w:lastColumn="0" w:noHBand="0" w:noVBand="0" w:val="0020"/>
      </w:tblPr>
      <w:tblGrid>
        <w:gridCol w:w="1362"/>
        <w:gridCol w:w="1192"/>
        <w:gridCol w:w="1192"/>
        <w:gridCol w:w="681"/>
        <w:gridCol w:w="1618"/>
        <w:gridCol w:w="766"/>
        <w:gridCol w:w="681"/>
      </w:tblGrid>
      <w:tr>
        <w:trPr>
          <w:tblHeader w:val="on"/>
        </w:trPr>
        <w:tc>
          <w:tcPr/>
          <w:p>
            <w:pPr>
              <w:pStyle w:val="Compact"/>
            </w:pPr>
            <w:r>
              <w:t xml:space="preserve">Parameter</w:t>
            </w:r>
          </w:p>
        </w:tc>
        <w:tc>
          <w:tcPr/>
          <w:p>
            <w:pPr>
              <w:pStyle w:val="Compact"/>
            </w:pPr>
            <w:r>
              <w:t xml:space="preserve">Component</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conditional</w:t>
            </w:r>
          </w:p>
        </w:tc>
        <w:tc>
          <w:tcPr/>
          <w:p>
            <w:pPr>
              <w:pStyle w:val="Compact"/>
            </w:pPr>
            <w:r>
              <w:t xml:space="preserve">-0.872</w:t>
            </w:r>
          </w:p>
        </w:tc>
        <w:tc>
          <w:tcPr/>
          <w:p>
            <w:pPr>
              <w:pStyle w:val="Compact"/>
            </w:pPr>
            <w:r>
              <w:t xml:space="preserve">0.129</w:t>
            </w:r>
          </w:p>
        </w:tc>
        <w:tc>
          <w:tcPr/>
          <w:p>
            <w:pPr>
              <w:pStyle w:val="Compact"/>
            </w:pPr>
            <w:r>
              <w:t xml:space="preserve">[-1.126, -0.618]</w:t>
            </w:r>
          </w:p>
        </w:tc>
        <w:tc>
          <w:tcPr/>
          <w:p>
            <w:pPr>
              <w:pStyle w:val="Compact"/>
            </w:pPr>
            <w:r>
              <w:t xml:space="preserve">-6.735</w:t>
            </w:r>
          </w:p>
        </w:tc>
        <w:tc>
          <w:tcPr/>
          <w:p>
            <w:pPr>
              <w:pStyle w:val="Compact"/>
            </w:pPr>
            <w:r>
              <w:t xml:space="preserve">&lt;.001</w:t>
            </w:r>
          </w:p>
        </w:tc>
      </w:tr>
      <w:tr>
        <w:tc>
          <w:tcPr/>
          <w:p>
            <w:pPr>
              <w:pStyle w:val="Compact"/>
            </w:pPr>
            <w:r>
              <w:t xml:space="preserve">FluencyFluent</w:t>
            </w:r>
          </w:p>
        </w:tc>
        <w:tc>
          <w:tcPr/>
          <w:p>
            <w:pPr>
              <w:pStyle w:val="Compact"/>
            </w:pPr>
            <w:r>
              <w:t xml:space="preserve">conditional</w:t>
            </w:r>
          </w:p>
        </w:tc>
        <w:tc>
          <w:tcPr/>
          <w:p>
            <w:pPr>
              <w:pStyle w:val="Compact"/>
            </w:pPr>
            <w:r>
              <w:t xml:space="preserve">0.265</w:t>
            </w:r>
          </w:p>
        </w:tc>
        <w:tc>
          <w:tcPr/>
          <w:p>
            <w:pPr>
              <w:pStyle w:val="Compact"/>
            </w:pPr>
            <w:r>
              <w:t xml:space="preserve">0.165</w:t>
            </w:r>
          </w:p>
        </w:tc>
        <w:tc>
          <w:tcPr/>
          <w:p>
            <w:pPr>
              <w:pStyle w:val="Compact"/>
            </w:pPr>
            <w:r>
              <w:t xml:space="preserve">[-0.058, 0.588]</w:t>
            </w:r>
          </w:p>
        </w:tc>
        <w:tc>
          <w:tcPr/>
          <w:p>
            <w:pPr>
              <w:pStyle w:val="Compact"/>
            </w:pPr>
            <w:r>
              <w:t xml:space="preserve">1.607</w:t>
            </w:r>
          </w:p>
        </w:tc>
        <w:tc>
          <w:tcPr/>
          <w:p>
            <w:pPr>
              <w:pStyle w:val="Compact"/>
            </w:pPr>
            <w:r>
              <w:t xml:space="preserve">0.108</w:t>
            </w:r>
          </w:p>
        </w:tc>
      </w:tr>
      <w:tr>
        <w:tc>
          <w:tcPr/>
          <w:p>
            <w:pPr>
              <w:pStyle w:val="Compact"/>
            </w:pPr>
            <w:r>
              <w:t xml:space="preserve">(Intercept)</w:t>
            </w:r>
          </w:p>
        </w:tc>
        <w:tc>
          <w:tcPr/>
          <w:p>
            <w:pPr>
              <w:pStyle w:val="Compact"/>
            </w:pPr>
            <w:r>
              <w:t xml:space="preserve">dispersion</w:t>
            </w:r>
          </w:p>
        </w:tc>
        <w:tc>
          <w:tcPr/>
          <w:p>
            <w:pPr>
              <w:pStyle w:val="Compact"/>
            </w:pPr>
            <w:r>
              <w:t xml:space="preserve">1.654</w:t>
            </w:r>
          </w:p>
        </w:tc>
        <w:tc>
          <w:tcPr/>
          <w:p>
            <w:pPr>
              <w:pStyle w:val="Compact"/>
            </w:pPr>
            <w:r>
              <w:t xml:space="preserve">0.200</w:t>
            </w:r>
          </w:p>
        </w:tc>
        <w:tc>
          <w:tcPr/>
          <w:p>
            <w:pPr>
              <w:pStyle w:val="Compact"/>
            </w:pPr>
            <w:r>
              <w:t xml:space="preserve">[1.262, 2.046]</w:t>
            </w:r>
          </w:p>
        </w:tc>
        <w:tc>
          <w:tcPr/>
          <w:p>
            <w:pPr>
              <w:pStyle w:val="Compact"/>
            </w:pPr>
            <w:r>
              <w:t xml:space="preserve">8.277</w:t>
            </w:r>
          </w:p>
        </w:tc>
        <w:tc>
          <w:tcPr/>
          <w:p>
            <w:pPr>
              <w:pStyle w:val="Compact"/>
            </w:pPr>
            <w:r>
              <w:t xml:space="preserve">&lt;.001</w:t>
            </w:r>
          </w:p>
        </w:tc>
      </w:tr>
      <w:tr>
        <w:tc>
          <w:tcPr/>
          <w:p>
            <w:pPr>
              <w:pStyle w:val="Compact"/>
            </w:pPr>
            <w:r>
              <w:t xml:space="preserve">FluencyFluent</w:t>
            </w:r>
          </w:p>
        </w:tc>
        <w:tc>
          <w:tcPr/>
          <w:p>
            <w:pPr>
              <w:pStyle w:val="Compact"/>
            </w:pPr>
            <w:r>
              <w:t xml:space="preserve">dispersion</w:t>
            </w:r>
          </w:p>
        </w:tc>
        <w:tc>
          <w:tcPr/>
          <w:p>
            <w:pPr>
              <w:pStyle w:val="Compact"/>
            </w:pPr>
            <w:r>
              <w:t xml:space="preserve">0.408</w:t>
            </w:r>
          </w:p>
        </w:tc>
        <w:tc>
          <w:tcPr/>
          <w:p>
            <w:pPr>
              <w:pStyle w:val="Compact"/>
            </w:pPr>
            <w:r>
              <w:t xml:space="preserve">0.287</w:t>
            </w:r>
          </w:p>
        </w:tc>
        <w:tc>
          <w:tcPr/>
          <w:p>
            <w:pPr>
              <w:pStyle w:val="Compact"/>
            </w:pPr>
            <w:r>
              <w:t xml:space="preserve">[-0.155, 0.97]</w:t>
            </w:r>
          </w:p>
        </w:tc>
        <w:tc>
          <w:tcPr/>
          <w:p>
            <w:pPr>
              <w:pStyle w:val="Compact"/>
            </w:pPr>
            <w:r>
              <w:t xml:space="preserve">1.421</w:t>
            </w:r>
          </w:p>
        </w:tc>
        <w:tc>
          <w:tcPr/>
          <w:p>
            <w:pPr>
              <w:pStyle w:val="Compact"/>
            </w:pPr>
            <w:r>
              <w:t xml:space="preserve">0.155</w:t>
            </w:r>
          </w:p>
        </w:tc>
      </w:tr>
    </w:tbl>
    <w:bookmarkEnd w:id="337"/>
    <w:bookmarkEnd w:id="338"/>
    <w:bookmarkStart w:id="342" w:name="Xf60d4294d5439a872b0600123d8bd4a6ce56cae"/>
    <w:p>
      <w:pPr>
        <w:pStyle w:val="Heading3"/>
      </w:pPr>
      <w:r>
        <w:t xml:space="preserve">Predicted Probabilities and Marginal Effects</w:t>
      </w:r>
    </w:p>
    <w:p>
      <w:pPr>
        <w:pStyle w:val="FirstParagraph"/>
      </w:pPr>
      <w:hyperlink w:anchor="lst-ord-preds">
        <w:r>
          <w:rPr>
            <w:rStyle w:val="Hyperlink"/>
          </w:rPr>
          <w:t xml:space="preserve">Listing 33</w:t>
        </w:r>
      </w:hyperlink>
      <w:r>
        <w:t xml:space="preserve"> </w:t>
      </w:r>
      <w:r>
        <w:t xml:space="preserve">shows how to obtain predicted probabilities and AMEs for the ordered beta model; results are reported in</w:t>
      </w:r>
      <w:r>
        <w:t xml:space="preserve"> </w:t>
      </w:r>
      <w:hyperlink w:anchor="tbl-ord-preds">
        <w:r>
          <w:rPr>
            <w:rStyle w:val="Hyperlink"/>
          </w:rPr>
          <w:t xml:space="preserve">Table A10</w:t>
        </w:r>
      </w:hyperlink>
      <w:r>
        <w:t xml:space="preserve"> </w:t>
      </w:r>
      <w:r>
        <w:t xml:space="preserve">and</w:t>
      </w:r>
      <w:r>
        <w:t xml:space="preserve"> </w:t>
      </w:r>
      <w:hyperlink w:anchor="tbl-ord-ame">
        <w:r>
          <w:rPr>
            <w:rStyle w:val="Hyperlink"/>
          </w:rPr>
          <w:t xml:space="preserve">Table A11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9" w:name="lst-ord-preds"/>
          <w:p>
            <w:pPr>
              <w:jc w:val="center"/>
            </w:pPr>
            <w:pPr>
              <w:jc w:val="start"/>
              <w:spacing w:before="200"/>
              <w:pStyle w:val="ImageCaption"/>
            </w:pPr>
            <w:r>
              <w:t xml:space="preserve">Listing 33: Predicted probabilities and AMEs for the ordered beta model</w:t>
            </w:r>
          </w:p>
          <w:p>
            <w:pPr>
              <w:pStyle w:val="SourceCode"/>
              <w:jc w:val="center"/>
            </w:pPr>
            <w:r>
              <w:rPr>
                <w:rStyle w:val="FunctionTok"/>
              </w:rPr>
              <w:t xml:space="preserve">avg_predictions</w:t>
            </w:r>
            <w:r>
              <w:rPr>
                <w:rStyle w:val="NormalTok"/>
              </w:rPr>
              <w:t xml:space="preserve">(ord_fit_dis,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FunctionTok"/>
              </w:rPr>
              <w:t xml:space="preserve">avg_comparisons</w:t>
            </w:r>
            <w:r>
              <w:rPr>
                <w:rStyle w:val="NormalTok"/>
              </w:rPr>
              <w:t xml:space="preserve">(ord_fit_dis, </w:t>
            </w:r>
            <w:r>
              <w:rPr>
                <w:rStyle w:val="AttributeTok"/>
              </w:rPr>
              <w:t xml:space="preserve">variables =</w:t>
            </w:r>
            <w:r>
              <w:rPr>
                <w:rStyle w:val="NormalTok"/>
              </w:rPr>
              <w:t xml:space="preserve"> </w:t>
            </w:r>
            <w:r>
              <w:rPr>
                <w:rStyle w:val="StringTok"/>
              </w:rPr>
              <w:t xml:space="preserve">"Fluency"</w:t>
            </w:r>
            <w:r>
              <w:rPr>
                <w:rStyle w:val="NormalTok"/>
              </w:rPr>
              <w:t xml:space="preserve">)</w:t>
            </w:r>
          </w:p>
          <w:bookmarkEnd w:id="339"/>
        </w:tc>
      </w:tr>
    </w:tbl>
    <w:bookmarkStart w:id="340" w:name="tbl-ord-preds"/>
    <w:p>
      <w:pPr>
        <w:pStyle w:val="FigureTitle"/>
      </w:pPr>
      <w:r>
        <w:t xml:space="preserve">Table A10</w:t>
      </w:r>
    </w:p>
    <w:p>
      <w:pPr>
        <w:pStyle w:val="Caption"/>
      </w:pPr>
      <w:r>
        <w:t xml:space="preserve">Predicted probabilities by fluency from the ordered beta model</w:t>
      </w:r>
    </w:p>
    <w:tbl>
      <w:tblPr>
        <w:tblStyle w:val="Table"/>
        <w:tblW w:type="pct" w:w="3125"/>
        <w:tblLayout w:type="fixed"/>
        <w:tblLook w:firstRow="1" w:lastRow="0" w:firstColumn="0" w:lastColumn="0" w:noHBand="0" w:noVBand="0" w:val="0020"/>
      </w:tblPr>
      <w:tblGrid>
        <w:gridCol w:w="1320"/>
        <w:gridCol w:w="880"/>
        <w:gridCol w:w="187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0.295</w:t>
            </w:r>
          </w:p>
        </w:tc>
        <w:tc>
          <w:tcPr/>
          <w:p>
            <w:pPr>
              <w:pStyle w:val="Compact"/>
            </w:pPr>
            <w:r>
              <w:t xml:space="preserve">[0.242, 0.348]</w:t>
            </w:r>
          </w:p>
        </w:tc>
        <w:tc>
          <w:tcPr/>
          <w:p>
            <w:pPr>
              <w:pStyle w:val="Compact"/>
            </w:pPr>
            <w:r>
              <w:t xml:space="preserve">&lt;.001</w:t>
            </w:r>
          </w:p>
        </w:tc>
      </w:tr>
      <w:tr>
        <w:tc>
          <w:tcPr/>
          <w:p>
            <w:pPr>
              <w:pStyle w:val="Compact"/>
            </w:pPr>
            <w:r>
              <w:t xml:space="preserve">Fluent</w:t>
            </w:r>
          </w:p>
        </w:tc>
        <w:tc>
          <w:tcPr/>
          <w:p>
            <w:pPr>
              <w:pStyle w:val="Compact"/>
            </w:pPr>
            <w:r>
              <w:t xml:space="preserve">0.353</w:t>
            </w:r>
          </w:p>
        </w:tc>
        <w:tc>
          <w:tcPr/>
          <w:p>
            <w:pPr>
              <w:pStyle w:val="Compact"/>
            </w:pPr>
            <w:r>
              <w:t xml:space="preserve">[0.305, 0.4]</w:t>
            </w:r>
          </w:p>
        </w:tc>
        <w:tc>
          <w:tcPr/>
          <w:p>
            <w:pPr>
              <w:pStyle w:val="Compact"/>
            </w:pPr>
            <w:r>
              <w:t xml:space="preserve">&lt;.001</w:t>
            </w:r>
          </w:p>
        </w:tc>
      </w:tr>
    </w:tbl>
    <w:bookmarkEnd w:id="340"/>
    <w:p>
      <w:pPr>
        <w:pStyle w:val="AfterWithoutNote"/>
      </w:pPr>
      <w:r>
        <w:t xml:space="preserve"> </w:t>
      </w:r>
    </w:p>
    <w:bookmarkStart w:id="341" w:name="tbl-ord-ame"/>
    <w:p>
      <w:pPr>
        <w:pStyle w:val="FigureTitle"/>
      </w:pPr>
      <w:r>
        <w:t xml:space="preserve">Table A11</w:t>
      </w:r>
    </w:p>
    <w:p>
      <w:pPr>
        <w:pStyle w:val="Caption"/>
      </w:pPr>
      <w:r>
        <w:t xml:space="preserve">Average marginal effect of fluency from the ordered beta model</w:t>
      </w:r>
    </w:p>
    <w:tbl>
      <w:tblPr>
        <w:tblStyle w:val="Table"/>
        <w:tblW w:type="pct" w:w="4028"/>
        <w:tblLayout w:type="fixed"/>
        <w:tblLook w:firstRow="1" w:lastRow="0" w:firstColumn="0" w:lastColumn="0" w:noHBand="0" w:noVBand="0" w:val="0020"/>
      </w:tblPr>
      <w:tblGrid>
        <w:gridCol w:w="2310"/>
        <w:gridCol w:w="1210"/>
        <w:gridCol w:w="198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0.058</w:t>
            </w:r>
          </w:p>
        </w:tc>
        <w:tc>
          <w:tcPr/>
          <w:p>
            <w:pPr>
              <w:pStyle w:val="Compact"/>
            </w:pPr>
            <w:r>
              <w:t xml:space="preserve">[-0.012, 0.128]</w:t>
            </w:r>
          </w:p>
        </w:tc>
        <w:tc>
          <w:tcPr/>
          <w:p>
            <w:pPr>
              <w:pStyle w:val="Compact"/>
            </w:pPr>
            <w:r>
              <w:t xml:space="preserve">0.105</w:t>
            </w:r>
          </w:p>
        </w:tc>
      </w:tr>
    </w:tbl>
    <w:bookmarkEnd w:id="341"/>
    <w:bookmarkEnd w:id="342"/>
    <w:bookmarkEnd w:id="343"/>
    <w:bookmarkStart w:id="344" w:name="xbx-regression"/>
    <w:p>
      <w:pPr>
        <w:pStyle w:val="Heading2"/>
      </w:pPr>
      <w:r>
        <w:t xml:space="preserve">XBX Regression</w:t>
      </w:r>
    </w:p>
    <w:p>
      <w:pPr>
        <w:pStyle w:val="FirstParagraph"/>
      </w:pPr>
      <w:r>
        <w:t xml:space="preserve">XBX regression</w:t>
      </w:r>
      <w:r>
        <w:t xml:space="preserve"> </w:t>
      </w:r>
      <w:r>
        <w:t xml:space="preserve">(Kosmidis &amp; Zeileis, 2025)</w:t>
      </w:r>
      <w:r>
        <w:t xml:space="preserve"> </w:t>
      </w:r>
      <w:r>
        <w:t xml:space="preserve">is a recently developed approach that also handles boundary values (0s and 1s) natively, and is fit with the</w:t>
      </w:r>
      <w:r>
        <w:t xml:space="preserve"> </w:t>
      </w:r>
      <w:r>
        <w:rPr>
          <w:rStyle w:val="VerbatimChar"/>
        </w:rPr>
        <w:t xml:space="preserve">betareg</w:t>
      </w:r>
      <w:r>
        <w:t xml:space="preserve"> </w:t>
      </w:r>
      <w:r>
        <w:t xml:space="preserve">package. The mean and precision submodels are specified jointly using the</w:t>
      </w:r>
      <w:r>
        <w:t xml:space="preserve"> </w:t>
      </w:r>
      <w:r>
        <w:rPr>
          <w:rStyle w:val="VerbatimChar"/>
        </w:rPr>
        <w:t xml:space="preserve">|</w:t>
      </w:r>
      <w:r>
        <w:t xml:space="preserve"> </w:t>
      </w:r>
      <w:r>
        <w:t xml:space="preserve">operator in the formula.</w:t>
      </w:r>
    </w:p>
    <w:sectPr>
      <w:lnNumType w:countBy="1" w:restart="continuous"/>
    </w:sectPr>
    <w:bookmarkEnd w:id="344"/>
    <w:bookmarkEnd w:id="34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8">
    <w:p>
      <w:pPr>
        <w:pStyle w:val="FootnoteText"/>
      </w:pPr>
      <w:r>
        <w:rPr>
          <w:rStyle w:val="FootnoteReference"/>
        </w:rPr>
        <w:footnoteRef/>
      </w:r>
      <w:r>
        <w:t xml:space="preserve"> </w:t>
      </w:r>
      <w:r>
        <w:t xml:space="preserve">Some would call these hurdle models, though the terms used in this tutorial — zero-inflated beta (ZIB) and zero-one-inflated beta (ZOIB) — are quite common and map directly onto the families used by the functions we employ.</w:t>
      </w:r>
    </w:p>
  </w:footnote>
  <w:footnote w:id="50">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2">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60">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61">
    <w:p>
      <w:pPr>
        <w:pStyle w:val="FootnoteText"/>
      </w:pPr>
      <w:r>
        <w:rPr>
          <w:rStyle w:val="FootnoteReference"/>
        </w:rPr>
        <w:footnoteRef/>
      </w:r>
      <w:r>
        <w:t xml:space="preserve"> </w:t>
      </w:r>
      <w:r>
        <w:rPr>
          <w:b/>
          <w:bCs/>
        </w:rP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6">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10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7">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7">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8">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3" Target="media/rId43.png" /><Relationship Type="http://schemas.openxmlformats.org/officeDocument/2006/relationships/image" Id="rId23" Target="media/rId23.svg" /><Relationship Type="http://schemas.openxmlformats.org/officeDocument/2006/relationships/image" Id="rId53" Target="media/rId53.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150" Target="media/rId150.png" /><Relationship Type="http://schemas.openxmlformats.org/officeDocument/2006/relationships/image" Id="rId163" Target="media/rId163.png" /><Relationship Type="http://schemas.openxmlformats.org/officeDocument/2006/relationships/image" Id="rId62" Target="media/rId62.png" /><Relationship Type="http://schemas.openxmlformats.org/officeDocument/2006/relationships/image" Id="rId107" Target="media/rId107.png" /><Relationship Type="http://schemas.openxmlformats.org/officeDocument/2006/relationships/image" Id="rId156" Target="media/rId156.png" /><Relationship Type="http://schemas.openxmlformats.org/officeDocument/2006/relationships/image" Id="rId171" Target="media/rId171.png" /><Relationship Type="http://schemas.openxmlformats.org/officeDocument/2006/relationships/image" Id="rId145" Target="media/rId145.png" /><Relationship Type="http://schemas.openxmlformats.org/officeDocument/2006/relationships/image" Id="rId86" Target="media/rId86.png" /><Relationship Type="http://schemas.openxmlformats.org/officeDocument/2006/relationships/image" Id="rId81" Target="media/rId81.png" /><Relationship Type="http://schemas.openxmlformats.org/officeDocument/2006/relationships/image" Id="rId121" Target="media/rId121.png" /><Relationship Type="http://schemas.openxmlformats.org/officeDocument/2006/relationships/image" Id="rId128" Target="media/rId128.png" /><Relationship Type="http://schemas.openxmlformats.org/officeDocument/2006/relationships/hyperlink" Id="rId218" Target="http://dx.doi.org/10.59350/7p1a4-0tw75" TargetMode="External" /><Relationship Type="http://schemas.openxmlformats.org/officeDocument/2006/relationships/hyperlink" Id="rId180" Target="https://CRAN.R-project.org/package=marginaleffects" TargetMode="External" /><Relationship Type="http://schemas.openxmlformats.org/officeDocument/2006/relationships/hyperlink" Id="rId241" Target="https://CRAN.R-project.org/package=ordbetareg" TargetMode="External" /><Relationship Type="http://schemas.openxmlformats.org/officeDocument/2006/relationships/hyperlink" Id="rId280" Target="https://docs.ropensci.org/rix/" TargetMode="External" /><Relationship Type="http://schemas.openxmlformats.org/officeDocument/2006/relationships/hyperlink" Id="rId288" Target="https://doi.org/10.1001/jamanetworkopen.2023.53401" TargetMode="External" /><Relationship Type="http://schemas.openxmlformats.org/officeDocument/2006/relationships/hyperlink" Id="rId304" Target="https://doi.org/10.1002/acp.3724" TargetMode="External" /><Relationship Type="http://schemas.openxmlformats.org/officeDocument/2006/relationships/hyperlink" Id="rId212" Target="https://doi.org/10.1007/s11121-021-01302-y" TargetMode="External" /><Relationship Type="http://schemas.openxmlformats.org/officeDocument/2006/relationships/hyperlink" Id="rId296" Target="https://doi.org/10.1007/s11409-017-9175-0" TargetMode="External" /><Relationship Type="http://schemas.openxmlformats.org/officeDocument/2006/relationships/hyperlink" Id="rId226" Target="https://doi.org/10.1016/j.ecosta.2021.07.006" TargetMode="External" /><Relationship Type="http://schemas.openxmlformats.org/officeDocument/2006/relationships/hyperlink" Id="rId228" Target="https://doi.org/10.1016/j.wocn.2016.08.006" TargetMode="External" /><Relationship Type="http://schemas.openxmlformats.org/officeDocument/2006/relationships/hyperlink" Id="rId239" Target="https://doi.org/10.1017/pan.2022.20" TargetMode="External" /><Relationship Type="http://schemas.openxmlformats.org/officeDocument/2006/relationships/hyperlink" Id="rId290" Target="https://doi.org/10.1037/1082-989x.11.1.54" TargetMode="External" /><Relationship Type="http://schemas.openxmlformats.org/officeDocument/2006/relationships/hyperlink" Id="rId276" Target="https://doi.org/10.1037/a0013684" TargetMode="External" /><Relationship Type="http://schemas.openxmlformats.org/officeDocument/2006/relationships/hyperlink" Id="rId197" Target="https://doi.org/10.1037/a0024828" TargetMode="External" /><Relationship Type="http://schemas.openxmlformats.org/officeDocument/2006/relationships/hyperlink" Id="rId234" Target="https://doi.org/10.1037/a0029146" TargetMode="External" /><Relationship Type="http://schemas.openxmlformats.org/officeDocument/2006/relationships/hyperlink" Id="rId308" Target="https://doi.org/10.1037/mac0000003" TargetMode="External" /><Relationship Type="http://schemas.openxmlformats.org/officeDocument/2006/relationships/hyperlink" Id="rId186" Target="https://doi.org/10.1037/met0000553" TargetMode="External" /><Relationship Type="http://schemas.openxmlformats.org/officeDocument/2006/relationships/hyperlink" Id="rId298" Target="https://doi.org/10.1075/lab.24027.ver" TargetMode="External" /><Relationship Type="http://schemas.openxmlformats.org/officeDocument/2006/relationships/hyperlink" Id="rId259" Target="https://doi.org/10.1080/00273171.2020.1868966" TargetMode="External" /><Relationship Type="http://schemas.openxmlformats.org/officeDocument/2006/relationships/hyperlink" Id="rId224" Target="https://doi.org/10.1080/01621459.1995.10476572" TargetMode="External" /><Relationship Type="http://schemas.openxmlformats.org/officeDocument/2006/relationships/hyperlink" Id="rId210" Target="https://doi.org/10.1080/0266476042000214501" TargetMode="External" /><Relationship Type="http://schemas.openxmlformats.org/officeDocument/2006/relationships/hyperlink" Id="rId232" Target="https://doi.org/10.1093/jrsssc/qlaf039" TargetMode="External" /><Relationship Type="http://schemas.openxmlformats.org/officeDocument/2006/relationships/hyperlink" Id="rId269" Target="https://doi.org/10.1093/oxfordjournals.pan.a004873" TargetMode="External" /><Relationship Type="http://schemas.openxmlformats.org/officeDocument/2006/relationships/hyperlink" Id="rId257" Target="https://doi.org/10.1098/rsos.231713" TargetMode="External" /><Relationship Type="http://schemas.openxmlformats.org/officeDocument/2006/relationships/hyperlink" Id="rId306" Target="https://doi.org/10.1111/gcb.17422" TargetMode="External" /><Relationship Type="http://schemas.openxmlformats.org/officeDocument/2006/relationships/hyperlink" Id="rId230" Target="https://doi.org/10.1111/j.1467-9280.2008.02127.x" TargetMode="External" /><Relationship Type="http://schemas.openxmlformats.org/officeDocument/2006/relationships/hyperlink" Id="rId204" Target="https://doi.org/10.1126/science.adq1814" TargetMode="External" /><Relationship Type="http://schemas.openxmlformats.org/officeDocument/2006/relationships/hyperlink" Id="rId255" Target="https://doi.org/10.1177/0013164416669201" TargetMode="External" /><Relationship Type="http://schemas.openxmlformats.org/officeDocument/2006/relationships/hyperlink" Id="rId284" Target="https://doi.org/10.1177/08902070241239834" TargetMode="External" /><Relationship Type="http://schemas.openxmlformats.org/officeDocument/2006/relationships/hyperlink" Id="rId237" Target="https://doi.org/10.1177/2515245918771304" TargetMode="External" /><Relationship Type="http://schemas.openxmlformats.org/officeDocument/2006/relationships/hyperlink" Id="rId195" Target="https://doi.org/10.1177/2515245918823199" TargetMode="External" /><Relationship Type="http://schemas.openxmlformats.org/officeDocument/2006/relationships/hyperlink" Id="rId261" Target="https://doi.org/10.1201/9780429029608" TargetMode="External" /><Relationship Type="http://schemas.openxmlformats.org/officeDocument/2006/relationships/hyperlink" Id="rId265" Target="https://doi.org/10.1201/9780429342646" TargetMode="External" /><Relationship Type="http://schemas.openxmlformats.org/officeDocument/2006/relationships/hyperlink" Id="rId220" Target="https://doi.org/10.1525/collabra.140755" TargetMode="External" /><Relationship Type="http://schemas.openxmlformats.org/officeDocument/2006/relationships/hyperlink" Id="rId206" Target="https://doi.org/10.18637/jss.v034.i02" TargetMode="External" /><Relationship Type="http://schemas.openxmlformats.org/officeDocument/2006/relationships/hyperlink" Id="rId191" Target="https://doi.org/10.18637/jss.v080.i01" TargetMode="External" /><Relationship Type="http://schemas.openxmlformats.org/officeDocument/2006/relationships/hyperlink" Id="rId182" Target="https://doi.org/10.18637/jss.v111.i09" TargetMode="External" /><Relationship Type="http://schemas.openxmlformats.org/officeDocument/2006/relationships/hyperlink" Id="rId251" Target="https://doi.org/10.21105/joss.01541" TargetMode="External" /><Relationship Type="http://schemas.openxmlformats.org/officeDocument/2006/relationships/hyperlink" Id="rId263" Target="https://doi.org/10.2307/2344614" TargetMode="External" /><Relationship Type="http://schemas.openxmlformats.org/officeDocument/2006/relationships/hyperlink" Id="rId184" Target="https://doi.org/10.2307/2983678" TargetMode="External" /><Relationship Type="http://schemas.openxmlformats.org/officeDocument/2006/relationships/hyperlink" Id="rId202" Target="https://doi.org/10.31219/osf.io/f9rqg_v1" TargetMode="External" /><Relationship Type="http://schemas.openxmlformats.org/officeDocument/2006/relationships/hyperlink" Id="rId286" Target="https://doi.org/10.31234/osf.io/4rznt" TargetMode="External" /><Relationship Type="http://schemas.openxmlformats.org/officeDocument/2006/relationships/hyperlink" Id="rId271" Target="https://doi.org/10.31234/osf.io/ck3js_v1" TargetMode="External" /><Relationship Type="http://schemas.openxmlformats.org/officeDocument/2006/relationships/hyperlink" Id="rId282" Target="https://doi.org/10.31234/osf.io/g4s2a_v1" TargetMode="External" /><Relationship Type="http://schemas.openxmlformats.org/officeDocument/2006/relationships/hyperlink" Id="rId253" Target="https://doi.org/10.31234/osf.io/z68v3_v1" TargetMode="External" /><Relationship Type="http://schemas.openxmlformats.org/officeDocument/2006/relationships/hyperlink" Id="rId243" Target="https://doi.org/10.32614/CRAN.package.emmeans" TargetMode="External" /><Relationship Type="http://schemas.openxmlformats.org/officeDocument/2006/relationships/hyperlink" Id="rId188" Target="https://doi.org/10.32614/RJ-2017-066" TargetMode="External" /><Relationship Type="http://schemas.openxmlformats.org/officeDocument/2006/relationships/hyperlink" Id="rId245" Target="https://doi.org/10.32614/rj-2015-019" TargetMode="External" /><Relationship Type="http://schemas.openxmlformats.org/officeDocument/2006/relationships/hyperlink" Id="rId249" Target="https://doi.org/10.3389/fpsyg.2019.02767" TargetMode="External" /><Relationship Type="http://schemas.openxmlformats.org/officeDocument/2006/relationships/hyperlink" Id="rId278" Target="https://doi.org/10.3758/PBR.16.3.550" TargetMode="External" /><Relationship Type="http://schemas.openxmlformats.org/officeDocument/2006/relationships/hyperlink" Id="rId292" Target="https://doi.org/10.3758/s13423-011-0114-9" TargetMode="External" /><Relationship Type="http://schemas.openxmlformats.org/officeDocument/2006/relationships/hyperlink" Id="rId199" Target="https://doi.org/10.3758/s13423-013-0442-z" TargetMode="External" /><Relationship Type="http://schemas.openxmlformats.org/officeDocument/2006/relationships/hyperlink" Id="rId247" Target="https://easystats.github.io/easystats/" TargetMode="External" /><Relationship Type="http://schemas.openxmlformats.org/officeDocument/2006/relationships/hyperlink" Id="rId49" Target="https://github.com/jgeller112/Beta_regression_tutorial" TargetMode="External" /><Relationship Type="http://schemas.openxmlformats.org/officeDocument/2006/relationships/hyperlink" Id="rId294" Target="https://mc-stan.org" TargetMode="External" /><Relationship Type="http://schemas.openxmlformats.org/officeDocument/2006/relationships/hyperlink" Id="rId214" Target="https://mc-stan.org/cmdstanr/" TargetMode="External" /><Relationship Type="http://schemas.openxmlformats.org/officeDocument/2006/relationships/hyperlink" Id="rId193" Target="https://mc-stan.org/posterior/" TargetMode="External" /><Relationship Type="http://schemas.openxmlformats.org/officeDocument/2006/relationships/hyperlink" Id="rId208" Target="https://nixos.org/" TargetMode="External" /><Relationship Type="http://schemas.openxmlformats.org/officeDocument/2006/relationships/hyperlink" Id="rId39" Target="https://orcid.org/0000-0001-5052-066X" TargetMode="External" /><Relationship Type="http://schemas.openxmlformats.org/officeDocument/2006/relationships/hyperlink" Id="rId31" Target="https://orcid.org/0000-0001-6655-4119" TargetMode="External" /><Relationship Type="http://schemas.openxmlformats.org/officeDocument/2006/relationships/hyperlink" Id="rId35" Target="https://orcid.org/0000-0001-9301-1398" TargetMode="External" /><Relationship Type="http://schemas.openxmlformats.org/officeDocument/2006/relationships/hyperlink" Id="rId27" Target="https://orcid.org/0000-0002-7459-4505" TargetMode="External" /><Relationship Type="http://schemas.openxmlformats.org/officeDocument/2006/relationships/hyperlink" Id="rId302" Target="https://r4ds.hadley.nz/" TargetMode="External" /><Relationship Type="http://schemas.openxmlformats.org/officeDocument/2006/relationships/hyperlink" Id="rId216" Target="https://stat.columbia.edu/~gelman/book/" TargetMode="External" /><Relationship Type="http://schemas.openxmlformats.org/officeDocument/2006/relationships/hyperlink" Id="rId310" Target="https://stats.andrewheiss.com/compassionate-clam/manuscript/output/manuscript.html" TargetMode="External" /><Relationship Type="http://schemas.openxmlformats.org/officeDocument/2006/relationships/hyperlink" Id="rId300" Target="https://vuorre.com/posts/2019-02-18-analyze-analog-scale-ratings-with-zero-one-inflated-beta-models" TargetMode="External" /><Relationship Type="http://schemas.openxmlformats.org/officeDocument/2006/relationships/hyperlink" Id="rId273" Target="https://www.R-project.org/" TargetMode="External" /><Relationship Type="http://schemas.openxmlformats.org/officeDocument/2006/relationships/hyperlink" Id="rId346" Target="https://www.routledge.com/Bayes-Rules-An-Introduction-to-Applied-Bayesian-Modeling/Johnson-Ott-Dogucu/p/book/9780367255398" TargetMode="External" /><Relationship Type="http://schemas.openxmlformats.org/officeDocument/2006/relationships/hyperlink" Id="rId267" Target="https://www.sciencedirect.com/science/article/pii/S0048969723041505" TargetMode="External" /><Relationship Type="http://schemas.openxmlformats.org/officeDocument/2006/relationships/hyperlink" Id="rId40"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218" Target="http://dx.doi.org/10.59350/7p1a4-0tw75" TargetMode="External" /><Relationship Type="http://schemas.openxmlformats.org/officeDocument/2006/relationships/hyperlink" Id="rId180" Target="https://CRAN.R-project.org/package=marginaleffects" TargetMode="External" /><Relationship Type="http://schemas.openxmlformats.org/officeDocument/2006/relationships/hyperlink" Id="rId241" Target="https://CRAN.R-project.org/package=ordbetareg" TargetMode="External" /><Relationship Type="http://schemas.openxmlformats.org/officeDocument/2006/relationships/hyperlink" Id="rId280" Target="https://docs.ropensci.org/rix/" TargetMode="External" /><Relationship Type="http://schemas.openxmlformats.org/officeDocument/2006/relationships/hyperlink" Id="rId288" Target="https://doi.org/10.1001/jamanetworkopen.2023.53401" TargetMode="External" /><Relationship Type="http://schemas.openxmlformats.org/officeDocument/2006/relationships/hyperlink" Id="rId304" Target="https://doi.org/10.1002/acp.3724" TargetMode="External" /><Relationship Type="http://schemas.openxmlformats.org/officeDocument/2006/relationships/hyperlink" Id="rId212" Target="https://doi.org/10.1007/s11121-021-01302-y" TargetMode="External" /><Relationship Type="http://schemas.openxmlformats.org/officeDocument/2006/relationships/hyperlink" Id="rId296" Target="https://doi.org/10.1007/s11409-017-9175-0" TargetMode="External" /><Relationship Type="http://schemas.openxmlformats.org/officeDocument/2006/relationships/hyperlink" Id="rId226" Target="https://doi.org/10.1016/j.ecosta.2021.07.006" TargetMode="External" /><Relationship Type="http://schemas.openxmlformats.org/officeDocument/2006/relationships/hyperlink" Id="rId228" Target="https://doi.org/10.1016/j.wocn.2016.08.006" TargetMode="External" /><Relationship Type="http://schemas.openxmlformats.org/officeDocument/2006/relationships/hyperlink" Id="rId239" Target="https://doi.org/10.1017/pan.2022.20" TargetMode="External" /><Relationship Type="http://schemas.openxmlformats.org/officeDocument/2006/relationships/hyperlink" Id="rId290" Target="https://doi.org/10.1037/1082-989x.11.1.54" TargetMode="External" /><Relationship Type="http://schemas.openxmlformats.org/officeDocument/2006/relationships/hyperlink" Id="rId276" Target="https://doi.org/10.1037/a0013684" TargetMode="External" /><Relationship Type="http://schemas.openxmlformats.org/officeDocument/2006/relationships/hyperlink" Id="rId197" Target="https://doi.org/10.1037/a0024828" TargetMode="External" /><Relationship Type="http://schemas.openxmlformats.org/officeDocument/2006/relationships/hyperlink" Id="rId234" Target="https://doi.org/10.1037/a0029146" TargetMode="External" /><Relationship Type="http://schemas.openxmlformats.org/officeDocument/2006/relationships/hyperlink" Id="rId308" Target="https://doi.org/10.1037/mac0000003" TargetMode="External" /><Relationship Type="http://schemas.openxmlformats.org/officeDocument/2006/relationships/hyperlink" Id="rId186" Target="https://doi.org/10.1037/met0000553" TargetMode="External" /><Relationship Type="http://schemas.openxmlformats.org/officeDocument/2006/relationships/hyperlink" Id="rId298" Target="https://doi.org/10.1075/lab.24027.ver" TargetMode="External" /><Relationship Type="http://schemas.openxmlformats.org/officeDocument/2006/relationships/hyperlink" Id="rId259" Target="https://doi.org/10.1080/00273171.2020.1868966" TargetMode="External" /><Relationship Type="http://schemas.openxmlformats.org/officeDocument/2006/relationships/hyperlink" Id="rId224" Target="https://doi.org/10.1080/01621459.1995.10476572" TargetMode="External" /><Relationship Type="http://schemas.openxmlformats.org/officeDocument/2006/relationships/hyperlink" Id="rId210" Target="https://doi.org/10.1080/0266476042000214501" TargetMode="External" /><Relationship Type="http://schemas.openxmlformats.org/officeDocument/2006/relationships/hyperlink" Id="rId232" Target="https://doi.org/10.1093/jrsssc/qlaf039" TargetMode="External" /><Relationship Type="http://schemas.openxmlformats.org/officeDocument/2006/relationships/hyperlink" Id="rId269" Target="https://doi.org/10.1093/oxfordjournals.pan.a004873" TargetMode="External" /><Relationship Type="http://schemas.openxmlformats.org/officeDocument/2006/relationships/hyperlink" Id="rId257" Target="https://doi.org/10.1098/rsos.231713" TargetMode="External" /><Relationship Type="http://schemas.openxmlformats.org/officeDocument/2006/relationships/hyperlink" Id="rId306" Target="https://doi.org/10.1111/gcb.17422" TargetMode="External" /><Relationship Type="http://schemas.openxmlformats.org/officeDocument/2006/relationships/hyperlink" Id="rId230" Target="https://doi.org/10.1111/j.1467-9280.2008.02127.x" TargetMode="External" /><Relationship Type="http://schemas.openxmlformats.org/officeDocument/2006/relationships/hyperlink" Id="rId204" Target="https://doi.org/10.1126/science.adq1814" TargetMode="External" /><Relationship Type="http://schemas.openxmlformats.org/officeDocument/2006/relationships/hyperlink" Id="rId255" Target="https://doi.org/10.1177/0013164416669201" TargetMode="External" /><Relationship Type="http://schemas.openxmlformats.org/officeDocument/2006/relationships/hyperlink" Id="rId284" Target="https://doi.org/10.1177/08902070241239834" TargetMode="External" /><Relationship Type="http://schemas.openxmlformats.org/officeDocument/2006/relationships/hyperlink" Id="rId237" Target="https://doi.org/10.1177/2515245918771304" TargetMode="External" /><Relationship Type="http://schemas.openxmlformats.org/officeDocument/2006/relationships/hyperlink" Id="rId195" Target="https://doi.org/10.1177/2515245918823199" TargetMode="External" /><Relationship Type="http://schemas.openxmlformats.org/officeDocument/2006/relationships/hyperlink" Id="rId261" Target="https://doi.org/10.1201/9780429029608" TargetMode="External" /><Relationship Type="http://schemas.openxmlformats.org/officeDocument/2006/relationships/hyperlink" Id="rId265" Target="https://doi.org/10.1201/9780429342646" TargetMode="External" /><Relationship Type="http://schemas.openxmlformats.org/officeDocument/2006/relationships/hyperlink" Id="rId220" Target="https://doi.org/10.1525/collabra.140755" TargetMode="External" /><Relationship Type="http://schemas.openxmlformats.org/officeDocument/2006/relationships/hyperlink" Id="rId206" Target="https://doi.org/10.18637/jss.v034.i02" TargetMode="External" /><Relationship Type="http://schemas.openxmlformats.org/officeDocument/2006/relationships/hyperlink" Id="rId191" Target="https://doi.org/10.18637/jss.v080.i01" TargetMode="External" /><Relationship Type="http://schemas.openxmlformats.org/officeDocument/2006/relationships/hyperlink" Id="rId182" Target="https://doi.org/10.18637/jss.v111.i09" TargetMode="External" /><Relationship Type="http://schemas.openxmlformats.org/officeDocument/2006/relationships/hyperlink" Id="rId251" Target="https://doi.org/10.21105/joss.01541" TargetMode="External" /><Relationship Type="http://schemas.openxmlformats.org/officeDocument/2006/relationships/hyperlink" Id="rId263" Target="https://doi.org/10.2307/2344614" TargetMode="External" /><Relationship Type="http://schemas.openxmlformats.org/officeDocument/2006/relationships/hyperlink" Id="rId184" Target="https://doi.org/10.2307/2983678" TargetMode="External" /><Relationship Type="http://schemas.openxmlformats.org/officeDocument/2006/relationships/hyperlink" Id="rId202" Target="https://doi.org/10.31219/osf.io/f9rqg_v1" TargetMode="External" /><Relationship Type="http://schemas.openxmlformats.org/officeDocument/2006/relationships/hyperlink" Id="rId286" Target="https://doi.org/10.31234/osf.io/4rznt" TargetMode="External" /><Relationship Type="http://schemas.openxmlformats.org/officeDocument/2006/relationships/hyperlink" Id="rId271" Target="https://doi.org/10.31234/osf.io/ck3js_v1" TargetMode="External" /><Relationship Type="http://schemas.openxmlformats.org/officeDocument/2006/relationships/hyperlink" Id="rId282" Target="https://doi.org/10.31234/osf.io/g4s2a_v1" TargetMode="External" /><Relationship Type="http://schemas.openxmlformats.org/officeDocument/2006/relationships/hyperlink" Id="rId253" Target="https://doi.org/10.31234/osf.io/z68v3_v1" TargetMode="External" /><Relationship Type="http://schemas.openxmlformats.org/officeDocument/2006/relationships/hyperlink" Id="rId243" Target="https://doi.org/10.32614/CRAN.package.emmeans" TargetMode="External" /><Relationship Type="http://schemas.openxmlformats.org/officeDocument/2006/relationships/hyperlink" Id="rId188" Target="https://doi.org/10.32614/RJ-2017-066" TargetMode="External" /><Relationship Type="http://schemas.openxmlformats.org/officeDocument/2006/relationships/hyperlink" Id="rId245" Target="https://doi.org/10.32614/rj-2015-019" TargetMode="External" /><Relationship Type="http://schemas.openxmlformats.org/officeDocument/2006/relationships/hyperlink" Id="rId249" Target="https://doi.org/10.3389/fpsyg.2019.02767" TargetMode="External" /><Relationship Type="http://schemas.openxmlformats.org/officeDocument/2006/relationships/hyperlink" Id="rId278" Target="https://doi.org/10.3758/PBR.16.3.550" TargetMode="External" /><Relationship Type="http://schemas.openxmlformats.org/officeDocument/2006/relationships/hyperlink" Id="rId292" Target="https://doi.org/10.3758/s13423-011-0114-9" TargetMode="External" /><Relationship Type="http://schemas.openxmlformats.org/officeDocument/2006/relationships/hyperlink" Id="rId199" Target="https://doi.org/10.3758/s13423-013-0442-z" TargetMode="External" /><Relationship Type="http://schemas.openxmlformats.org/officeDocument/2006/relationships/hyperlink" Id="rId247" Target="https://easystats.github.io/easystats/" TargetMode="External" /><Relationship Type="http://schemas.openxmlformats.org/officeDocument/2006/relationships/hyperlink" Id="rId49" Target="https://github.com/jgeller112/Beta_regression_tutorial" TargetMode="External" /><Relationship Type="http://schemas.openxmlformats.org/officeDocument/2006/relationships/hyperlink" Id="rId294" Target="https://mc-stan.org" TargetMode="External" /><Relationship Type="http://schemas.openxmlformats.org/officeDocument/2006/relationships/hyperlink" Id="rId214" Target="https://mc-stan.org/cmdstanr/" TargetMode="External" /><Relationship Type="http://schemas.openxmlformats.org/officeDocument/2006/relationships/hyperlink" Id="rId193" Target="https://mc-stan.org/posterior/" TargetMode="External" /><Relationship Type="http://schemas.openxmlformats.org/officeDocument/2006/relationships/hyperlink" Id="rId208" Target="https://nixos.org/" TargetMode="External" /><Relationship Type="http://schemas.openxmlformats.org/officeDocument/2006/relationships/hyperlink" Id="rId39" Target="https://orcid.org/0000-0001-5052-066X" TargetMode="External" /><Relationship Type="http://schemas.openxmlformats.org/officeDocument/2006/relationships/hyperlink" Id="rId31" Target="https://orcid.org/0000-0001-6655-4119" TargetMode="External" /><Relationship Type="http://schemas.openxmlformats.org/officeDocument/2006/relationships/hyperlink" Id="rId35" Target="https://orcid.org/0000-0001-9301-1398" TargetMode="External" /><Relationship Type="http://schemas.openxmlformats.org/officeDocument/2006/relationships/hyperlink" Id="rId27" Target="https://orcid.org/0000-0002-7459-4505" TargetMode="External" /><Relationship Type="http://schemas.openxmlformats.org/officeDocument/2006/relationships/hyperlink" Id="rId302" Target="https://r4ds.hadley.nz/" TargetMode="External" /><Relationship Type="http://schemas.openxmlformats.org/officeDocument/2006/relationships/hyperlink" Id="rId216" Target="https://stat.columbia.edu/~gelman/book/" TargetMode="External" /><Relationship Type="http://schemas.openxmlformats.org/officeDocument/2006/relationships/hyperlink" Id="rId310" Target="https://stats.andrewheiss.com/compassionate-clam/manuscript/output/manuscript.html" TargetMode="External" /><Relationship Type="http://schemas.openxmlformats.org/officeDocument/2006/relationships/hyperlink" Id="rId300" Target="https://vuorre.com/posts/2019-02-18-analyze-analog-scale-ratings-with-zero-one-inflated-beta-models" TargetMode="External" /><Relationship Type="http://schemas.openxmlformats.org/officeDocument/2006/relationships/hyperlink" Id="rId273" Target="https://www.R-project.org/" TargetMode="External" /><Relationship Type="http://schemas.openxmlformats.org/officeDocument/2006/relationships/hyperlink" Id="rId346" Target="https://www.routledge.com/Bayes-Rules-An-Introduction-to-Applied-Bayesian-Modeling/Johnson-Ott-Dogucu/p/book/9780367255398" TargetMode="External" /><Relationship Type="http://schemas.openxmlformats.org/officeDocument/2006/relationships/hyperlink" Id="rId267" Target="https://www.sciencedirect.com/science/article/pii/S0048969723041505" TargetMode="External" /><Relationship Type="http://schemas.openxmlformats.org/officeDocument/2006/relationships/hyperlink" Id="rId40"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using the packages {marginaleffects} and {easystats}. We also discuss model extensions, including zero-inflated, zero- and one-inflated, and ordered beta models. Basic familiarity with regression modeling and R is assumed. To promote wider adoption of these methods, we provide detailed code and materials at https://doi.org/10.5281/zenodo.15830595.For researchers preferring a frequentist framework, we include an appendix demonstrating equivalent analyses using {glmmTMB}.</vt:lpwstr>
  </property>
  <property fmtid="{D5CDD505-2E9C-101B-9397-08002B2CF9AE}" pid="5" name="apaauthor">
    <vt:lpwstr/>
  </property>
  <property fmtid="{D5CDD505-2E9C-101B-9397-08002B2CF9AE}" pid="6" name="apatitle">
    <vt:lpwstr>A Beta Way: A Bayesian Tutorial on Beta Regression for Psychological Research</vt:lpwstr>
  </property>
  <property fmtid="{D5CDD505-2E9C-101B-9397-08002B2CF9AE}" pid="7" name="apatitledisplay">
    <vt:lpwstr>A Beta Way: A Bayesian Tutorial on Beta Regression for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13203</vt:lpwstr>
  </property>
  <property fmtid="{D5CDD505-2E9C-101B-9397-08002B2CF9AE}" pid="66" name="zerocitations">
    <vt:lpwstr>False</vt:lpwstr>
  </property>
</Properties>
</file>