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8.svg" ContentType="image/svg+xml"/>
  <Override PartName="/word/media/rId47.png" ContentType="image/png"/>
  <Override PartName="/word/media/rId96.png" ContentType="image/png"/>
  <Override PartName="/word/media/rId65.png" ContentType="image/png"/>
  <Override PartName="/word/media/rId143.png" ContentType="image/png"/>
  <Override PartName="/word/media/rId56.png" ContentType="image/png"/>
  <Override PartName="/word/media/rId87.png" ContentType="image/png"/>
  <Override PartName="/word/media/rId149.png" ContentType="image/png"/>
  <Override PartName="/word/media/rId138.png" ContentType="image/png"/>
  <Override PartName="/word/media/rId78.png" ContentType="image/png"/>
  <Override PartName="/word/media/rId73.png" ContentType="image/png"/>
  <Override PartName="/word/media/rId114.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17"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Chapman University</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17"/>
    <w:bookmarkStart w:id="36" w:name="author-note"/>
    <w:p>
      <w:pPr>
        <w:pStyle w:val="Heading1"/>
      </w:pPr>
      <w:r>
        <w:t xml:space="preserve">Author Note</w:t>
      </w:r>
    </w:p>
    <w:p>
      <w:pPr>
        <w:pStyle w:val="FirstParagraph"/>
      </w:pPr>
      <w:r>
        <w:t xml:space="preserve">Jason Geller</w:t>
      </w:r>
      <w:r>
        <w:t xml:space="preserve"> </w:t>
      </w:r>
      <w:bookmarkStart w:id="21" w:name="orchid"/>
      <w:r>
        <w:drawing>
          <wp:inline>
            <wp:extent cx="152279" cy="152279"/>
            <wp:effectExtent b="0" l="0" r="0" t="0"/>
            <wp:docPr descr="Orcid ID Logo: A green circle with white letters ID" title="" id="19" name="Picture"/>
            <a:graphic>
              <a:graphicData uri="http://schemas.openxmlformats.org/drawingml/2006/picture">
                <pic:pic>
                  <pic:nvPicPr>
                    <pic:cNvPr descr="_extensions/apaquarto/ORCID-iD_icon-vector.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1"/>
      <w:r>
        <w:t xml:space="preserve"> </w:t>
      </w:r>
      <w:hyperlink r:id="rId22">
        <w:r>
          <w:rPr>
            <w:rStyle w:val="Hyperlink"/>
          </w:rPr>
          <w:t xml:space="preserve">https://orcid.org/0000-0002-7459-4505</w:t>
        </w:r>
      </w:hyperlink>
    </w:p>
    <w:p>
      <w:pPr>
        <w:pStyle w:val="BodyText"/>
      </w:pPr>
      <w:r>
        <w:t xml:space="preserve">Robert Kubinec</w:t>
      </w:r>
      <w:r>
        <w:t xml:space="preserve"> </w:t>
      </w:r>
      <w:bookmarkStart w:id="25" w:name="orch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rto/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https://orcid.org/0000-0001-6655-4119</w:t>
        </w:r>
      </w:hyperlink>
    </w:p>
    <w:p>
      <w:pPr>
        <w:pStyle w:val="BodyText"/>
      </w:pPr>
      <w:r>
        <w:t xml:space="preserve">Chelsea M. Parlett Pelleriti</w:t>
      </w:r>
      <w:r>
        <w:t xml:space="preserve"> </w:t>
      </w:r>
      <w:bookmarkStart w:id="29" w:name="orch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rto/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https://orcid.org/0000-0001-9301-1398</w:t>
        </w:r>
      </w:hyperlink>
    </w:p>
    <w:p>
      <w:pPr>
        <w:pStyle w:val="BodyText"/>
      </w:pPr>
      <w:r>
        <w:t xml:space="preserve">Matti Vuorre</w:t>
      </w:r>
      <w:r>
        <w:t xml:space="preserve"> </w:t>
      </w:r>
      <w:bookmarkStart w:id="33" w:name="orch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rto/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5">
        <w:r>
          <w:rPr>
            <w:rStyle w:val="Hyperlink"/>
          </w:rPr>
          <w:t xml:space="preserve">drjasongeller@gmail.com</w:t>
        </w:r>
      </w:hyperlink>
    </w:p>
    <w:p>
      <w:r>
        <w:br w:type="page"/>
      </w:r>
    </w:p>
    <w:bookmarkEnd w:id="36"/>
    <w:bookmarkStart w:id="37"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11306</w:t>
      </w:r>
    </w:p>
    <w:p>
      <w:r>
        <w:br w:type="page"/>
      </w:r>
    </w:p>
    <w:bookmarkEnd w:id="37"/>
    <w:bookmarkStart w:id="41"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nix/store/q893frxy9kjzc70px17r3vww1vxy2h1j-quarto-1.7.34/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1"/>
    <w:bookmarkStart w:id="61"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2"/>
      </w:r>
      <w:r>
        <w:t xml:space="preserve"> </w:t>
      </w:r>
      <w:r>
        <w:t xml:space="preserve">Consequently, a scale that has natural end points of -1,234 and +8,451–or any other end points on the real number line short of infinity—can be modeled using the approaches we describe in this paper.</w:t>
      </w:r>
    </w:p>
    <w:bookmarkStart w:id="45"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3">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44"/>
      </w:r>
      <w:r>
        <w:t xml:space="preserve">.</w:t>
      </w:r>
    </w:p>
    <w:bookmarkEnd w:id="45"/>
    <w:bookmarkStart w:id="51"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46"/>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(pink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(orange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0"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48" name="Picture"/>
            <a:graphic>
              <a:graphicData uri="http://schemas.openxmlformats.org/drawingml/2006/picture">
                <pic:pic>
                  <pic:nvPicPr>
                    <pic:cNvPr descr="ms_files/figure-docx/fig-curves-1.png" id="49" name="Picture"/>
                    <pic:cNvPicPr>
                      <a:picLocks noChangeArrowheads="1" noChangeAspect="1"/>
                    </pic:cNvPicPr>
                  </pic:nvPicPr>
                  <pic:blipFill>
                    <a:blip r:embed="rId47"/>
                    <a:stretch>
                      <a:fillRect/>
                    </a:stretch>
                  </pic:blipFill>
                  <pic:spPr bwMode="auto">
                    <a:xfrm>
                      <a:off x="0" y="0"/>
                      <a:ext cx="5504749" cy="2862469"/>
                    </a:xfrm>
                    <a:prstGeom prst="rect">
                      <a:avLst/>
                    </a:prstGeom>
                    <a:noFill/>
                    <a:ln w="9525">
                      <a:noFill/>
                      <a:headEnd/>
                      <a:tailEnd/>
                    </a:ln>
                  </pic:spPr>
                </pic:pic>
              </a:graphicData>
            </a:graphic>
          </wp:inline>
        </w:drawing>
      </w:r>
    </w:p>
    <w:bookmarkEnd w:id="50"/>
    <w:bookmarkEnd w:id="51"/>
    <w:bookmarkStart w:id="53"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2"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2"/>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3"/>
    <w:bookmarkStart w:id="60"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4"/>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5"/>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59"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7" name="Picture"/>
            <a:graphic>
              <a:graphicData uri="http://schemas.openxmlformats.org/drawingml/2006/picture">
                <pic:pic>
                  <pic:nvPicPr>
                    <pic:cNvPr descr="ms_files/figure-docx/fig-p-value-pd-comp-1.png" id="58" name="Picture"/>
                    <pic:cNvPicPr>
                      <a:picLocks noChangeArrowheads="1" noChangeAspect="1"/>
                    </pic:cNvPicPr>
                  </pic:nvPicPr>
                  <pic:blipFill>
                    <a:blip r:embed="rId56"/>
                    <a:stretch>
                      <a:fillRect/>
                    </a:stretch>
                  </pic:blipFill>
                  <pic:spPr bwMode="auto">
                    <a:xfrm>
                      <a:off x="0" y="0"/>
                      <a:ext cx="5504749" cy="4403799"/>
                    </a:xfrm>
                    <a:prstGeom prst="rect">
                      <a:avLst/>
                    </a:prstGeom>
                    <a:noFill/>
                    <a:ln w="9525">
                      <a:noFill/>
                      <a:headEnd/>
                      <a:tailEnd/>
                    </a:ln>
                  </pic:spPr>
                </pic:pic>
              </a:graphicData>
            </a:graphic>
          </wp:inline>
        </w:drawing>
      </w:r>
    </w:p>
    <w:bookmarkEnd w:id="59"/>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0"/>
    <w:bookmarkEnd w:id="61"/>
    <w:bookmarkStart w:id="155" w:name="beta-regression-tutorial"/>
    <w:p>
      <w:pPr>
        <w:pStyle w:val="Heading1"/>
      </w:pPr>
      <w:r>
        <w:t xml:space="preserve">Beta Regression Tutorial</w:t>
      </w:r>
    </w:p>
    <w:bookmarkStart w:id="64"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2"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2"/>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3"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3"/>
    <w:bookmarkEnd w:id="64"/>
    <w:bookmarkStart w:id="83"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8"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6" name="Picture"/>
            <a:graphic>
              <a:graphicData uri="http://schemas.openxmlformats.org/drawingml/2006/picture">
                <pic:pic>
                  <pic:nvPicPr>
                    <pic:cNvPr descr="ms_files/figure-docx/fig-flu1-1.png" id="67" name="Picture"/>
                    <pic:cNvPicPr>
                      <a:picLocks noChangeArrowheads="1" noChangeAspect="1"/>
                    </pic:cNvPicPr>
                  </pic:nvPicPr>
                  <pic:blipFill>
                    <a:blip r:embed="rId65"/>
                    <a:stretch>
                      <a:fillRect/>
                    </a:stretch>
                  </pic:blipFill>
                  <pic:spPr bwMode="auto">
                    <a:xfrm>
                      <a:off x="0" y="0"/>
                      <a:ext cx="5504749" cy="4403799"/>
                    </a:xfrm>
                    <a:prstGeom prst="rect">
                      <a:avLst/>
                    </a:prstGeom>
                    <a:noFill/>
                    <a:ln w="9525">
                      <a:noFill/>
                      <a:headEnd/>
                      <a:tailEnd/>
                    </a:ln>
                  </pic:spPr>
                </pic:pic>
              </a:graphicData>
            </a:graphic>
          </wp:inline>
        </w:drawing>
      </w:r>
    </w:p>
    <w:bookmarkEnd w:id="68"/>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2" w:name="regression-analysis"/>
    <w:p>
      <w:pPr>
        <w:pStyle w:val="Heading3"/>
      </w:pPr>
      <w:r>
        <w:t xml:space="preserve">Regression Analysis</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69"/>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0" w:name="lst-loadbrms"/>
          <w:p>
            <w:pPr>
              <w:jc w:val="center"/>
            </w:pPr>
            <w:pPr>
              <w:jc w:val="start"/>
              <w:spacing w:before="200"/>
              <w:pStyle w:val="ImageCaption"/>
            </w:pPr>
            <w:r>
              <w:t xml:space="preserve">Listing 2: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lst-gauss"/>
          <w:p>
            <w:pPr>
              <w:jc w:val="center"/>
            </w:pPr>
            <w:pPr>
              <w:jc w:val="start"/>
              <w:spacing w:before="200"/>
              <w:pStyle w:val="ImageCaption"/>
            </w:pPr>
            <w:r>
              <w:t xml:space="preserve">Listing 3: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1"/>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-0.003 to 0.169.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3993     2515</w:t>
      </w:r>
      <w:r>
        <w:br/>
      </w:r>
      <w:r>
        <w:rPr>
          <w:rStyle w:val="VerbatimChar"/>
        </w:rPr>
        <w:t xml:space="preserve">FluencyFluent     0.08      0.04    -0.00     0.17 1.00     4134     2990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4035     2970</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less than 5%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(bayes_reg_model, </w:t>
            </w:r>
            <w:r>
              <w:rPr>
                <w:rStyle w:val="AttributeTok"/>
              </w:rPr>
              <w:t xml:space="preserve">ci =</w:t>
            </w:r>
            <w:r>
              <w:rPr>
                <w:rStyle w:val="NormalTok"/>
              </w:rPr>
              <w:t xml:space="preserve"> .</w:t>
            </w:r>
            <w:r>
              <w:rPr>
                <w:rStyle w:val="DecValTok"/>
              </w:rPr>
              <w:t xml:space="preserve">95</w:t>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w:t>
            </w:r>
          </w:p>
          <w:bookmarkEnd w:id="72"/>
        </w:tc>
      </w:tr>
    </w:tbl>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Heading4"/>
        <w:rPr>
          <w:vanish/>
          <w:specVanish/>
        </w:rPr>
      </w:pPr>
      <w:r>
        <w:t>Assumptions.</w:t>
      </w:r>
      <w:r>
        <w:t xml:space="preserve"> </w:t>
      </w:r>
    </w:p>
    <w:p>
      <w:pPr>
        <w:pStyle w:val="BodyText"/>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2"/>
    <w:bookmarkEnd w:id="83"/>
    <w:bookmarkStart w:id="108"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4" w:name="lst-beta01"/>
          <w:p>
            <w:pPr>
              <w:jc w:val="center"/>
            </w:pPr>
            <w:pPr>
              <w:jc w:val="start"/>
              <w:spacing w:before="200"/>
              <w:pStyle w:val="ImageCaption"/>
            </w:pPr>
            <w:r>
              <w:t xml:space="preserve">Listing 6: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84"/>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lst-betadis"/>
          <w:p>
            <w:pPr>
              <w:jc w:val="center"/>
            </w:pPr>
            <w:pPr>
              <w:jc w:val="start"/>
              <w:spacing w:before="200"/>
              <w:pStyle w:val="ImageCaption"/>
            </w:pPr>
            <w:r>
              <w:t xml:space="preserve">Listing 7: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85"/>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m:t>
            </m:r>
          </m:sub>
          <m:sup>
            <m:r>
              <m:rPr>
                <m:sty m:val="p"/>
              </m:rPr>
              <m:t>(</m:t>
            </m:r>
            <m:r>
              <m:t>ϕ</m:t>
            </m:r>
            <m:r>
              <m:rPr>
                <m:sty m:val="p"/>
              </m:rPr>
              <m:t>)</m:t>
            </m:r>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6"/>
      </w:r>
    </w:p>
    <w:bookmarkStart w:id="90" w:name="fig-plt-diff"/>
    <w:p>
      <w:pPr>
        <w:pStyle w:val="FigureTitle"/>
      </w:pPr>
      <w:r>
        <w:t xml:space="preserve">Figure 6</w:t>
      </w:r>
    </w:p>
    <w:p>
      <w:pPr>
        <w:pStyle w:val="Caption"/>
      </w:pPr>
      <w:r>
        <w:t xml:space="preserve">Comparison of posterior distributions for the percentage point difference between fluent and disfluent instructors: Simple model (no dispersion for Fluency) vs. complex model with dispersion</w:t>
      </w:r>
    </w:p>
    <w:p>
      <w:pPr>
        <w:pStyle w:val="FigureWithoutNote"/>
      </w:pPr>
      <w:r>
        <w:drawing>
          <wp:inline>
            <wp:extent cx="5504749" cy="4403799"/>
            <wp:effectExtent b="0" l="0" r="0" t="0"/>
            <wp:docPr descr="" title="" id="88" name="Picture"/>
            <a:graphic>
              <a:graphicData uri="http://schemas.openxmlformats.org/drawingml/2006/picture">
                <pic:pic>
                  <pic:nvPicPr>
                    <pic:cNvPr descr="ms_files/figure-docx/fig-plt-diff-1.png" id="89" name="Picture"/>
                    <pic:cNvPicPr>
                      <a:picLocks noChangeArrowheads="1" noChangeAspect="1"/>
                    </pic:cNvPicPr>
                  </pic:nvPicPr>
                  <pic:blipFill>
                    <a:blip r:embed="rId87"/>
                    <a:stretch>
                      <a:fillRect/>
                    </a:stretch>
                  </pic:blipFill>
                  <pic:spPr bwMode="auto">
                    <a:xfrm>
                      <a:off x="0" y="0"/>
                      <a:ext cx="5504749" cy="4403799"/>
                    </a:xfrm>
                    <a:prstGeom prst="rect">
                      <a:avLst/>
                    </a:prstGeom>
                    <a:noFill/>
                    <a:ln w="9525">
                      <a:noFill/>
                      <a:headEnd/>
                      <a:tailEnd/>
                    </a:ln>
                  </pic:spPr>
                </pic:pic>
              </a:graphicData>
            </a:graphic>
          </wp:inline>
        </w:drawing>
      </w:r>
    </w:p>
    <w:bookmarkEnd w:id="90"/>
    <w:bookmarkStart w:id="100"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avg_predictions()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1" w:name="lst-me"/>
          <w:p>
            <w:pPr>
              <w:jc w:val="center"/>
            </w:pPr>
            <w:pPr>
              <w:jc w:val="start"/>
              <w:spacing w:before="200"/>
              <w:pStyle w:val="ImageCaption"/>
            </w:pPr>
            <w:r>
              <w:t xml:space="preserve">Listing 8: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1"/>
        </w:tc>
      </w:tr>
    </w:tbl>
    <w:tbl>
      <w:tblPr>
        <w:tblStyle w:val="Table"/>
        <w:tblW w:type="pct" w:w="5000"/>
        <w:tblLayout w:type="fixed"/>
        <w:tblLook w:firstRow="0" w:lastRow="0" w:firstColumn="0" w:lastColumn="0" w:noHBand="0" w:noVBand="0" w:val="0000"/>
      </w:tblPr>
      <w:tblGrid>
        <w:gridCol w:w="7920"/>
      </w:tblGrid>
      <w:tr>
        <w:tc>
          <w:tcPr/>
          <w:bookmarkStart w:id="92" w:name="lst-pred"/>
          <w:p>
            <w:pPr>
              <w:jc w:val="center"/>
            </w:pPr>
            <w:pPr>
              <w:jc w:val="start"/>
              <w:spacing w:before="200"/>
              <w:pStyle w:val="ImageCaption"/>
            </w:pPr>
            <w:r>
              <w:t xml:space="preserve">Listing 9: Predictions from the beta model for each level of Fluency (</w:t>
            </w:r>
            <m:oMath>
              <m:r>
                <m:t>μ</m:t>
              </m:r>
            </m:oMath>
            <w:r>
              <w:t xml:space="preserve">).</w:t>
            </w:r>
          </w:p>
          <w:p>
            <w:pPr>
              <w:pStyle w:val="SourceCode"/>
              <w:jc w:val="center"/>
            </w:pPr>
            <w:r>
              <w:rPr>
                <w:rStyle w:val="FunctionTok"/>
              </w:rPr>
              <w:t xml:space="preserve">avg_predictions</w:t>
            </w:r>
            <w:r>
              <w:rPr>
                <w:rStyle w:val="NormalTok"/>
              </w:rPr>
              <w:t xml:space="preserve">(</w:t>
            </w:r>
            <w:r>
              <w:br/>
            </w:r>
            <w:r>
              <w:rPr>
                <w:rStyle w:val="NormalTok"/>
              </w:rPr>
              <w:t xml:space="preserve">  beta_brms_dis,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2"/>
        </w:tc>
      </w:tr>
    </w:tbl>
    <w:bookmarkStart w:id="93" w:name="tbl-predict-prob"/>
    <w:p>
      <w:pPr>
        <w:pStyle w:val="FigureTitle"/>
      </w:pPr>
      <w:r>
        <w:t xml:space="preserve">Table 2</w:t>
      </w:r>
    </w:p>
    <w:p>
      <w:pPr>
        <w:pStyle w:val="Caption"/>
      </w:pPr>
      <w:r>
        <w:t xml:space="preserve">Predicted probabilities for each level of Fluency (</w:t>
      </w:r>
      <m:oMath>
        <m:r>
          <m:t>μ</m:t>
        </m:r>
      </m:oMath>
      <w:r>
        <w:t xml:space="preserve">).</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0.305</w:t>
            </w:r>
          </w:p>
        </w:tc>
        <w:tc>
          <w:tcPr/>
          <w:p>
            <w:pPr>
              <w:pStyle w:val="Compact"/>
            </w:pPr>
            <w:r>
              <w:t xml:space="preserve">[0.252, 0.366]</w:t>
            </w:r>
          </w:p>
        </w:tc>
      </w:tr>
      <w:tr>
        <w:tc>
          <w:tcPr/>
          <w:p>
            <w:pPr>
              <w:pStyle w:val="Compact"/>
            </w:pPr>
            <w:r>
              <w:t xml:space="preserve">Fluent</w:t>
            </w:r>
          </w:p>
        </w:tc>
        <w:tc>
          <w:tcPr/>
          <w:p>
            <w:pPr>
              <w:pStyle w:val="Compact"/>
            </w:pPr>
            <w:r>
              <w:t xml:space="preserve">0.348</w:t>
            </w:r>
          </w:p>
        </w:tc>
        <w:tc>
          <w:tcPr/>
          <w:p>
            <w:pPr>
              <w:pStyle w:val="Compact"/>
            </w:pPr>
            <w:r>
              <w:t xml:space="preserve">[0.3, 0.398]</w:t>
            </w:r>
          </w:p>
        </w:tc>
      </w:tr>
    </w:tbl>
    <w:bookmarkEnd w:id="93"/>
    <w:p>
      <w:pPr>
        <w:pStyle w:val="AfterWithoutNote"/>
      </w:pPr>
      <w:r>
        <w:t xml:space="preserve">For the</w:t>
      </w:r>
      <w:r>
        <w:t xml:space="preserve"> </w:t>
      </w:r>
      <w:r>
        <w:rPr>
          <w:rStyle w:val="VerbatimChar"/>
        </w:rPr>
        <w:t xml:space="preserve">Fluency</w:t>
      </w:r>
      <w:r>
        <w:t xml:space="preserve"> </w:t>
      </w:r>
      <w:r>
        <w:t xml:space="preserve">factor, we can interpret the estimates under the</w:t>
      </w:r>
      <w:r>
        <w:t xml:space="preserve"> </w:t>
      </w:r>
      <w:r>
        <w:rPr>
          <w:rStyle w:val="VerbatimChar"/>
        </w:rPr>
        <w:t xml:space="preserve">Mean</w:t>
      </w:r>
      <w:r>
        <w:t xml:space="preserve"> </w:t>
      </w:r>
      <w:r>
        <w:t xml:space="preserve">column as a proportion or percentage.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(beta_brms_dis,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4"/>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(beta_brms_dis,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5"/>
        </w:tc>
      </w:tr>
    </w:tbl>
    <w:bookmarkStart w:id="99" w:name="fig-draws-fluency"/>
    <w:p>
      <w:pPr>
        <w:pStyle w:val="FigureTitle"/>
      </w:pPr>
      <w:r>
        <w:t xml:space="preserve">Figure 7</w:t>
      </w:r>
    </w:p>
    <w:p>
      <w:pPr>
        <w:pStyle w:val="Caption"/>
      </w:pPr>
      <w:r>
        <w:t xml:space="preserve">Predicted probablity posterior distributions by instructor fluency</w:t>
      </w:r>
    </w:p>
    <w:p>
      <w:pPr>
        <w:pStyle w:val="FigureWithoutNote"/>
      </w:pPr>
      <w:r>
        <w:drawing>
          <wp:inline>
            <wp:extent cx="5504749" cy="4403799"/>
            <wp:effectExtent b="0" l="0" r="0" t="0"/>
            <wp:docPr descr="" title="" id="97" name="Picture"/>
            <a:graphic>
              <a:graphicData uri="http://schemas.openxmlformats.org/drawingml/2006/picture">
                <pic:pic>
                  <pic:nvPicPr>
                    <pic:cNvPr descr="ms_files/figure-docx/fig-draws-fluency-1.png" id="98" name="Picture"/>
                    <pic:cNvPicPr>
                      <a:picLocks noChangeArrowheads="1" noChangeAspect="1"/>
                    </pic:cNvPicPr>
                  </pic:nvPicPr>
                  <pic:blipFill>
                    <a:blip r:embed="rId96"/>
                    <a:stretch>
                      <a:fillRect/>
                    </a:stretch>
                  </pic:blipFill>
                  <pic:spPr bwMode="auto">
                    <a:xfrm>
                      <a:off x="0" y="0"/>
                      <a:ext cx="5504749" cy="4403799"/>
                    </a:xfrm>
                    <a:prstGeom prst="rect">
                      <a:avLst/>
                    </a:prstGeom>
                    <a:noFill/>
                    <a:ln w="9525">
                      <a:noFill/>
                      <a:headEnd/>
                      <a:tailEnd/>
                    </a:ln>
                  </pic:spPr>
                </pic:pic>
              </a:graphicData>
            </a:graphic>
          </wp:inline>
        </w:drawing>
      </w:r>
    </w:p>
    <w:bookmarkEnd w:id="99"/>
    <w:bookmarkEnd w:id="100"/>
    <w:bookmarkStart w:id="106"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1" w:name="lst-avgcomp"/>
          <w:p>
            <w:pPr>
              <w:jc w:val="center"/>
            </w:pPr>
            <w:pPr>
              <w:jc w:val="start"/>
              <w:spacing w:before="200"/>
              <w:pStyle w:val="ImageCaption"/>
            </w:pPr>
            <w:r>
              <w:t xml:space="preserve">Listing 12: Calculating the difference between probabilities (</w:t>
            </w:r>
            <m:oMath>
              <m:r>
                <m:t>μ</m:t>
              </m:r>
            </m:oMath>
            <w:r>
              <w:t xml:space="preserve">) for instructor fluency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1"/>
        </w:tc>
      </w:tr>
    </w:tbl>
    <w:bookmarkStart w:id="102" w:name="tbl-ame1"/>
    <w:p>
      <w:pPr>
        <w:pStyle w:val="FigureTitle"/>
      </w:pPr>
      <w:r>
        <w:t xml:space="preserve">Table 3</w:t>
      </w:r>
    </w:p>
    <w:p>
      <w:pPr>
        <w:pStyle w:val="Caption"/>
      </w:pPr>
      <w:r>
        <w:t xml:space="preserve">Fluency difference (</w:t>
      </w:r>
      <m:oMath>
        <m:r>
          <m:t>μ</m:t>
        </m:r>
      </m:oMath>
      <w:r>
        <w:t xml:space="preserv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0.043</w:t>
            </w:r>
          </w:p>
        </w:tc>
        <w:tc>
          <w:tcPr/>
          <w:p>
            <w:pPr>
              <w:pStyle w:val="Compact"/>
            </w:pPr>
            <w:r>
              <w:t xml:space="preserve">[-0.035, 0.117]</w:t>
            </w:r>
          </w:p>
        </w:tc>
        <w:tc>
          <w:tcPr/>
          <w:p>
            <w:pPr>
              <w:pStyle w:val="Compact"/>
            </w:pPr>
            <w:r>
              <w:t xml:space="preserve">0.86</w:t>
            </w:r>
          </w:p>
        </w:tc>
      </w:tr>
    </w:tbl>
    <w:bookmarkEnd w:id="102"/>
    <w:p>
      <w:pPr>
        <w:pStyle w:val="Heading4"/>
        <w:rPr>
          <w:vanish/>
          <w:specVanish/>
        </w:rPr>
      </w:pPr>
      <w:r>
        <w:t>\mu Difference.</w:t>
      </w:r>
      <w:r>
        <w:t xml:space="preserve"> </w:t>
      </w:r>
    </w:p>
    <w:p>
      <w:pPr>
        <w:pStyle w:val="BodyText"/>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 The pd also indicates the effect is non-significant (</w:t>
      </w:r>
      <w:r>
        <w:rPr>
          <w:i/>
          <w:iCs/>
        </w:rPr>
        <w:t xml:space="preserve">p</w:t>
      </w:r>
      <w:r>
        <w:t xml:space="preserve"> </w:t>
      </w:r>
      <w:r>
        <w:t xml:space="preserve">&gt; .05). In the basic regression model above, the ROPE value was extracted using the {bayestestR} package.</w:t>
      </w:r>
    </w:p>
    <w:tbl>
      <w:tblPr>
        <w:tblStyle w:val="Table"/>
        <w:tblW w:type="pct" w:w="5000"/>
        <w:tblLayout w:type="fixed"/>
        <w:tblLook w:firstRow="0" w:lastRow="0" w:firstColumn="0" w:lastColumn="0" w:noHBand="0" w:noVBand="0" w:val="0000"/>
      </w:tblPr>
      <w:tblGrid>
        <w:gridCol w:w="7920"/>
      </w:tblGrid>
      <w:tr>
        <w:tc>
          <w:tcPr/>
          <w:bookmarkStart w:id="103" w:name="lst-merope"/>
          <w:p>
            <w:pPr>
              <w:jc w:val="center"/>
            </w:pPr>
            <w:pPr>
              <w:jc w:val="start"/>
              <w:spacing w:before="200"/>
              <w:pStyle w:val="ImageCaption"/>
            </w:pPr>
            <w:r>
              <w:t xml:space="preserve">Listing 13: Extracting ROPE using {marginaleffects} for</w:t>
            </w:r>
            <w:r>
              <w:t xml:space="preserve"> </w:t>
            </w:r>
            <m:oMath>
              <m:r>
                <m:t>μ</m:t>
              </m:r>
            </m:oMath>
            <w:r>
              <w:t xml:space="preserve"> </w:t>
            </w:r>
            <w:r>
              <w:t xml:space="preserve">difference</w:t>
            </w:r>
          </w:p>
          <w:p>
            <w:pPr>
              <w:pStyle w:val="SourceCode"/>
              <w:jc w:val="center"/>
            </w:pPr>
            <w:r>
              <w:rPr>
                <w:rStyle w:val="CommentTok"/>
              </w:rPr>
              <w:t xml:space="preserve"># get risk difference by default</w:t>
            </w:r>
            <w:r>
              <w:br/>
            </w:r>
            <w:r>
              <w:rPr>
                <w:rStyle w:val="NormalTok"/>
              </w:rPr>
              <w:t xml:space="preserve">beta_avg_comp_rope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CommentTok"/>
              </w:rPr>
              <w:t xml:space="preserve"># counterfactural difference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rPr>
                <w:rStyle w:val="NormalTok"/>
              </w:rPr>
              <w:t xml:space="preserve">,</w:t>
            </w:r>
            <w:r>
              <w:br/>
            </w:r>
            <w:r>
              <w:rPr>
                <w:rStyle w:val="NormalTok"/>
              </w:rPr>
              <w:t xml:space="preserve">  </w:t>
            </w:r>
            <w:r>
              <w:rPr>
                <w:rStyle w:val="AttributeTok"/>
              </w:rPr>
              <w:t xml:space="preserve">equivalence=</w:t>
            </w:r>
            <w:r>
              <w:rPr>
                <w:rStyle w:val="FunctionTok"/>
              </w:rPr>
              <w:t xml:space="preserve">c</w:t>
            </w:r>
            <w:r>
              <w:rPr>
                <w:rStyle w:val="NormalTok"/>
              </w:rPr>
              <w:t xml:space="preserve">(</w:t>
            </w:r>
            <w:r>
              <w:rPr>
                <w:rStyle w:val="SpecialCharTok"/>
              </w:rPr>
              <w:t xml:space="preserve">-</w:t>
            </w:r>
            <w:r>
              <w:rPr>
                <w:rStyle w:val="FloatTok"/>
              </w:rPr>
              <w:t xml:space="preserve">0.02</w:t>
            </w:r>
            <w:r>
              <w:rPr>
                <w:rStyle w:val="NormalTok"/>
              </w:rPr>
              <w:t xml:space="preserve">, .</w:t>
            </w:r>
            <w:r>
              <w:rPr>
                <w:rStyle w:val="DecValTok"/>
              </w:rPr>
              <w:t xml:space="preserve">02</w:t>
            </w:r>
            <w:r>
              <w:rPr>
                <w:rStyle w:val="NormalTok"/>
              </w:rPr>
              <w:t xml:space="preserve">)</w:t>
            </w:r>
            <w:r>
              <w:br/>
            </w:r>
            <w:r>
              <w:rPr>
                <w:rStyle w:val="NormalTok"/>
              </w:rPr>
              <w:t xml:space="preserve">)</w:t>
            </w:r>
          </w:p>
          <w:bookmarkEnd w:id="103"/>
        </w:tc>
      </w:tr>
    </w:tbl>
    <w:p>
      <w:pPr>
        <w:pStyle w:val="FirstParagraph"/>
      </w:pPr>
      <w:r>
        <w:t xml:space="preserve">The ROPE can also be obtained using the {marginaleffects} package by specifying the</w:t>
      </w:r>
      <w:r>
        <w:t xml:space="preserve"> </w:t>
      </w:r>
      <w:r>
        <w:rPr>
          <w:rStyle w:val="VerbatimChar"/>
        </w:rPr>
        <w:t xml:space="preserve">equivalence</w:t>
      </w:r>
      <w:r>
        <w:t xml:space="preserve"> </w:t>
      </w:r>
      <w:r>
        <w:t xml:space="preserve">bounds in</w:t>
      </w:r>
      <w:r>
        <w:t xml:space="preserve"> </w:t>
      </w:r>
      <w:r>
        <w:rPr>
          <w:rStyle w:val="VerbatimChar"/>
        </w:rPr>
        <w:t xml:space="preserve">avg_comparisons()</w:t>
      </w:r>
      <w:r>
        <w:t xml:space="preserve">. Running the code in</w:t>
      </w:r>
      <w:r>
        <w:t xml:space="preserve"> </w:t>
      </w:r>
      <w:hyperlink w:anchor="lst-merope">
        <w:r>
          <w:rPr>
            <w:rStyle w:val="Hyperlink"/>
          </w:rPr>
          <w:t xml:space="preserve">Listing 13</w:t>
        </w:r>
      </w:hyperlink>
      <w:r>
        <w:t xml:space="preserve"> </w:t>
      </w:r>
      <w:r>
        <w:t xml:space="preserve">returns a ROPE probability of 23%, indicating that there is insufficient evidence to conclude that the effect exceeds 2% or is practically equivalent.</w:t>
      </w:r>
    </w:p>
    <w:p>
      <w:pPr>
        <w:pStyle w:val="Heading4"/>
        <w:rPr>
          <w:vanish/>
          <w:specVanish/>
        </w:rPr>
      </w:pPr>
      <w:r>
        <w:t>\phi difference.</w:t>
      </w:r>
      <w:r>
        <w:t xml:space="preserve"> </w:t>
      </w:r>
    </w:p>
    <w:p>
      <w:pPr>
        <w:pStyle w:val="BodyText"/>
      </w:pPr>
      <w:r>
        <w:t xml:space="preserve">In addition, with {marginaleffects}, we can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lst-avgphi"/>
          <w:p>
            <w:pPr>
              <w:jc w:val="center"/>
            </w:pPr>
            <w:pPr>
              <w:jc w:val="start"/>
              <w:spacing w:before="200"/>
              <w:pStyle w:val="ImageCaption"/>
            </w:pPr>
            <w:r>
              <w:t xml:space="preserve">Listing 14: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4"/>
        </w:tc>
      </w:tr>
    </w:tbl>
    <w:p>
      <w:pPr>
        <w:pStyle w:val="Heading4"/>
        <w:rPr>
          <w:vanish/>
          <w:specVanish/>
        </w:rPr>
      </w:pPr>
      <w:r>
        <w:t>Effect Size.</w:t>
      </w:r>
      <w:r>
        <w:t xml:space="preserve"> </w:t>
      </w:r>
    </w:p>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5"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05"/>
    </w:p>
    <w:bookmarkEnd w:id="106"/>
    <w:bookmarkStart w:id="107"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the model’s predictive performance can be improved the bounds of the scale are explicitly specified.</w:t>
      </w:r>
    </w:p>
    <w:bookmarkEnd w:id="107"/>
    <w:bookmarkEnd w:id="108"/>
    <w:bookmarkStart w:id="119"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lst-zib"/>
          <w:p>
            <w:pPr>
              <w:jc w:val="center"/>
            </w:pPr>
            <w:pPr>
              <w:jc w:val="start"/>
              <w:spacing w:before="200"/>
              <w:pStyle w:val="ImageCaption"/>
            </w:pPr>
            <w:r>
              <w:t xml:space="preserve">Listing 15: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09"/>
        </w:tc>
      </w:tr>
    </w:tbl>
    <w:bookmarkStart w:id="110"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0"/>
    <w:bookmarkStart w:id="113"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1"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[-0.033, 0.118]</w:t>
            </w:r>
          </w:p>
        </w:tc>
        <w:tc>
          <w:tcPr/>
          <w:p>
            <w:pPr>
              <w:pStyle w:val="Compact"/>
            </w:pPr>
            <w:r>
              <w:t xml:space="preserve">0.875</w:t>
            </w:r>
          </w:p>
        </w:tc>
      </w:tr>
    </w:tbl>
    <w:bookmarkEnd w:id="111"/>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2"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w:t>
            </w:r>
          </w:p>
        </w:tc>
        <w:tc>
          <w:tcPr/>
          <w:p>
            <w:pPr>
              <w:pStyle w:val="Compact"/>
            </w:pPr>
            <w:r>
              <w:t xml:space="preserve">[-0.967, 6.664]</w:t>
            </w:r>
          </w:p>
        </w:tc>
        <w:tc>
          <w:tcPr/>
          <w:p>
            <w:pPr>
              <w:pStyle w:val="Compact"/>
            </w:pPr>
            <w:r>
              <w:t xml:space="preserve">0.922</w:t>
            </w:r>
          </w:p>
        </w:tc>
      </w:tr>
    </w:tbl>
    <w:bookmarkEnd w:id="112"/>
    <w:bookmarkEnd w:id="113"/>
    <w:bookmarkStart w:id="118"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7"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5" name="Picture"/>
            <a:graphic>
              <a:graphicData uri="http://schemas.openxmlformats.org/drawingml/2006/picture">
                <pic:pic>
                  <pic:nvPicPr>
                    <pic:cNvPr descr="ms_files/figure-docx/fig-zi-plot-1.png" id="116" name="Picture"/>
                    <pic:cNvPicPr>
                      <a:picLocks noChangeArrowheads="1" noChangeAspect="1"/>
                    </pic:cNvPicPr>
                  </pic:nvPicPr>
                  <pic:blipFill>
                    <a:blip r:embed="rId114"/>
                    <a:stretch>
                      <a:fillRect/>
                    </a:stretch>
                  </pic:blipFill>
                  <pic:spPr bwMode="auto">
                    <a:xfrm>
                      <a:off x="0" y="0"/>
                      <a:ext cx="5504749" cy="4403799"/>
                    </a:xfrm>
                    <a:prstGeom prst="rect">
                      <a:avLst/>
                    </a:prstGeom>
                    <a:noFill/>
                    <a:ln w="9525">
                      <a:noFill/>
                      <a:headEnd/>
                      <a:tailEnd/>
                    </a:ln>
                  </pic:spPr>
                </pic:pic>
              </a:graphicData>
            </a:graphic>
          </wp:inline>
        </w:drawing>
      </w:r>
    </w:p>
    <w:bookmarkEnd w:id="117"/>
    <w:bookmarkEnd w:id="118"/>
    <w:bookmarkEnd w:id="119"/>
    <w:bookmarkStart w:id="129"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0"/>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4"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2" name="Picture"/>
            <a:graphic>
              <a:graphicData uri="http://schemas.openxmlformats.org/drawingml/2006/picture">
                <pic:pic>
                  <pic:nvPicPr>
                    <pic:cNvPr descr="ms_files/figure-docx/fig-zoib-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bookmarkEnd w:id="124"/>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16</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5" w:name="lst-zoib"/>
          <w:p>
            <w:pPr>
              <w:jc w:val="center"/>
            </w:pPr>
            <w:pPr>
              <w:jc w:val="start"/>
              <w:spacing w:before="200"/>
              <w:pStyle w:val="ImageCaption"/>
            </w:pPr>
            <w:r>
              <w:t xml:space="preserve">Listing 16: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25"/>
        </w:tc>
      </w:tr>
    </w:tbl>
    <w:bookmarkStart w:id="126"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6"/>
    <w:bookmarkStart w:id="128"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7" w:name="lst-coi"/>
          <w:p>
            <w:pPr>
              <w:jc w:val="center"/>
            </w:pPr>
            <w:pPr>
              <w:jc w:val="start"/>
              <w:spacing w:before="200"/>
              <w:pStyle w:val="ImageCaption"/>
            </w:pPr>
            <w:r>
              <w:t xml:space="preserve">Listing 17: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27"/>
        </w:tc>
      </w:tr>
    </w:tbl>
    <w:bookmarkEnd w:id="128"/>
    <w:bookmarkEnd w:id="129"/>
    <w:bookmarkStart w:id="154"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0"/>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1"/>
      </w:r>
    </w:p>
    <w:bookmarkStart w:id="137"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ordbeta"/>
          <w:p>
            <w:pPr>
              <w:jc w:val="center"/>
            </w:pPr>
            <w:pPr>
              <w:jc w:val="start"/>
              <w:spacing w:before="200"/>
              <w:pStyle w:val="ImageCaption"/>
            </w:pPr>
            <w:r>
              <w:t xml:space="preserve">Listing 18: Load {ordbetareg}</w:t>
            </w:r>
          </w:p>
          <w:p>
            <w:pPr>
              <w:pStyle w:val="SourceCode"/>
              <w:jc w:val="center"/>
            </w:pPr>
            <w:r>
              <w:rPr>
                <w:rStyle w:val="FunctionTok"/>
              </w:rPr>
              <w:t xml:space="preserve">library</w:t>
            </w:r>
            <w:r>
              <w:rPr>
                <w:rStyle w:val="NormalTok"/>
              </w:rPr>
              <w:t xml:space="preserve">(ordbetareg)</w:t>
            </w:r>
          </w:p>
          <w:bookmarkEnd w:id="132"/>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lst-fitordbeta"/>
          <w:p>
            <w:pPr>
              <w:jc w:val="center"/>
            </w:pPr>
            <w:pPr>
              <w:jc w:val="start"/>
              <w:spacing w:before="200"/>
              <w:pStyle w:val="ImageCaption"/>
            </w:pPr>
            <w:r>
              <w:t xml:space="preserve">Listing 19: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33"/>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20</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4" w:name="lst-ordbetadisp"/>
          <w:p>
            <w:pPr>
              <w:jc w:val="center"/>
            </w:pPr>
            <w:pPr>
              <w:jc w:val="start"/>
              <w:spacing w:before="200"/>
              <w:pStyle w:val="ImageCaption"/>
            </w:pPr>
            <w:r>
              <w:t xml:space="preserve">Listing 20: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"manuscript"</w:t>
            </w:r>
            <w:r>
              <w:rPr>
                <w:rStyle w:val="NormalTok"/>
              </w:rPr>
              <w:t xml:space="preserve">, </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34"/>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5" w:name="tbl-ordbeta"/>
    <w:p>
      <w:pPr>
        <w:pStyle w:val="FigureTitle"/>
      </w:pPr>
      <w:r>
        <w:t xml:space="preserve">Table 6</w:t>
      </w:r>
    </w:p>
    <w:p>
      <w:pPr>
        <w:pStyle w:val="Caption"/>
      </w:pPr>
      <w:r>
        <w:t xml:space="preserve">Marginal effect of fluency for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[-0.015, 0.138]</w:t>
            </w:r>
          </w:p>
        </w:tc>
        <w:tc>
          <w:tcPr/>
          <w:p>
            <w:pPr>
              <w:pStyle w:val="Compact"/>
            </w:pPr>
            <w:r>
              <w:t xml:space="preserve">0.942</w:t>
            </w:r>
          </w:p>
        </w:tc>
      </w:tr>
    </w:tbl>
    <w:bookmarkEnd w:id="135"/>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6"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-2.96</w:t>
            </w:r>
          </w:p>
        </w:tc>
        <w:tc>
          <w:tcPr/>
          <w:p>
            <w:pPr>
              <w:pStyle w:val="Compact"/>
            </w:pPr>
            <w:r>
              <w:t xml:space="preserve">[-3.57, -2.41]</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6"/>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7"/>
    <w:bookmarkStart w:id="142"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1"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9" name="Picture"/>
            <a:graphic>
              <a:graphicData uri="http://schemas.openxmlformats.org/drawingml/2006/picture">
                <pic:pic>
                  <pic:nvPicPr>
                    <pic:cNvPr descr="ms_files/figure-docx/fig-ppcheckord-1.png" id="140" name="Picture"/>
                    <pic:cNvPicPr>
                      <a:picLocks noChangeArrowheads="1" noChangeAspect="1"/>
                    </pic:cNvPicPr>
                  </pic:nvPicPr>
                  <pic:blipFill>
                    <a:blip r:embed="rId138"/>
                    <a:stretch>
                      <a:fillRect/>
                    </a:stretch>
                  </pic:blipFill>
                  <pic:spPr bwMode="auto">
                    <a:xfrm>
                      <a:off x="0" y="0"/>
                      <a:ext cx="5943600" cy="4754880"/>
                    </a:xfrm>
                    <a:prstGeom prst="rect">
                      <a:avLst/>
                    </a:prstGeom>
                    <a:noFill/>
                    <a:ln w="9525">
                      <a:noFill/>
                      <a:headEnd/>
                      <a:tailEnd/>
                    </a:ln>
                  </pic:spPr>
                </pic:pic>
              </a:graphicData>
            </a:graphic>
          </wp:inline>
        </w:drawing>
      </w:r>
    </w:p>
    <w:bookmarkEnd w:id="141"/>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2"/>
    <w:bookmarkStart w:id="147"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6"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4" name="Picture"/>
            <a:graphic>
              <a:graphicData uri="http://schemas.openxmlformats.org/drawingml/2006/picture">
                <pic:pic>
                  <pic:nvPicPr>
                    <pic:cNvPr descr="ms_files/figure-docx/fig-heiss-1.png" id="145" name="Picture"/>
                    <pic:cNvPicPr>
                      <a:picLocks noChangeArrowheads="1" noChangeAspect="1"/>
                    </pic:cNvPicPr>
                  </pic:nvPicPr>
                  <pic:blipFill>
                    <a:blip r:embed="rId143"/>
                    <a:stretch>
                      <a:fillRect/>
                    </a:stretch>
                  </pic:blipFill>
                  <pic:spPr bwMode="auto">
                    <a:xfrm>
                      <a:off x="0" y="0"/>
                      <a:ext cx="5504749" cy="4403799"/>
                    </a:xfrm>
                    <a:prstGeom prst="rect">
                      <a:avLst/>
                    </a:prstGeom>
                    <a:noFill/>
                    <a:ln w="9525">
                      <a:noFill/>
                      <a:headEnd/>
                      <a:tailEnd/>
                    </a:ln>
                  </pic:spPr>
                </pic:pic>
              </a:graphicData>
            </a:graphic>
          </wp:inline>
        </w:drawing>
      </w:r>
    </w:p>
    <w:bookmarkEnd w:id="146"/>
    <w:bookmarkEnd w:id="147"/>
    <w:bookmarkStart w:id="153"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48" w:name="tbl-all"/>
    <w:p>
      <w:pPr>
        <w:pStyle w:val="FigureTitle"/>
      </w:pPr>
      <w:r>
        <w:t xml:space="preserve">Table 8</w:t>
      </w:r>
    </w:p>
    <w:p>
      <w:pPr>
        <w:pStyle w:val="Caption"/>
      </w:pPr>
      <w:r>
        <w:t xml:space="preserve">Bayesian regression summaries for each model</w:t>
      </w:r>
    </w:p>
    <w:tbl>
      <w:tblPr>
        <w:tblStyle w:val="Table"/>
        <w:tblW w:type="pct" w:w="4816"/>
        <w:tblLayout w:type="fixed"/>
        <w:tblLook w:firstRow="1" w:lastRow="0" w:firstColumn="0" w:lastColumn="0" w:noHBand="0" w:noVBand="0" w:val="0020"/>
      </w:tblPr>
      <w:tblGrid>
        <w:gridCol w:w="1048"/>
        <w:gridCol w:w="524"/>
        <w:gridCol w:w="1164"/>
        <w:gridCol w:w="1222"/>
        <w:gridCol w:w="1222"/>
        <w:gridCol w:w="1222"/>
        <w:gridCol w:w="122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-0.827</w:t>
            </w:r>
          </w:p>
        </w:tc>
        <w:tc>
          <w:tcPr/>
          <w:p>
            <w:pPr>
              <w:pStyle w:val="Compact"/>
            </w:pPr>
            <w:r>
              <w:t xml:space="preserve">-0.830</w:t>
            </w:r>
          </w:p>
        </w:tc>
        <w:tc>
          <w:tcPr/>
          <w:p>
            <w:pPr>
              <w:pStyle w:val="Compact"/>
            </w:pPr>
            <w:r>
              <w:t xml:space="preserve">-0.831</w:t>
            </w:r>
          </w:p>
        </w:tc>
        <w:tc>
          <w:tcPr/>
          <w:p>
            <w:pPr>
              <w:pStyle w:val="Compact"/>
            </w:pPr>
            <w:r>
              <w:t xml:space="preserve">-0.865</w:t>
            </w:r>
          </w:p>
        </w:tc>
      </w:tr>
      <w:tr>
        <w:tc>
          <w:tcPr/>
          <w:p>
            <w:pPr>
              <w:pStyle w:val="Compact"/>
            </w:pPr>
          </w:p>
        </w:tc>
        <w:tc>
          <w:tcPr/>
          <w:p>
            <w:pPr>
              <w:pStyle w:val="Compact"/>
            </w:pPr>
            <w:r>
              <w:rPr>
                <w:i/>
                <w:iCs/>
              </w:rPr>
              <w:t xml:space="preserve">Cr.I</w:t>
            </w:r>
          </w:p>
        </w:tc>
        <w:tc>
          <w:tcPr/>
          <w:p>
            <w:pPr>
              <w:pStyle w:val="Compact"/>
            </w:pPr>
            <w:r>
              <w:rPr>
                <w:i/>
                <w:iCs/>
              </w:rPr>
              <w:t xml:space="preserve">[0.202, 0.314]</w:t>
            </w:r>
          </w:p>
        </w:tc>
        <w:tc>
          <w:tcPr/>
          <w:p>
            <w:pPr>
              <w:pStyle w:val="Compact"/>
            </w:pPr>
            <w:r>
              <w:rPr>
                <w:i/>
                <w:iCs/>
              </w:rPr>
              <w:t xml:space="preserve">[-1.089, -0.548]</w:t>
            </w:r>
          </w:p>
        </w:tc>
        <w:tc>
          <w:tcPr/>
          <w:p>
            <w:pPr>
              <w:pStyle w:val="Compact"/>
            </w:pPr>
            <w:r>
              <w:rPr>
                <w:i/>
                <w:iCs/>
              </w:rPr>
              <w:t xml:space="preserve">[-1.096, -0.557]</w:t>
            </w:r>
          </w:p>
        </w:tc>
        <w:tc>
          <w:tcPr/>
          <w:p>
            <w:pPr>
              <w:pStyle w:val="Compact"/>
            </w:pPr>
            <w:r>
              <w:rPr>
                <w:i/>
                <w:iCs/>
              </w:rPr>
              <w:t xml:space="preserve">[-1.1, -0.566]</w:t>
            </w:r>
          </w:p>
        </w:tc>
        <w:tc>
          <w:tcPr/>
          <w:p>
            <w:pPr>
              <w:pStyle w:val="Compact"/>
            </w:pPr>
            <w:r>
              <w:rPr>
                <w:i/>
                <w:iCs/>
              </w:rPr>
              <w:t xml:space="preserve">[-1.125, -0.614]</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0.198</w:t>
            </w:r>
          </w:p>
        </w:tc>
        <w:tc>
          <w:tcPr/>
          <w:p>
            <w:pPr>
              <w:pStyle w:val="Compact"/>
            </w:pPr>
            <w:r>
              <w:t xml:space="preserve">0.201</w:t>
            </w:r>
          </w:p>
        </w:tc>
        <w:tc>
          <w:tcPr/>
          <w:p>
            <w:pPr>
              <w:pStyle w:val="Compact"/>
            </w:pPr>
            <w:r>
              <w:t xml:space="preserve">0.204</w:t>
            </w:r>
          </w:p>
        </w:tc>
        <w:tc>
          <w:tcPr/>
          <w:p>
            <w:pPr>
              <w:pStyle w:val="Compact"/>
            </w:pPr>
            <w:r>
              <w:t xml:space="preserve">0.261</w:t>
            </w:r>
          </w:p>
        </w:tc>
      </w:tr>
      <w:tr>
        <w:tc>
          <w:tcPr/>
          <w:p>
            <w:pPr>
              <w:pStyle w:val="Compact"/>
            </w:pPr>
          </w:p>
        </w:tc>
        <w:tc>
          <w:tcPr/>
          <w:p>
            <w:pPr>
              <w:pStyle w:val="Compact"/>
            </w:pPr>
            <w:r>
              <w:rPr>
                <w:i/>
                <w:iCs/>
              </w:rPr>
              <w:t xml:space="preserve">Cr.I</w:t>
            </w:r>
          </w:p>
        </w:tc>
        <w:tc>
          <w:tcPr/>
          <w:p>
            <w:pPr>
              <w:pStyle w:val="Compact"/>
            </w:pPr>
            <w:r>
              <w:rPr>
                <w:i/>
                <w:iCs/>
              </w:rPr>
              <w:t xml:space="preserve">[-0.003, 0.169]</w:t>
            </w:r>
          </w:p>
        </w:tc>
        <w:tc>
          <w:tcPr/>
          <w:p>
            <w:pPr>
              <w:pStyle w:val="Compact"/>
            </w:pPr>
            <w:r>
              <w:rPr>
                <w:i/>
                <w:iCs/>
              </w:rPr>
              <w:t xml:space="preserve">[-0.157, 0.539]</w:t>
            </w:r>
          </w:p>
        </w:tc>
        <w:tc>
          <w:tcPr/>
          <w:p>
            <w:pPr>
              <w:pStyle w:val="Compact"/>
            </w:pPr>
            <w:r>
              <w:rPr>
                <w:i/>
                <w:iCs/>
              </w:rPr>
              <w:t xml:space="preserve">[-0.153, 0.547]</w:t>
            </w:r>
          </w:p>
        </w:tc>
        <w:tc>
          <w:tcPr/>
          <w:p>
            <w:pPr>
              <w:pStyle w:val="Compact"/>
            </w:pPr>
            <w:r>
              <w:rPr>
                <w:i/>
                <w:iCs/>
              </w:rPr>
              <w:t xml:space="preserve">[-0.143, 0.55]</w:t>
            </w:r>
          </w:p>
        </w:tc>
        <w:tc>
          <w:tcPr/>
          <w:p>
            <w:pPr>
              <w:pStyle w:val="Compact"/>
            </w:pPr>
            <w:r>
              <w:rPr>
                <w:i/>
                <w:iCs/>
              </w:rPr>
              <w:t xml:space="preserve">[-0.064, 0.592]</w:t>
            </w:r>
          </w:p>
        </w:tc>
      </w:tr>
      <w:tr>
        <w:tc>
          <w:tcPr/>
          <w:p>
            <w:pPr>
              <w:pStyle w:val="Compact"/>
            </w:pPr>
          </w:p>
        </w:tc>
        <w:tc>
          <w:tcPr/>
          <w:p>
            <w:pPr>
              <w:pStyle w:val="Compact"/>
            </w:pPr>
            <w:r>
              <w:rPr>
                <w:i/>
                <w:iCs/>
              </w:rPr>
              <w:t xml:space="preserve">pd</w:t>
            </w:r>
          </w:p>
        </w:tc>
        <w:tc>
          <w:tcPr/>
          <w:p>
            <w:pPr>
              <w:pStyle w:val="Compact"/>
            </w:pPr>
            <w:r>
              <w:rPr>
                <w:i/>
                <w:iCs/>
              </w:rPr>
              <w:t xml:space="preserve">0.971</w:t>
            </w:r>
          </w:p>
        </w:tc>
        <w:tc>
          <w:tcPr/>
          <w:p>
            <w:pPr>
              <w:pStyle w:val="Compact"/>
            </w:pPr>
            <w:r>
              <w:rPr>
                <w:i/>
                <w:iCs/>
              </w:rPr>
              <w:t xml:space="preserve">0.865</w:t>
            </w:r>
          </w:p>
        </w:tc>
        <w:tc>
          <w:tcPr/>
          <w:p>
            <w:pPr>
              <w:pStyle w:val="Compact"/>
            </w:pPr>
            <w:r>
              <w:rPr>
                <w:i/>
                <w:iCs/>
              </w:rPr>
              <w:t xml:space="preserve">0.875</w:t>
            </w:r>
          </w:p>
        </w:tc>
        <w:tc>
          <w:tcPr/>
          <w:p>
            <w:pPr>
              <w:pStyle w:val="Compact"/>
            </w:pPr>
            <w:r>
              <w:rPr>
                <w:i/>
                <w:iCs/>
              </w:rPr>
              <w:t xml:space="preserve">0.878</w:t>
            </w:r>
          </w:p>
        </w:tc>
        <w:tc>
          <w:tcPr/>
          <w:p>
            <w:pPr>
              <w:pStyle w:val="Compact"/>
            </w:pPr>
            <w:r>
              <w:rPr>
                <w:i/>
                <w:iCs/>
              </w:rPr>
              <w:t xml:space="preserve">0.942</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[0.181, 0.24]</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1.601</w:t>
            </w:r>
          </w:p>
        </w:tc>
        <w:tc>
          <w:tcPr/>
          <w:p>
            <w:pPr>
              <w:pStyle w:val="Compact"/>
            </w:pPr>
            <w:r>
              <w:t xml:space="preserve">1.601</w:t>
            </w:r>
          </w:p>
        </w:tc>
        <w:tc>
          <w:tcPr/>
          <w:p>
            <w:pPr>
              <w:pStyle w:val="Compact"/>
            </w:pPr>
            <w:r>
              <w:t xml:space="preserve">1.599</w:t>
            </w:r>
          </w:p>
        </w:tc>
        <w:tc>
          <w:tcPr/>
          <w:p>
            <w:pPr>
              <w:pStyle w:val="Compact"/>
            </w:pPr>
            <w:r>
              <w:t xml:space="preserve">1.616</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[1.184, 1.988]</w:t>
            </w:r>
          </w:p>
        </w:tc>
        <w:tc>
          <w:tcPr/>
          <w:p>
            <w:pPr>
              <w:pStyle w:val="Compact"/>
            </w:pPr>
            <w:r>
              <w:rPr>
                <w:i/>
                <w:iCs/>
              </w:rPr>
              <w:t xml:space="preserve">[1.174, 1.994]</w:t>
            </w:r>
          </w:p>
        </w:tc>
        <w:tc>
          <w:tcPr/>
          <w:p>
            <w:pPr>
              <w:pStyle w:val="Compact"/>
            </w:pPr>
            <w:r>
              <w:rPr>
                <w:i/>
                <w:iCs/>
              </w:rPr>
              <w:t xml:space="preserve">[1.187, 1.983]</w:t>
            </w:r>
          </w:p>
        </w:tc>
        <w:tc>
          <w:tcPr/>
          <w:p>
            <w:pPr>
              <w:pStyle w:val="Compact"/>
            </w:pPr>
            <w:r>
              <w:rPr>
                <w:i/>
                <w:iCs/>
              </w:rPr>
              <w:t xml:space="preserve">[1.205, 1.991]</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0.431</w:t>
            </w:r>
          </w:p>
        </w:tc>
        <w:tc>
          <w:tcPr/>
          <w:p>
            <w:pPr>
              <w:pStyle w:val="Compact"/>
            </w:pPr>
            <w:r>
              <w:t xml:space="preserve">0.427</w:t>
            </w:r>
          </w:p>
        </w:tc>
        <w:tc>
          <w:tcPr/>
          <w:p>
            <w:pPr>
              <w:pStyle w:val="Compact"/>
            </w:pPr>
            <w:r>
              <w:t xml:space="preserve">0.427</w:t>
            </w:r>
          </w:p>
        </w:tc>
        <w:tc>
          <w:tcPr/>
          <w:p>
            <w:pPr>
              <w:pStyle w:val="Compact"/>
            </w:pPr>
            <w:r>
              <w:t xml:space="preserve">0.398</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[-0.142, 1]</w:t>
            </w:r>
          </w:p>
        </w:tc>
        <w:tc>
          <w:tcPr/>
          <w:p>
            <w:pPr>
              <w:pStyle w:val="Compact"/>
            </w:pPr>
            <w:r>
              <w:rPr>
                <w:i/>
                <w:iCs/>
              </w:rPr>
              <w:t xml:space="preserve">[-0.167, 1.026]</w:t>
            </w:r>
          </w:p>
        </w:tc>
        <w:tc>
          <w:tcPr/>
          <w:p>
            <w:pPr>
              <w:pStyle w:val="Compact"/>
            </w:pPr>
            <w:r>
              <w:rPr>
                <w:i/>
                <w:iCs/>
              </w:rPr>
              <w:t xml:space="preserve">[-0.164, 1.008]</w:t>
            </w:r>
          </w:p>
        </w:tc>
        <w:tc>
          <w:tcPr/>
          <w:p>
            <w:pPr>
              <w:pStyle w:val="Compact"/>
            </w:pPr>
            <w:r>
              <w:rPr>
                <w:i/>
                <w:iCs/>
              </w:rPr>
              <w:t xml:space="preserve">[-0.196, 0.972]</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0.934</w:t>
            </w:r>
          </w:p>
        </w:tc>
        <w:tc>
          <w:tcPr/>
          <w:p>
            <w:pPr>
              <w:pStyle w:val="Compact"/>
            </w:pPr>
            <w:r>
              <w:rPr>
                <w:i/>
                <w:iCs/>
              </w:rPr>
              <w:t xml:space="preserve">0.922</w:t>
            </w:r>
          </w:p>
        </w:tc>
        <w:tc>
          <w:tcPr/>
          <w:p>
            <w:pPr>
              <w:pStyle w:val="Compact"/>
            </w:pPr>
            <w:r>
              <w:rPr>
                <w:i/>
                <w:iCs/>
              </w:rPr>
              <w:t xml:space="preserve">0.927</w:t>
            </w:r>
          </w:p>
        </w:tc>
        <w:tc>
          <w:tcPr/>
          <w:p>
            <w:pPr>
              <w:pStyle w:val="Compact"/>
            </w:pPr>
            <w:r>
              <w:rPr>
                <w:i/>
                <w:iCs/>
              </w:rPr>
              <w:t xml:space="preserve">0.913</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-1.652</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[-2.45, -0.94]</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-2.100</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[-4.444, -0.368]</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_0.991**_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-1.545</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[-2.297, -0.864]</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-2.258</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[-4.716, -0.455]</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_0.995***_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-2.084</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[-4.526, -0.36]</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_0.993**_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0.210</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[-6.558, 5.591]</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0.562</w:t>
            </w:r>
          </w:p>
        </w:tc>
        <w:tc>
          <w:tcPr/>
          <w:p>
            <w:pPr>
              <w:pStyle w:val="Compact"/>
            </w:pPr>
            <w:r>
              <w:rPr>
                <w:i/>
                <w:iCs/>
              </w:rPr>
              <w:t xml:space="preserve">-</w:t>
            </w:r>
          </w:p>
        </w:tc>
      </w:tr>
    </w:tbl>
    <w:bookmarkEnd w:id="148"/>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2"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ZIB (C) and ZOIB (D).</w:t>
      </w:r>
    </w:p>
    <w:p>
      <w:pPr>
        <w:pStyle w:val="FigureWithoutNote"/>
      </w:pPr>
      <w:r>
        <w:drawing>
          <wp:inline>
            <wp:extent cx="5943600" cy="4754880"/>
            <wp:effectExtent b="0" l="0" r="0" t="0"/>
            <wp:docPr descr="" title="" id="150" name="Picture"/>
            <a:graphic>
              <a:graphicData uri="http://schemas.openxmlformats.org/drawingml/2006/picture">
                <pic:pic>
                  <pic:nvPicPr>
                    <pic:cNvPr descr="ms_files/figure-docx/fig-ppcheckall-1.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bookmarkEnd w:id="152"/>
    <w:bookmarkEnd w:id="153"/>
    <w:bookmarkEnd w:id="154"/>
    <w:bookmarkEnd w:id="155"/>
    <w:bookmarkStart w:id="157"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 using the {marginaleffects} package.</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6"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6"/>
    <w:bookmarkEnd w:id="157"/>
    <w:bookmarkStart w:id="275" w:name="references"/>
    <w:p>
      <w:pPr>
        <w:pStyle w:val="Heading1"/>
      </w:pPr>
      <w:r>
        <w:t xml:space="preserve">References</w:t>
      </w:r>
    </w:p>
    <w:bookmarkStart w:id="274" w:name="refs"/>
    <w:bookmarkStart w:id="159"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8">
        <w:r>
          <w:rPr>
            <w:rStyle w:val="Hyperlink"/>
          </w:rPr>
          <w:t xml:space="preserve">https://CRAN.R-project.org/package=marginaleffects</w:t>
        </w:r>
      </w:hyperlink>
    </w:p>
    <w:bookmarkEnd w:id="159"/>
    <w:bookmarkStart w:id="161"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0">
        <w:r>
          <w:rPr>
            <w:rStyle w:val="Hyperlink"/>
          </w:rPr>
          <w:t xml:space="preserve">https://doi.org/10.18637/jss.v111.i09</w:t>
        </w:r>
      </w:hyperlink>
    </w:p>
    <w:bookmarkEnd w:id="161"/>
    <w:bookmarkStart w:id="163"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2">
        <w:r>
          <w:rPr>
            <w:rStyle w:val="Hyperlink"/>
          </w:rPr>
          <w:t xml:space="preserve">https://doi.org/10.2307/2983678</w:t>
        </w:r>
      </w:hyperlink>
    </w:p>
    <w:bookmarkEnd w:id="163"/>
    <w:bookmarkStart w:id="165"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4">
        <w:r>
          <w:rPr>
            <w:rStyle w:val="Hyperlink"/>
          </w:rPr>
          <w:t xml:space="preserve">https://doi.org/10.1037/met0000553</w:t>
        </w:r>
      </w:hyperlink>
    </w:p>
    <w:bookmarkEnd w:id="165"/>
    <w:bookmarkStart w:id="167"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6">
        <w:r>
          <w:rPr>
            <w:rStyle w:val="Hyperlink"/>
          </w:rPr>
          <w:t xml:space="preserve">https://doi.org/10.32614/RJ-2017-066</w:t>
        </w:r>
      </w:hyperlink>
    </w:p>
    <w:bookmarkEnd w:id="167"/>
    <w:bookmarkStart w:id="169"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8">
        <w:r>
          <w:rPr>
            <w:rStyle w:val="Hyperlink"/>
          </w:rPr>
          <w:t xml:space="preserve">https://doi.org/10.18637/jss.v080.i01</w:t>
        </w:r>
      </w:hyperlink>
    </w:p>
    <w:bookmarkEnd w:id="169"/>
    <w:bookmarkStart w:id="171"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0">
        <w:r>
          <w:rPr>
            <w:rStyle w:val="Hyperlink"/>
          </w:rPr>
          <w:t xml:space="preserve">https://mc-stan.org/posterior/</w:t>
        </w:r>
      </w:hyperlink>
    </w:p>
    <w:bookmarkEnd w:id="171"/>
    <w:bookmarkStart w:id="173"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2">
        <w:r>
          <w:rPr>
            <w:rStyle w:val="Hyperlink"/>
          </w:rPr>
          <w:t xml:space="preserve">https://doi.org/10.1177/2515245918823199</w:t>
        </w:r>
      </w:hyperlink>
    </w:p>
    <w:bookmarkEnd w:id="173"/>
    <w:bookmarkStart w:id="175"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4">
        <w:r>
          <w:rPr>
            <w:rStyle w:val="Hyperlink"/>
          </w:rPr>
          <w:t xml:space="preserve">https://doi.org/10.3758/s13423-013-0442-z</w:t>
        </w:r>
      </w:hyperlink>
    </w:p>
    <w:bookmarkEnd w:id="175"/>
    <w:bookmarkStart w:id="176"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6"/>
    <w:bookmarkStart w:id="178"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7">
        <w:r>
          <w:rPr>
            <w:rStyle w:val="Hyperlink"/>
          </w:rPr>
          <w:t xml:space="preserve">https://doi.org/10.31219/osf.io/f9rqg_v1</w:t>
        </w:r>
      </w:hyperlink>
      <w:r>
        <w:t xml:space="preserve">.</w:t>
      </w:r>
    </w:p>
    <w:bookmarkEnd w:id="178"/>
    <w:bookmarkStart w:id="180"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9">
        <w:r>
          <w:rPr>
            <w:rStyle w:val="Hyperlink"/>
          </w:rPr>
          <w:t xml:space="preserve">https://doi.org/10.1126/science.adq1814</w:t>
        </w:r>
      </w:hyperlink>
    </w:p>
    <w:bookmarkEnd w:id="180"/>
    <w:bookmarkStart w:id="182"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1">
        <w:r>
          <w:rPr>
            <w:rStyle w:val="Hyperlink"/>
          </w:rPr>
          <w:t xml:space="preserve">https://doi.org/10.18637/jss.v034.i02</w:t>
        </w:r>
      </w:hyperlink>
    </w:p>
    <w:bookmarkEnd w:id="182"/>
    <w:bookmarkStart w:id="184"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3">
        <w:r>
          <w:rPr>
            <w:rStyle w:val="Hyperlink"/>
          </w:rPr>
          <w:t xml:space="preserve">https://nixos.org/</w:t>
        </w:r>
      </w:hyperlink>
    </w:p>
    <w:bookmarkEnd w:id="184"/>
    <w:bookmarkStart w:id="186"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5">
        <w:r>
          <w:rPr>
            <w:rStyle w:val="Hyperlink"/>
          </w:rPr>
          <w:t xml:space="preserve">https://doi.org/10.1080/0266476042000214501</w:t>
        </w:r>
      </w:hyperlink>
    </w:p>
    <w:bookmarkEnd w:id="186"/>
    <w:bookmarkStart w:id="188"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7">
        <w:r>
          <w:rPr>
            <w:rStyle w:val="Hyperlink"/>
          </w:rPr>
          <w:t xml:space="preserve">https://doi.org/10.1007/s11121-021-01302-y</w:t>
        </w:r>
      </w:hyperlink>
    </w:p>
    <w:bookmarkEnd w:id="188"/>
    <w:bookmarkStart w:id="190"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9">
        <w:r>
          <w:rPr>
            <w:rStyle w:val="Hyperlink"/>
          </w:rPr>
          <w:t xml:space="preserve">https://mc-stan.org/cmdstanr/</w:t>
        </w:r>
      </w:hyperlink>
    </w:p>
    <w:bookmarkEnd w:id="190"/>
    <w:bookmarkStart w:id="192"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1">
        <w:r>
          <w:rPr>
            <w:rStyle w:val="Hyperlink"/>
          </w:rPr>
          <w:t xml:space="preserve">https://stat.columbia.edu/~gelman/book/</w:t>
        </w:r>
      </w:hyperlink>
    </w:p>
    <w:bookmarkEnd w:id="192"/>
    <w:bookmarkStart w:id="194"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3">
        <w:r>
          <w:rPr>
            <w:rStyle w:val="Hyperlink"/>
          </w:rPr>
          <w:t xml:space="preserve">http://dx.doi.org/10.59350/7p1a4-0tw75</w:t>
        </w:r>
      </w:hyperlink>
    </w:p>
    <w:bookmarkEnd w:id="194"/>
    <w:bookmarkStart w:id="196"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5">
        <w:r>
          <w:rPr>
            <w:rStyle w:val="Hyperlink"/>
          </w:rPr>
          <w:t xml:space="preserve">https://doi.org/10.1525/collabra.140755</w:t>
        </w:r>
      </w:hyperlink>
    </w:p>
    <w:bookmarkEnd w:id="196"/>
    <w:bookmarkStart w:id="197"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7"/>
    <w:bookmarkStart w:id="199"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8">
        <w:r>
          <w:rPr>
            <w:rStyle w:val="Hyperlink"/>
          </w:rPr>
          <w:t xml:space="preserve">https://doi.org/10.1016/j.ecosta.2021.07.006</w:t>
        </w:r>
      </w:hyperlink>
    </w:p>
    <w:bookmarkEnd w:id="199"/>
    <w:bookmarkStart w:id="201"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0">
        <w:r>
          <w:rPr>
            <w:rStyle w:val="Hyperlink"/>
          </w:rPr>
          <w:t xml:space="preserve">https://doi.org/10.1016/j.wocn.2016.08.006</w:t>
        </w:r>
      </w:hyperlink>
    </w:p>
    <w:bookmarkEnd w:id="201"/>
    <w:bookmarkStart w:id="203"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2">
        <w:r>
          <w:rPr>
            <w:rStyle w:val="Hyperlink"/>
          </w:rPr>
          <w:t xml:space="preserve">https://doi.org/10.1111/j.1467-9280.2008.02127.x</w:t>
        </w:r>
      </w:hyperlink>
    </w:p>
    <w:bookmarkEnd w:id="203"/>
    <w:bookmarkStart w:id="205"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4">
        <w:r>
          <w:rPr>
            <w:rStyle w:val="Hyperlink"/>
          </w:rPr>
          <w:t xml:space="preserve">https://doi.org/10.1093/jrsssc/qlaf039</w:t>
        </w:r>
      </w:hyperlink>
    </w:p>
    <w:bookmarkEnd w:id="205"/>
    <w:bookmarkStart w:id="207"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6">
        <w:r>
          <w:rPr>
            <w:rStyle w:val="Hyperlink"/>
          </w:rPr>
          <w:t xml:space="preserve">https://doi.org/10.1037/a0029146</w:t>
        </w:r>
      </w:hyperlink>
    </w:p>
    <w:bookmarkEnd w:id="207"/>
    <w:bookmarkStart w:id="208"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8"/>
    <w:bookmarkStart w:id="210"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9">
        <w:r>
          <w:rPr>
            <w:rStyle w:val="Hyperlink"/>
          </w:rPr>
          <w:t xml:space="preserve">https://doi.org/10.1177/2515245918771304</w:t>
        </w:r>
      </w:hyperlink>
    </w:p>
    <w:bookmarkEnd w:id="210"/>
    <w:bookmarkStart w:id="212"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1">
        <w:r>
          <w:rPr>
            <w:rStyle w:val="Hyperlink"/>
          </w:rPr>
          <w:t xml:space="preserve">https://doi.org/10.1017/pan.2022.20</w:t>
        </w:r>
      </w:hyperlink>
    </w:p>
    <w:bookmarkEnd w:id="212"/>
    <w:bookmarkStart w:id="214"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3">
        <w:r>
          <w:rPr>
            <w:rStyle w:val="Hyperlink"/>
          </w:rPr>
          <w:t xml:space="preserve">https://CRAN.R-project.org/package=ordbetareg</w:t>
        </w:r>
      </w:hyperlink>
    </w:p>
    <w:bookmarkEnd w:id="214"/>
    <w:bookmarkStart w:id="216"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5">
        <w:r>
          <w:rPr>
            <w:rStyle w:val="Hyperlink"/>
          </w:rPr>
          <w:t xml:space="preserve">https://doi.org/10.32614/CRAN.package.emmeans</w:t>
        </w:r>
      </w:hyperlink>
    </w:p>
    <w:bookmarkEnd w:id="216"/>
    <w:bookmarkStart w:id="218"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7">
        <w:r>
          <w:rPr>
            <w:rStyle w:val="Hyperlink"/>
          </w:rPr>
          <w:t xml:space="preserve">https://doi.org/10.32614/rj-2015-019</w:t>
        </w:r>
      </w:hyperlink>
    </w:p>
    <w:bookmarkEnd w:id="218"/>
    <w:bookmarkStart w:id="220"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9">
        <w:r>
          <w:rPr>
            <w:rStyle w:val="Hyperlink"/>
          </w:rPr>
          <w:t xml:space="preserve">https://easystats.github.io/easystats/</w:t>
        </w:r>
      </w:hyperlink>
    </w:p>
    <w:bookmarkEnd w:id="220"/>
    <w:bookmarkStart w:id="222"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1">
        <w:r>
          <w:rPr>
            <w:rStyle w:val="Hyperlink"/>
          </w:rPr>
          <w:t xml:space="preserve">https://doi.org/10.3389/fpsyg.2019.02767</w:t>
        </w:r>
      </w:hyperlink>
    </w:p>
    <w:bookmarkEnd w:id="222"/>
    <w:bookmarkStart w:id="224"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3">
        <w:r>
          <w:rPr>
            <w:rStyle w:val="Hyperlink"/>
          </w:rPr>
          <w:t xml:space="preserve">https://doi.org/10.21105/joss.01541</w:t>
        </w:r>
      </w:hyperlink>
    </w:p>
    <w:bookmarkEnd w:id="224"/>
    <w:bookmarkStart w:id="226"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5">
        <w:r>
          <w:rPr>
            <w:rStyle w:val="Hyperlink"/>
          </w:rPr>
          <w:t xml:space="preserve">https://doi.org/10.31234/osf.io/z68v3_v1</w:t>
        </w:r>
      </w:hyperlink>
    </w:p>
    <w:bookmarkEnd w:id="226"/>
    <w:bookmarkStart w:id="228"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7">
        <w:r>
          <w:rPr>
            <w:rStyle w:val="Hyperlink"/>
          </w:rPr>
          <w:t xml:space="preserve">https://doi.org/10.1177/0013164416669201</w:t>
        </w:r>
      </w:hyperlink>
    </w:p>
    <w:bookmarkEnd w:id="228"/>
    <w:bookmarkStart w:id="230"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9">
        <w:r>
          <w:rPr>
            <w:rStyle w:val="Hyperlink"/>
          </w:rPr>
          <w:t xml:space="preserve">https://doi.org/10.1098/rsos.231713</w:t>
        </w:r>
      </w:hyperlink>
    </w:p>
    <w:bookmarkEnd w:id="230"/>
    <w:bookmarkStart w:id="232"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1">
        <w:r>
          <w:rPr>
            <w:rStyle w:val="Hyperlink"/>
          </w:rPr>
          <w:t xml:space="preserve">https://doi.org/10.1080/00273171.2020.1868966</w:t>
        </w:r>
      </w:hyperlink>
    </w:p>
    <w:bookmarkEnd w:id="232"/>
    <w:bookmarkStart w:id="234"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3">
        <w:r>
          <w:rPr>
            <w:rStyle w:val="Hyperlink"/>
          </w:rPr>
          <w:t xml:space="preserve">https://doi.org/10.1201/9780429029608</w:t>
        </w:r>
      </w:hyperlink>
    </w:p>
    <w:bookmarkEnd w:id="234"/>
    <w:bookmarkStart w:id="236"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5">
        <w:r>
          <w:rPr>
            <w:rStyle w:val="Hyperlink"/>
          </w:rPr>
          <w:t xml:space="preserve">https://doi.org/10.2307/2344614</w:t>
        </w:r>
      </w:hyperlink>
    </w:p>
    <w:bookmarkEnd w:id="236"/>
    <w:bookmarkStart w:id="238"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7">
        <w:r>
          <w:rPr>
            <w:rStyle w:val="Hyperlink"/>
          </w:rPr>
          <w:t xml:space="preserve">https://www.sciencedirect.com/science/article/pii/S0048969723041505</w:t>
        </w:r>
      </w:hyperlink>
    </w:p>
    <w:bookmarkEnd w:id="238"/>
    <w:bookmarkStart w:id="240"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9">
        <w:r>
          <w:rPr>
            <w:rStyle w:val="Hyperlink"/>
          </w:rPr>
          <w:t xml:space="preserve">https://doi.org/10.1093/oxfordjournals.pan.a004873</w:t>
        </w:r>
      </w:hyperlink>
    </w:p>
    <w:bookmarkEnd w:id="240"/>
    <w:bookmarkStart w:id="242"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1">
        <w:r>
          <w:rPr>
            <w:rStyle w:val="Hyperlink"/>
          </w:rPr>
          <w:t xml:space="preserve">https://doi.org/10.31234/osf.io/ck3js_v1</w:t>
        </w:r>
      </w:hyperlink>
    </w:p>
    <w:bookmarkEnd w:id="242"/>
    <w:bookmarkStart w:id="244"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3">
        <w:r>
          <w:rPr>
            <w:rStyle w:val="Hyperlink"/>
          </w:rPr>
          <w:t xml:space="preserve">https://www.R-project.org/</w:t>
        </w:r>
      </w:hyperlink>
    </w:p>
    <w:bookmarkEnd w:id="244"/>
    <w:bookmarkStart w:id="245"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5"/>
    <w:bookmarkStart w:id="247"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6">
        <w:r>
          <w:rPr>
            <w:rStyle w:val="Hyperlink"/>
          </w:rPr>
          <w:t xml:space="preserve">https://docs.ropensci.org/rix/</w:t>
        </w:r>
      </w:hyperlink>
    </w:p>
    <w:bookmarkEnd w:id="247"/>
    <w:bookmarkStart w:id="249"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8">
        <w:r>
          <w:rPr>
            <w:rStyle w:val="Hyperlink"/>
          </w:rPr>
          <w:t xml:space="preserve">https://doi.org/10.31234/osf.io/g4s2a_v1</w:t>
        </w:r>
      </w:hyperlink>
    </w:p>
    <w:bookmarkEnd w:id="249"/>
    <w:bookmarkStart w:id="251"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0">
        <w:r>
          <w:rPr>
            <w:rStyle w:val="Hyperlink"/>
          </w:rPr>
          <w:t xml:space="preserve">https://doi.org/10.1177/08902070241239834</w:t>
        </w:r>
      </w:hyperlink>
    </w:p>
    <w:bookmarkEnd w:id="251"/>
    <w:bookmarkStart w:id="253"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2">
        <w:r>
          <w:rPr>
            <w:rStyle w:val="Hyperlink"/>
          </w:rPr>
          <w:t xml:space="preserve">https://doi.org/10.31234/osf.io/4rznt</w:t>
        </w:r>
      </w:hyperlink>
    </w:p>
    <w:bookmarkEnd w:id="253"/>
    <w:bookmarkStart w:id="255"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4">
        <w:r>
          <w:rPr>
            <w:rStyle w:val="Hyperlink"/>
          </w:rPr>
          <w:t xml:space="preserve">https://doi.org/10.1001/jamanetworkopen.2023.53401</w:t>
        </w:r>
      </w:hyperlink>
    </w:p>
    <w:bookmarkEnd w:id="255"/>
    <w:bookmarkStart w:id="257"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6">
        <w:r>
          <w:rPr>
            <w:rStyle w:val="Hyperlink"/>
          </w:rPr>
          <w:t xml:space="preserve">https://doi.org/10.1037/1082-989x.11.1.54</w:t>
        </w:r>
      </w:hyperlink>
    </w:p>
    <w:bookmarkEnd w:id="257"/>
    <w:bookmarkStart w:id="259"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8">
        <w:r>
          <w:rPr>
            <w:rStyle w:val="Hyperlink"/>
          </w:rPr>
          <w:t xml:space="preserve">https://mc-stan.org</w:t>
        </w:r>
      </w:hyperlink>
    </w:p>
    <w:bookmarkEnd w:id="259"/>
    <w:bookmarkStart w:id="261"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0">
        <w:r>
          <w:rPr>
            <w:rStyle w:val="Hyperlink"/>
          </w:rPr>
          <w:t xml:space="preserve">https://doi.org/10.1007/s11409-017-9175-0</w:t>
        </w:r>
      </w:hyperlink>
    </w:p>
    <w:bookmarkEnd w:id="261"/>
    <w:bookmarkStart w:id="263"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2">
        <w:r>
          <w:rPr>
            <w:rStyle w:val="Hyperlink"/>
          </w:rPr>
          <w:t xml:space="preserve">https://vuorre.com/posts/2019-02-18-analyze-analog-scale-ratings-with-zero-one-inflated-beta-models</w:t>
        </w:r>
      </w:hyperlink>
    </w:p>
    <w:bookmarkEnd w:id="263"/>
    <w:bookmarkStart w:id="265"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4">
        <w:r>
          <w:rPr>
            <w:rStyle w:val="Hyperlink"/>
          </w:rPr>
          <w:t xml:space="preserve">https://r4ds.hadley.nz/</w:t>
        </w:r>
      </w:hyperlink>
    </w:p>
    <w:bookmarkEnd w:id="265"/>
    <w:bookmarkStart w:id="267"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6">
        <w:r>
          <w:rPr>
            <w:rStyle w:val="Hyperlink"/>
          </w:rPr>
          <w:t xml:space="preserve">https://doi.org/10.1002/acp.3724</w:t>
        </w:r>
      </w:hyperlink>
    </w:p>
    <w:bookmarkEnd w:id="267"/>
    <w:bookmarkStart w:id="269"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8">
        <w:r>
          <w:rPr>
            <w:rStyle w:val="Hyperlink"/>
          </w:rPr>
          <w:t xml:space="preserve">https://doi.org/10.1111/gcb.17422</w:t>
        </w:r>
      </w:hyperlink>
    </w:p>
    <w:bookmarkEnd w:id="269"/>
    <w:bookmarkStart w:id="271"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0">
        <w:r>
          <w:rPr>
            <w:rStyle w:val="Hyperlink"/>
          </w:rPr>
          <w:t xml:space="preserve">https://doi.org/10.1037/mac0000003</w:t>
        </w:r>
      </w:hyperlink>
    </w:p>
    <w:bookmarkEnd w:id="271"/>
    <w:bookmarkStart w:id="273"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2">
        <w:r>
          <w:rPr>
            <w:rStyle w:val="Hyperlink"/>
          </w:rPr>
          <w:t xml:space="preserve">https://stats.andrewheiss.com/compassionate-clam/manuscript/output/manuscript.html</w:t>
        </w:r>
      </w:hyperlink>
    </w:p>
    <w:bookmarkEnd w:id="273"/>
    <w:bookmarkEnd w:id="274"/>
    <w:sectPr>
      <w:lnNumType w:countBy="1" w:restart="continuous"/>
    </w:sectPr>
    <w:bookmarkEnd w:id="275"/>
    <w:sectPr w:rsidR="007868AB" w:rsidRPr="005528BA">
      <w:headerReference r:id="rId8"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4">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6">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54">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5">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69">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20">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0">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1">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8" Target="media/rId18.sv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65" Target="media/rId65.png" /><Relationship Type="http://schemas.openxmlformats.org/officeDocument/2006/relationships/image" Id="rId143" Target="media/rId143.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38" Target="media/rId138.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4" Target="media/rId114.png" /><Relationship Type="http://schemas.openxmlformats.org/officeDocument/2006/relationships/image" Id="rId121" Target="media/rId121.png" /><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3" Target="http://dx.doi.org/10.59350/7p1a4-0tw75" TargetMode="External" /><Relationship Type="http://schemas.openxmlformats.org/officeDocument/2006/relationships/hyperlink" Id="rId158" Target="https://CRAN.R-project.org/package=marginaleffects" TargetMode="External" /><Relationship Type="http://schemas.openxmlformats.org/officeDocument/2006/relationships/hyperlink" Id="rId213" Target="https://CRAN.R-project.org/package=ordbetareg" TargetMode="External" /><Relationship Type="http://schemas.openxmlformats.org/officeDocument/2006/relationships/hyperlink" Id="rId246" Target="https://docs.ropensci.org/rix/" TargetMode="External" /><Relationship Type="http://schemas.openxmlformats.org/officeDocument/2006/relationships/hyperlink" Id="rId254" Target="https://doi.org/10.1001/jamanetworkopen.2023.53401" TargetMode="External" /><Relationship Type="http://schemas.openxmlformats.org/officeDocument/2006/relationships/hyperlink" Id="rId266" Target="https://doi.org/10.1002/acp.3724" TargetMode="External" /><Relationship Type="http://schemas.openxmlformats.org/officeDocument/2006/relationships/hyperlink" Id="rId187" Target="https://doi.org/10.1007/s11121-021-01302-y" TargetMode="External" /><Relationship Type="http://schemas.openxmlformats.org/officeDocument/2006/relationships/hyperlink" Id="rId260" Target="https://doi.org/10.1007/s11409-017-9175-0" TargetMode="External" /><Relationship Type="http://schemas.openxmlformats.org/officeDocument/2006/relationships/hyperlink" Id="rId198" Target="https://doi.org/10.1016/j.ecosta.2021.07.006" TargetMode="External" /><Relationship Type="http://schemas.openxmlformats.org/officeDocument/2006/relationships/hyperlink" Id="rId200" Target="https://doi.org/10.1016/j.wocn.2016.08.006" TargetMode="External" /><Relationship Type="http://schemas.openxmlformats.org/officeDocument/2006/relationships/hyperlink" Id="rId211" Target="https://doi.org/10.1017/pan.2022.20" TargetMode="External" /><Relationship Type="http://schemas.openxmlformats.org/officeDocument/2006/relationships/hyperlink" Id="rId256" Target="https://doi.org/10.1037/1082-989x.11.1.54" TargetMode="External" /><Relationship Type="http://schemas.openxmlformats.org/officeDocument/2006/relationships/hyperlink" Id="rId206" Target="https://doi.org/10.1037/a0029146" TargetMode="External" /><Relationship Type="http://schemas.openxmlformats.org/officeDocument/2006/relationships/hyperlink" Id="rId270" Target="https://doi.org/10.1037/mac0000003" TargetMode="External" /><Relationship Type="http://schemas.openxmlformats.org/officeDocument/2006/relationships/hyperlink" Id="rId164" Target="https://doi.org/10.1037/met0000553" TargetMode="External" /><Relationship Type="http://schemas.openxmlformats.org/officeDocument/2006/relationships/hyperlink" Id="rId231" Target="https://doi.org/10.1080/00273171.2020.1868966" TargetMode="External" /><Relationship Type="http://schemas.openxmlformats.org/officeDocument/2006/relationships/hyperlink" Id="rId185" Target="https://doi.org/10.1080/0266476042000214501" TargetMode="External" /><Relationship Type="http://schemas.openxmlformats.org/officeDocument/2006/relationships/hyperlink" Id="rId204" Target="https://doi.org/10.1093/jrsssc/qlaf039" TargetMode="External" /><Relationship Type="http://schemas.openxmlformats.org/officeDocument/2006/relationships/hyperlink" Id="rId239" Target="https://doi.org/10.1093/oxfordjournals.pan.a004873" TargetMode="External" /><Relationship Type="http://schemas.openxmlformats.org/officeDocument/2006/relationships/hyperlink" Id="rId229" Target="https://doi.org/10.1098/rsos.231713" TargetMode="External" /><Relationship Type="http://schemas.openxmlformats.org/officeDocument/2006/relationships/hyperlink" Id="rId268" Target="https://doi.org/10.1111/gcb.17422" TargetMode="External" /><Relationship Type="http://schemas.openxmlformats.org/officeDocument/2006/relationships/hyperlink" Id="rId202" Target="https://doi.org/10.1111/j.1467-9280.2008.02127.x" TargetMode="External" /><Relationship Type="http://schemas.openxmlformats.org/officeDocument/2006/relationships/hyperlink" Id="rId179" Target="https://doi.org/10.1126/science.adq1814" TargetMode="External" /><Relationship Type="http://schemas.openxmlformats.org/officeDocument/2006/relationships/hyperlink" Id="rId227" Target="https://doi.org/10.1177/0013164416669201" TargetMode="External" /><Relationship Type="http://schemas.openxmlformats.org/officeDocument/2006/relationships/hyperlink" Id="rId250" Target="https://doi.org/10.1177/08902070241239834" TargetMode="External" /><Relationship Type="http://schemas.openxmlformats.org/officeDocument/2006/relationships/hyperlink" Id="rId209" Target="https://doi.org/10.1177/2515245918771304" TargetMode="External" /><Relationship Type="http://schemas.openxmlformats.org/officeDocument/2006/relationships/hyperlink" Id="rId172" Target="https://doi.org/10.1177/2515245918823199" TargetMode="External" /><Relationship Type="http://schemas.openxmlformats.org/officeDocument/2006/relationships/hyperlink" Id="rId233" Target="https://doi.org/10.1201/9780429029608" TargetMode="External" /><Relationship Type="http://schemas.openxmlformats.org/officeDocument/2006/relationships/hyperlink" Id="rId195" Target="https://doi.org/10.1525/collabra.140755" TargetMode="External" /><Relationship Type="http://schemas.openxmlformats.org/officeDocument/2006/relationships/hyperlink" Id="rId181" Target="https://doi.org/10.18637/jss.v034.i02" TargetMode="External" /><Relationship Type="http://schemas.openxmlformats.org/officeDocument/2006/relationships/hyperlink" Id="rId168" Target="https://doi.org/10.18637/jss.v080.i01" TargetMode="External" /><Relationship Type="http://schemas.openxmlformats.org/officeDocument/2006/relationships/hyperlink" Id="rId160" Target="https://doi.org/10.18637/jss.v111.i09" TargetMode="External" /><Relationship Type="http://schemas.openxmlformats.org/officeDocument/2006/relationships/hyperlink" Id="rId223" Target="https://doi.org/10.21105/joss.01541" TargetMode="External" /><Relationship Type="http://schemas.openxmlformats.org/officeDocument/2006/relationships/hyperlink" Id="rId235" Target="https://doi.org/10.2307/2344614" TargetMode="External" /><Relationship Type="http://schemas.openxmlformats.org/officeDocument/2006/relationships/hyperlink" Id="rId162" Target="https://doi.org/10.2307/2983678" TargetMode="External" /><Relationship Type="http://schemas.openxmlformats.org/officeDocument/2006/relationships/hyperlink" Id="rId177" Target="https://doi.org/10.31219/osf.io/f9rqg_v1" TargetMode="External" /><Relationship Type="http://schemas.openxmlformats.org/officeDocument/2006/relationships/hyperlink" Id="rId252" Target="https://doi.org/10.31234/osf.io/4rznt" TargetMode="External" /><Relationship Type="http://schemas.openxmlformats.org/officeDocument/2006/relationships/hyperlink" Id="rId241" Target="https://doi.org/10.31234/osf.io/ck3js_v1" TargetMode="External" /><Relationship Type="http://schemas.openxmlformats.org/officeDocument/2006/relationships/hyperlink" Id="rId248" Target="https://doi.org/10.31234/osf.io/g4s2a_v1" TargetMode="External" /><Relationship Type="http://schemas.openxmlformats.org/officeDocument/2006/relationships/hyperlink" Id="rId225" Target="https://doi.org/10.31234/osf.io/z68v3_v1" TargetMode="External" /><Relationship Type="http://schemas.openxmlformats.org/officeDocument/2006/relationships/hyperlink" Id="rId215" Target="https://doi.org/10.32614/CRAN.package.emmeans" TargetMode="External" /><Relationship Type="http://schemas.openxmlformats.org/officeDocument/2006/relationships/hyperlink" Id="rId166" Target="https://doi.org/10.32614/RJ-2017-066" TargetMode="External" /><Relationship Type="http://schemas.openxmlformats.org/officeDocument/2006/relationships/hyperlink" Id="rId217" Target="https://doi.org/10.32614/rj-2015-019" TargetMode="External" /><Relationship Type="http://schemas.openxmlformats.org/officeDocument/2006/relationships/hyperlink" Id="rId221" Target="https://doi.org/10.3389/fpsyg.2019.02767" TargetMode="External" /><Relationship Type="http://schemas.openxmlformats.org/officeDocument/2006/relationships/hyperlink" Id="rId174" Target="https://doi.org/10.3758/s13423-013-0442-z" TargetMode="External" /><Relationship Type="http://schemas.openxmlformats.org/officeDocument/2006/relationships/hyperlink" Id="rId219"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8" Target="https://mc-stan.org" TargetMode="External" /><Relationship Type="http://schemas.openxmlformats.org/officeDocument/2006/relationships/hyperlink" Id="rId189" Target="https://mc-stan.org/cmdstanr/" TargetMode="External" /><Relationship Type="http://schemas.openxmlformats.org/officeDocument/2006/relationships/hyperlink" Id="rId170" Target="https://mc-stan.org/posterior/" TargetMode="External" /><Relationship Type="http://schemas.openxmlformats.org/officeDocument/2006/relationships/hyperlink" Id="rId183"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4" Target="https://r4ds.hadley.nz/" TargetMode="External" /><Relationship Type="http://schemas.openxmlformats.org/officeDocument/2006/relationships/hyperlink" Id="rId191" Target="https://stat.columbia.edu/~gelman/book/" TargetMode="External" /><Relationship Type="http://schemas.openxmlformats.org/officeDocument/2006/relationships/hyperlink" Id="rId272" Target="https://stats.andrewheiss.com/compassionate-clam/manuscript/output/manuscript.html" TargetMode="External" /><Relationship Type="http://schemas.openxmlformats.org/officeDocument/2006/relationships/hyperlink" Id="rId262" Target="https://vuorre.com/posts/2019-02-18-analyze-analog-scale-ratings-with-zero-one-inflated-beta-models" TargetMode="External" /><Relationship Type="http://schemas.openxmlformats.org/officeDocument/2006/relationships/hyperlink" Id="rId243" Target="https://www.R-project.org/" TargetMode="External" /><Relationship Type="http://schemas.openxmlformats.org/officeDocument/2006/relationships/hyperlink" Id="rId276" Target="https://www.routledge.com/Bayes-Rules-An-Introduction-to-Applied-Bayesian-Modeling/Johnson-Ott-Dogucu/p/book/9780367255398" TargetMode="External" /><Relationship Type="http://schemas.openxmlformats.org/officeDocument/2006/relationships/hyperlink" Id="rId237" Target="https://www.sciencedirect.com/science/article/pii/S0048969723041505" TargetMode="External" /><Relationship Type="http://schemas.openxmlformats.org/officeDocument/2006/relationships/hyperlink" Id="rId35"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11306</vt:lpwstr>
  </property>
  <property fmtid="{D5CDD505-2E9C-101B-9397-08002B2CF9AE}" pid="66" name="zerocitations">
    <vt:lpwstr>False</vt:lpwstr>
  </property>
</Properties>
</file>