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97.png" ContentType="image/png"/>
  <Override PartName="/word/media/rId67.png" ContentType="image/png"/>
  <Override PartName="/word/media/rId142.png" ContentType="image/png"/>
  <Override PartName="/word/media/rId58.png" ContentType="image/png"/>
  <Override PartName="/word/media/rId88.png" ContentType="image/png"/>
  <Override PartName="/word/media/rId148.png" ContentType="image/png"/>
  <Override PartName="/word/media/rId137.png" ContentType="image/png"/>
  <Override PartName="/word/media/rId79.png" ContentType="image/png"/>
  <Override PartName="/word/media/rId74.png" ContentType="image/png"/>
  <Override PartName="/word/media/rId113.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resources, supervision, validation,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w:t>
      </w:r>
      <w:r>
        <w:t xml:space="preserve"> </w:t>
      </w:r>
      <w:r>
        <w:rPr>
          <w:rStyle w:val="VerbatimChar"/>
        </w:rPr>
        <w:t xml:space="preserve">brms</w:t>
      </w:r>
      <w:r>
        <w:t xml:space="preserve"> </w:t>
      </w:r>
      <w:r>
        <w:t xml:space="preserve">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11086</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3"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w:t>
      </w:r>
      <w:r>
        <w:t xml:space="preserve"> </w:t>
      </w:r>
      <w:r>
        <w:rPr>
          <w:rStyle w:val="VerbatimChar"/>
        </w:rPr>
        <w:t xml:space="preserve">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Zeneodo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a preferred distribution for this type of response because of certain unique properties. The beta distribution is defined as a distribution of the uncertainty of probabilities, which must lie within 0 and 1. As a consequence, the beta distribution is the maximum entropy distribution for any 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7"/>
    <w:bookmarkStart w:id="62"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Additonaly, the use of Bayesin statistics in psychology has been steadily growing</w:t>
      </w:r>
      <w:r>
        <w:t xml:space="preserve"> </w:t>
      </w:r>
      <w:r>
        <w:t xml:space="preserve">(Pfadt et al., 2025)</w:t>
      </w:r>
      <w:r>
        <w:t xml:space="preserve">. In principle, most Bayesian models can also be estimated with frequentist approaches (e.g., maximum likelihood). However, as model complexity increases, frequentist estimation often requires additional adjustments such as bootstrapping or custom optimization, whereas Bayesian modeling handles these extensions more naturally through hierarchical structure and prior specification.</w:t>
      </w:r>
    </w:p>
    <w:p>
      <w:pPr>
        <w:pStyle w:val="BodyText"/>
      </w:pP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 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1"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9" name="Picture"/>
            <a:graphic>
              <a:graphicData uri="http://schemas.openxmlformats.org/drawingml/2006/picture">
                <pic:pic>
                  <pic:nvPicPr>
                    <pic:cNvPr descr="ms_files/figure-docx/fig-p-value-pd-comp-1.png" id="60" name="Picture"/>
                    <pic:cNvPicPr>
                      <a:picLocks noChangeArrowheads="1" noChangeAspect="1"/>
                    </pic:cNvPicPr>
                  </pic:nvPicPr>
                  <pic:blipFill>
                    <a:blip r:embed="rId58"/>
                    <a:stretch>
                      <a:fillRect/>
                    </a:stretch>
                  </pic:blipFill>
                  <pic:spPr bwMode="auto">
                    <a:xfrm>
                      <a:off x="0" y="0"/>
                      <a:ext cx="5504749" cy="4403799"/>
                    </a:xfrm>
                    <a:prstGeom prst="rect">
                      <a:avLst/>
                    </a:prstGeom>
                    <a:noFill/>
                    <a:ln w="9525">
                      <a:noFill/>
                      <a:headEnd/>
                      <a:tailEnd/>
                    </a:ln>
                  </pic:spPr>
                </pic:pic>
              </a:graphicData>
            </a:graphic>
          </wp:inline>
        </w:drawing>
      </w:r>
    </w:p>
    <w:bookmarkEnd w:id="61"/>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2"/>
    <w:bookmarkEnd w:id="63"/>
    <w:bookmarkStart w:id="154" w:name="beta-regression-tutorial"/>
    <w:p>
      <w:pPr>
        <w:pStyle w:val="Heading1"/>
      </w:pPr>
      <w:r>
        <w:t xml:space="preserve">Beta Regression Tutorial</w:t>
      </w:r>
    </w:p>
    <w:bookmarkStart w:id="66"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4"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file &lt;- read_csv(here::here("data", "fluency_data"))</w:t>
            </w:r>
            <w:r>
              <w:br/>
            </w:r>
            <w:r>
              <w:rPr>
                <w:rStyle w:val="VerbatimChar"/>
              </w:rPr>
              <w:t xml:space="preserve">fluency_data &lt;- read.csv(file)</w:t>
            </w:r>
          </w:p>
          <w:bookmarkEnd w:id="64"/>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5"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5"/>
    <w:bookmarkEnd w:id="66"/>
    <w:bookmarkStart w:id="84"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0"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8" name="Picture"/>
            <a:graphic>
              <a:graphicData uri="http://schemas.openxmlformats.org/drawingml/2006/picture">
                <pic:pic>
                  <pic:nvPicPr>
                    <pic:cNvPr descr="ms_files/figure-docx/fig-flu1-1.png" id="69" name="Picture"/>
                    <pic:cNvPicPr>
                      <a:picLocks noChangeArrowheads="1" noChangeAspect="1"/>
                    </pic:cNvPicPr>
                  </pic:nvPicPr>
                  <pic:blipFill>
                    <a:blip r:embed="rId67"/>
                    <a:stretch>
                      <a:fillRect/>
                    </a:stretch>
                  </pic:blipFill>
                  <pic:spPr bwMode="auto">
                    <a:xfrm>
                      <a:off x="0" y="0"/>
                      <a:ext cx="5504749" cy="4403799"/>
                    </a:xfrm>
                    <a:prstGeom prst="rect">
                      <a:avLst/>
                    </a:prstGeom>
                    <a:noFill/>
                    <a:ln w="9525">
                      <a:noFill/>
                      <a:headEnd/>
                      <a:tailEnd/>
                    </a:ln>
                  </pic:spPr>
                </pic:pic>
              </a:graphicData>
            </a:graphic>
          </wp:inline>
        </w:drawing>
      </w:r>
    </w:p>
    <w:bookmarkEnd w:id="70"/>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3"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1"/>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2"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2"/>
        </w:tc>
      </w:tr>
    </w:tbl>
    <w:tbl>
      <w:tblPr>
        <w:tblStyle w:val="Table"/>
        <w:tblW w:type="pct" w:w="5000"/>
        <w:tblLayout w:type="fixed"/>
        <w:tblLook w:firstRow="0" w:lastRow="0" w:firstColumn="0" w:lastColumn="0" w:noHBand="0" w:noVBand="0" w:val="0000"/>
      </w:tblPr>
      <w:tblGrid>
        <w:gridCol w:w="7920"/>
      </w:tblGrid>
      <w:tr>
        <w:tc>
          <w:tcPr/>
          <w:bookmarkStart w:id="73"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3"/>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 to 0.171.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3423     2700</w:t>
      </w:r>
      <w:r>
        <w:br/>
      </w:r>
      <w:r>
        <w:rPr>
          <w:rStyle w:val="VerbatimChar"/>
        </w:rPr>
        <w:t xml:space="preserve">FluencyFluent     0.08      0.04     0.00     0.17 1.00     3712     2659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4004     2981</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r>
        <w:rPr>
          <w:b/>
          <w:bCs/>
        </w:rPr>
        <w:t xml:space="preserve">?@lst-rope-brms</w:t>
      </w:r>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bookmarkStart w:id="77"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5" name="Picture"/>
            <a:graphic>
              <a:graphicData uri="http://schemas.openxmlformats.org/drawingml/2006/picture">
                <pic:pic>
                  <pic:nvPicPr>
                    <pic:cNvPr descr="ms_files/figure-docx/fig-rope-1.png" id="76" name="Picture"/>
                    <pic:cNvPicPr>
                      <a:picLocks noChangeArrowheads="1" noChangeAspect="1"/>
                    </pic:cNvPicPr>
                  </pic:nvPicPr>
                  <pic:blipFill>
                    <a:blip r:embed="rId74"/>
                    <a:stretch>
                      <a:fillRect/>
                    </a:stretch>
                  </pic:blipFill>
                  <pic:spPr bwMode="auto">
                    <a:xfrm>
                      <a:off x="0" y="0"/>
                      <a:ext cx="5504749" cy="4403799"/>
                    </a:xfrm>
                    <a:prstGeom prst="rect">
                      <a:avLst/>
                    </a:prstGeom>
                    <a:noFill/>
                    <a:ln w="9525">
                      <a:noFill/>
                      <a:headEnd/>
                      <a:tailEnd/>
                    </a:ln>
                  </pic:spPr>
                </pic:pic>
              </a:graphicData>
            </a:graphic>
          </wp:inline>
        </w:drawing>
      </w:r>
    </w:p>
    <w:bookmarkEnd w:id="77"/>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4</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8" w:name="lst-check1"/>
          <w:p>
            <w:pPr>
              <w:pStyle w:val="FigureWithoutNote"/>
              <w:jc w:val="center"/>
            </w:pPr>
            <w:pPr>
              <w:jc w:val="start"/>
              <w:spacing w:before="200"/>
              <w:pStyle w:val="ImageCaption"/>
            </w:pPr>
            <w:r>
              <w:t xml:space="preserve">Listing 4: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78"/>
        </w:tc>
      </w:tr>
    </w:tbl>
    <w:bookmarkStart w:id="82"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0" name="Picture"/>
            <a:graphic>
              <a:graphicData uri="http://schemas.openxmlformats.org/drawingml/2006/picture">
                <pic:pic>
                  <pic:nvPicPr>
                    <pic:cNvPr descr="ms_files/figure-docx/fig-reg-assump-1.png" id="81" name="Picture"/>
                    <pic:cNvPicPr>
                      <a:picLocks noChangeArrowheads="1" noChangeAspect="1"/>
                    </pic:cNvPicPr>
                  </pic:nvPicPr>
                  <pic:blipFill>
                    <a:blip r:embed="rId79"/>
                    <a:stretch>
                      <a:fillRect/>
                    </a:stretch>
                  </pic:blipFill>
                  <pic:spPr bwMode="auto">
                    <a:xfrm>
                      <a:off x="0" y="0"/>
                      <a:ext cx="5504749" cy="4403799"/>
                    </a:xfrm>
                    <a:prstGeom prst="rect">
                      <a:avLst/>
                    </a:prstGeom>
                    <a:noFill/>
                    <a:ln w="9525">
                      <a:noFill/>
                      <a:headEnd/>
                      <a:tailEnd/>
                    </a:ln>
                  </pic:spPr>
                </pic:pic>
              </a:graphicData>
            </a:graphic>
          </wp:inline>
        </w:drawing>
      </w:r>
    </w:p>
    <w:bookmarkEnd w:id="82"/>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draws extend into negative accuracy values.</w:t>
      </w:r>
    </w:p>
    <w:bookmarkEnd w:id="83"/>
    <w:bookmarkEnd w:id="84"/>
    <w:bookmarkStart w:id="107"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(Kneib et al., 2023; Kruschke, 2013)</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5</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5</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5" w:name="lst-beta01"/>
          <w:p>
            <w:pPr>
              <w:jc w:val="center"/>
            </w:pPr>
            <w:pPr>
              <w:jc w:val="start"/>
              <w:spacing w:before="200"/>
              <w:pStyle w:val="ImageCaption"/>
            </w:pPr>
            <w:r>
              <w:t xml:space="preserve">Listing 5: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"models","model_beta_bayes_reg_01")</w:t>
            </w:r>
            <w:r>
              <w:br/>
            </w:r>
            <w:r>
              <w:rPr>
                <w:rStyle w:val="VerbatimChar"/>
              </w:rPr>
              <w:t xml:space="preserve">)</w:t>
            </w:r>
          </w:p>
          <w:bookmarkEnd w:id="85"/>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lst-betadis"/>
          <w:p>
            <w:pPr>
              <w:jc w:val="center"/>
            </w:pPr>
            <w:pPr>
              <w:jc w:val="start"/>
              <w:spacing w:before="200"/>
              <w:pStyle w:val="ImageCaption"/>
            </w:pPr>
            <w:r>
              <w:t xml:space="preserve">Listing 6: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6"/>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87"/>
      </w:r>
    </w:p>
    <w:bookmarkStart w:id="91"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89" name="Picture"/>
            <a:graphic>
              <a:graphicData uri="http://schemas.openxmlformats.org/drawingml/2006/picture">
                <pic:pic>
                  <pic:nvPicPr>
                    <pic:cNvPr descr="ms_files/figure-docx/fig-plt-diff-1.png" id="90" name="Picture"/>
                    <pic:cNvPicPr>
                      <a:picLocks noChangeArrowheads="1" noChangeAspect="1"/>
                    </pic:cNvPicPr>
                  </pic:nvPicPr>
                  <pic:blipFill>
                    <a:blip r:embed="rId88"/>
                    <a:stretch>
                      <a:fillRect/>
                    </a:stretch>
                  </pic:blipFill>
                  <pic:spPr bwMode="auto">
                    <a:xfrm>
                      <a:off x="0" y="0"/>
                      <a:ext cx="5504749" cy="4403799"/>
                    </a:xfrm>
                    <a:prstGeom prst="rect">
                      <a:avLst/>
                    </a:prstGeom>
                    <a:noFill/>
                    <a:ln w="9525">
                      <a:noFill/>
                      <a:headEnd/>
                      <a:tailEnd/>
                    </a:ln>
                  </pic:spPr>
                </pic:pic>
              </a:graphicData>
            </a:graphic>
          </wp:inline>
        </w:drawing>
      </w:r>
    </w:p>
    <w:bookmarkEnd w:id="91"/>
    <w:bookmarkStart w:id="101"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This is pretty easy to do manually, but when your model has many predictors,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7</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2" w:name="lst-me"/>
          <w:p>
            <w:pPr>
              <w:jc w:val="center"/>
            </w:pPr>
            <w:pPr>
              <w:jc w:val="start"/>
              <w:spacing w:before="200"/>
              <w:pStyle w:val="ImageCaption"/>
            </w:pPr>
            <w:r>
              <w:t xml:space="preserve">Listing 7: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2"/>
        </w:tc>
      </w:tr>
    </w:tbl>
    <w:tbl>
      <w:tblPr>
        <w:tblStyle w:val="Table"/>
        <w:tblW w:type="pct" w:w="5000"/>
        <w:tblLayout w:type="fixed"/>
        <w:tblLook w:firstRow="0" w:lastRow="0" w:firstColumn="0" w:lastColumn="0" w:noHBand="0" w:noVBand="0" w:val="0000"/>
      </w:tblPr>
      <w:tblGrid>
        <w:gridCol w:w="7920"/>
      </w:tblGrid>
      <w:tr>
        <w:tc>
          <w:tcPr/>
          <w:bookmarkStart w:id="93" w:name="lst-pred"/>
          <w:p>
            <w:pPr>
              <w:jc w:val="center"/>
            </w:pPr>
            <w:pPr>
              <w:jc w:val="start"/>
              <w:spacing w:before="200"/>
              <w:pStyle w:val="ImageCaption"/>
            </w:pPr>
            <w:r>
              <w:t xml:space="preserve">Listing 8: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3"/>
        </w:tc>
      </w:tr>
    </w:tbl>
    <w:bookmarkStart w:id="94"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[0.248, 0.348]</w:t>
            </w:r>
          </w:p>
        </w:tc>
      </w:tr>
      <w:tr>
        <w:tc>
          <w:tcPr/>
          <w:p>
            <w:pPr>
              <w:pStyle w:val="Compact"/>
            </w:pPr>
            <w:r>
              <w:t xml:space="preserve">Fluent</w:t>
            </w:r>
          </w:p>
        </w:tc>
        <w:tc>
          <w:tcPr/>
          <w:p>
            <w:pPr>
              <w:pStyle w:val="Compact"/>
            </w:pPr>
            <w:r>
              <w:t xml:space="preserve">0.354</w:t>
            </w:r>
          </w:p>
        </w:tc>
        <w:tc>
          <w:tcPr/>
          <w:p>
            <w:pPr>
              <w:pStyle w:val="Compact"/>
            </w:pPr>
            <w:r>
              <w:t xml:space="preserve">[0.303, 0.409]</w:t>
            </w:r>
          </w:p>
        </w:tc>
      </w:tr>
    </w:tbl>
    <w:bookmarkEnd w:id="94"/>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lst-plotbeta"/>
          <w:p>
            <w:pPr>
              <w:jc w:val="center"/>
            </w:pPr>
            <w:pPr>
              <w:jc w:val="start"/>
              <w:spacing w:before="200"/>
              <w:pStyle w:val="ImageCaption"/>
            </w:pPr>
            <w:r>
              <w:t xml:space="preserve">Listing 9: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5"/>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10</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6" w:name="lst-posdraws"/>
          <w:p>
            <w:pPr>
              <w:jc w:val="center"/>
            </w:pPr>
            <w:pPr>
              <w:jc w:val="start"/>
              <w:spacing w:before="200"/>
              <w:pStyle w:val="ImageCaption"/>
            </w:pPr>
            <w:r>
              <w:t xml:space="preserve">Listing 10: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6"/>
        </w:tc>
      </w:tr>
    </w:tbl>
    <w:bookmarkStart w:id="100"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98" name="Picture"/>
            <a:graphic>
              <a:graphicData uri="http://schemas.openxmlformats.org/drawingml/2006/picture">
                <pic:pic>
                  <pic:nvPicPr>
                    <pic:cNvPr descr="ms_files/figure-docx/fig-draws-fluency-1.png" id="99" name="Picture"/>
                    <pic:cNvPicPr>
                      <a:picLocks noChangeArrowheads="1" noChangeAspect="1"/>
                    </pic:cNvPicPr>
                  </pic:nvPicPr>
                  <pic:blipFill>
                    <a:blip r:embed="rId97"/>
                    <a:stretch>
                      <a:fillRect/>
                    </a:stretch>
                  </pic:blipFill>
                  <pic:spPr bwMode="auto">
                    <a:xfrm>
                      <a:off x="0" y="0"/>
                      <a:ext cx="5504749" cy="4403799"/>
                    </a:xfrm>
                    <a:prstGeom prst="rect">
                      <a:avLst/>
                    </a:prstGeom>
                    <a:noFill/>
                    <a:ln w="9525">
                      <a:noFill/>
                      <a:headEnd/>
                      <a:tailEnd/>
                    </a:ln>
                  </pic:spPr>
                </pic:pic>
              </a:graphicData>
            </a:graphic>
          </wp:inline>
        </w:drawing>
      </w:r>
    </w:p>
    <w:bookmarkEnd w:id="100"/>
    <w:bookmarkEnd w:id="101"/>
    <w:bookmarkStart w:id="105"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w:t>
      </w:r>
      <w:r>
        <w:t xml:space="preserve"> </w:t>
      </w:r>
      <w:r>
        <w:rPr>
          <w:b/>
          <w:bCs/>
        </w:rPr>
        <w:t xml:space="preserve">In recent years, there has been a thrust to move away from reporting regression coefficients alone, focusing instead on estimates that are easier to interpret and communicate—particularly in non-linear models</w:t>
      </w:r>
      <w:r>
        <w:rPr>
          <w:b/>
          <w:bCs/>
        </w:rPr>
        <w:t xml:space="preserve"> </w:t>
      </w:r>
      <w:r>
        <w:rPr>
          <w:b/>
          <w:bCs/>
        </w:rP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11</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2" w:name="lst-avgcomp"/>
          <w:p>
            <w:pPr>
              <w:jc w:val="center"/>
            </w:pPr>
            <w:pPr>
              <w:jc w:val="start"/>
              <w:spacing w:before="200"/>
              <w:pStyle w:val="ImageCaption"/>
            </w:pPr>
            <w:r>
              <w:t xml:space="preserve">Listing 11: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2"/>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lst-avgphi"/>
          <w:p>
            <w:pPr>
              <w:jc w:val="center"/>
            </w:pPr>
            <w:pPr>
              <w:jc w:val="start"/>
              <w:spacing w:before="200"/>
              <w:pStyle w:val="ImageCaption"/>
            </w:pPr>
            <w:r>
              <w:t xml:space="preserve">Listing 12: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3"/>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4"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4"/>
    </w:p>
    <w:bookmarkEnd w:id="105"/>
    <w:bookmarkStart w:id="106"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 does a pretty good job at capturing the data (The draws are now between 0-1) and the predicted values from the model follow the observed data. However, it could be better.</w:t>
      </w:r>
    </w:p>
    <w:bookmarkEnd w:id="106"/>
    <w:bookmarkEnd w:id="107"/>
    <w:bookmarkStart w:id="118"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1—it cannot handle values exactly equal to 0 or 1.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zib"/>
          <w:p>
            <w:pPr>
              <w:jc w:val="center"/>
            </w:pPr>
            <w:pPr>
              <w:jc w:val="start"/>
              <w:spacing w:before="200"/>
              <w:pStyle w:val="ImageCaption"/>
            </w:pPr>
            <w:r>
              <w:t xml:space="preserve">Listing 13: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08"/>
        </w:tc>
      </w:tr>
    </w:tbl>
    <w:bookmarkStart w:id="109"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09"/>
    <w:bookmarkStart w:id="112"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0"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[-0.033, 0.117]</w:t>
            </w:r>
          </w:p>
        </w:tc>
        <w:tc>
          <w:tcPr/>
          <w:p>
            <w:pPr>
              <w:pStyle w:val="Compact"/>
            </w:pPr>
            <w:r>
              <w:t xml:space="preserve">0.872</w:t>
            </w:r>
          </w:p>
        </w:tc>
      </w:tr>
    </w:tbl>
    <w:bookmarkEnd w:id="110"/>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1"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681"/>
        <w:tblLayout w:type="fixed"/>
        <w:tblLook w:firstRow="1" w:lastRow="0" w:firstColumn="0" w:lastColumn="0" w:noHBand="0" w:noVBand="0" w:val="0020"/>
      </w:tblPr>
      <w:tblGrid>
        <w:gridCol w:w="2310"/>
        <w:gridCol w:w="77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2.74</w:t>
            </w:r>
          </w:p>
        </w:tc>
        <w:tc>
          <w:tcPr/>
          <w:p>
            <w:pPr>
              <w:pStyle w:val="Compact"/>
            </w:pPr>
            <w:r>
              <w:t xml:space="preserve">[-0.759, 6.701]</w:t>
            </w:r>
          </w:p>
        </w:tc>
        <w:tc>
          <w:tcPr/>
          <w:p>
            <w:pPr>
              <w:pStyle w:val="Compact"/>
            </w:pPr>
            <w:r>
              <w:t xml:space="preserve">0.93</w:t>
            </w:r>
          </w:p>
        </w:tc>
      </w:tr>
    </w:tbl>
    <w:bookmarkEnd w:id="111"/>
    <w:bookmarkEnd w:id="112"/>
    <w:bookmarkStart w:id="117"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6"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4" name="Picture"/>
            <a:graphic>
              <a:graphicData uri="http://schemas.openxmlformats.org/drawingml/2006/picture">
                <pic:pic>
                  <pic:nvPicPr>
                    <pic:cNvPr descr="ms_files/figure-docx/fig-zi-plot-1.png" id="115" name="Picture"/>
                    <pic:cNvPicPr>
                      <a:picLocks noChangeArrowheads="1" noChangeAspect="1"/>
                    </pic:cNvPicPr>
                  </pic:nvPicPr>
                  <pic:blipFill>
                    <a:blip r:embed="rId113"/>
                    <a:stretch>
                      <a:fillRect/>
                    </a:stretch>
                  </pic:blipFill>
                  <pic:spPr bwMode="auto">
                    <a:xfrm>
                      <a:off x="0" y="0"/>
                      <a:ext cx="5504749" cy="4403799"/>
                    </a:xfrm>
                    <a:prstGeom prst="rect">
                      <a:avLst/>
                    </a:prstGeom>
                    <a:noFill/>
                    <a:ln w="9525">
                      <a:noFill/>
                      <a:headEnd/>
                      <a:tailEnd/>
                    </a:ln>
                  </pic:spPr>
                </pic:pic>
              </a:graphicData>
            </a:graphic>
          </wp:inline>
        </w:drawing>
      </w:r>
    </w:p>
    <w:bookmarkEnd w:id="116"/>
    <w:bookmarkEnd w:id="117"/>
    <w:bookmarkEnd w:id="118"/>
    <w:bookmarkStart w:id="128" w:name="zero-one-inflated-beta-zoib"/>
    <w:p>
      <w:pPr>
        <w:pStyle w:val="Heading2"/>
      </w:pPr>
      <w:r>
        <w:t xml:space="preserve">Zero-One-Inflated beta (ZOIB)</w:t>
      </w:r>
    </w:p>
    <w:p>
      <w:pPr>
        <w:pStyle w:val="FirstParagraph"/>
      </w:pPr>
      <w:r>
        <w:t xml:space="preserve">The ZIB model works well if you have 0s in your data, but not 1s.</w:t>
      </w:r>
      <w:r>
        <w:rPr>
          <w:rStyle w:val="FootnoteReference"/>
        </w:rPr>
        <w:footnoteReference w:id="119"/>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3"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1" name="Picture"/>
            <a:graphic>
              <a:graphicData uri="http://schemas.openxmlformats.org/drawingml/2006/picture">
                <pic:pic>
                  <pic:nvPicPr>
                    <pic:cNvPr descr="ms_files/figure-docx/fig-zoib-1.png" id="122" name="Picture"/>
                    <pic:cNvPicPr>
                      <a:picLocks noChangeArrowheads="1" noChangeAspect="1"/>
                    </pic:cNvPicPr>
                  </pic:nvPicPr>
                  <pic:blipFill>
                    <a:blip r:embed="rId120"/>
                    <a:stretch>
                      <a:fillRect/>
                    </a:stretch>
                  </pic:blipFill>
                  <pic:spPr bwMode="auto">
                    <a:xfrm>
                      <a:off x="0" y="0"/>
                      <a:ext cx="5943600" cy="4754880"/>
                    </a:xfrm>
                    <a:prstGeom prst="rect">
                      <a:avLst/>
                    </a:prstGeom>
                    <a:noFill/>
                    <a:ln w="9525">
                      <a:noFill/>
                      <a:headEnd/>
                      <a:tailEnd/>
                    </a:ln>
                  </pic:spPr>
                </pic:pic>
              </a:graphicData>
            </a:graphic>
          </wp:inline>
        </w:drawing>
      </w:r>
    </w:p>
    <w:bookmarkEnd w:id="123"/>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14</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4" w:name="lst-zoib"/>
          <w:p>
            <w:pPr>
              <w:jc w:val="center"/>
            </w:pPr>
            <w:pPr>
              <w:jc w:val="start"/>
              <w:spacing w:before="200"/>
              <w:pStyle w:val="ImageCaption"/>
            </w:pPr>
            <w:r>
              <w:t xml:space="preserve">Listing 14: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4"/>
        </w:tc>
      </w:tr>
    </w:tbl>
    <w:bookmarkStart w:id="125"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5"/>
    <w:bookmarkStart w:id="127"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6" w:name="lst-coi"/>
          <w:p>
            <w:pPr>
              <w:jc w:val="center"/>
            </w:pPr>
            <w:pPr>
              <w:jc w:val="start"/>
              <w:spacing w:before="200"/>
              <w:pStyle w:val="ImageCaption"/>
            </w:pPr>
            <w:r>
              <w:t xml:space="preserve">Listing 15: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6"/>
        </w:tc>
      </w:tr>
    </w:tbl>
    <w:bookmarkEnd w:id="127"/>
    <w:bookmarkEnd w:id="128"/>
    <w:bookmarkStart w:id="153"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29"/>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0"/>
      </w:r>
    </w:p>
    <w:bookmarkStart w:id="136"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1" w:name="lst-ordbeta"/>
          <w:p>
            <w:pPr>
              <w:jc w:val="center"/>
            </w:pPr>
            <w:pPr>
              <w:jc w:val="start"/>
              <w:spacing w:before="200"/>
              <w:pStyle w:val="ImageCaption"/>
            </w:pPr>
            <w:r>
              <w:t xml:space="preserve">Listing 16: Load {ordbetareg}</w:t>
            </w:r>
          </w:p>
          <w:p>
            <w:pPr>
              <w:pStyle w:val="SourceCode"/>
              <w:jc w:val="center"/>
            </w:pPr>
            <w:r>
              <w:rPr>
                <w:rStyle w:val="VerbatimChar"/>
              </w:rPr>
              <w:t xml:space="preserve">library(ordbetareg)</w:t>
            </w:r>
          </w:p>
          <w:bookmarkEnd w:id="131"/>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lst-fitordbeta"/>
          <w:p>
            <w:pPr>
              <w:jc w:val="center"/>
            </w:pPr>
            <w:pPr>
              <w:jc w:val="start"/>
              <w:spacing w:before="200"/>
              <w:pStyle w:val="ImageCaption"/>
            </w:pPr>
            <w:r>
              <w:t xml:space="preserve">Listing 17: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2"/>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18</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3" w:name="lst-ordbetadisp"/>
          <w:p>
            <w:pPr>
              <w:jc w:val="center"/>
            </w:pPr>
            <w:pPr>
              <w:jc w:val="start"/>
              <w:spacing w:before="200"/>
              <w:pStyle w:val="ImageCaption"/>
            </w:pPr>
            <w:r>
              <w:t xml:space="preserve">Listing 18: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3"/>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4" w:name="tbl-ordbeta"/>
    <w:p>
      <w:pPr>
        <w:pStyle w:val="FigureTitle"/>
      </w:pPr>
      <w:r>
        <w:t xml:space="preserve">Table 6</w:t>
      </w:r>
    </w:p>
    <w:p>
      <w:pPr>
        <w:pStyle w:val="Caption"/>
      </w:pPr>
      <w:r>
        <w:t xml:space="preserve">Marginal effect of fluency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[-0.015, 0.138]</w:t>
            </w:r>
          </w:p>
        </w:tc>
        <w:tc>
          <w:tcPr/>
          <w:p>
            <w:pPr>
              <w:pStyle w:val="Compact"/>
            </w:pPr>
            <w:r>
              <w:t xml:space="preserve">0.942</w:t>
            </w:r>
          </w:p>
        </w:tc>
      </w:tr>
    </w:tbl>
    <w:bookmarkEnd w:id="134"/>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5"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-2.98</w:t>
            </w:r>
          </w:p>
        </w:tc>
        <w:tc>
          <w:tcPr/>
          <w:p>
            <w:pPr>
              <w:pStyle w:val="Compact"/>
            </w:pPr>
            <w:r>
              <w:t xml:space="preserve">[-3.57, -2.42]</w:t>
            </w:r>
          </w:p>
        </w:tc>
      </w:tr>
      <w:tr>
        <w:tc>
          <w:tcPr/>
          <w:p>
            <w:pPr>
              <w:pStyle w:val="Compact"/>
            </w:pPr>
            <w:r>
              <w:t xml:space="preserve">cutone</w:t>
            </w:r>
          </w:p>
        </w:tc>
        <w:tc>
          <w:tcPr/>
          <w:p>
            <w:pPr>
              <w:pStyle w:val="Compact"/>
            </w:pPr>
            <w:r>
              <w:t xml:space="preserve">1.85</w:t>
            </w:r>
          </w:p>
        </w:tc>
        <w:tc>
          <w:tcPr/>
          <w:p>
            <w:pPr>
              <w:pStyle w:val="Compact"/>
            </w:pPr>
            <w:r>
              <w:t xml:space="preserve">[1.64, 2.07]</w:t>
            </w:r>
          </w:p>
        </w:tc>
      </w:tr>
    </w:tbl>
    <w:bookmarkEnd w:id="135"/>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you can test the influence of different factors on these boundaries.</w:t>
      </w:r>
    </w:p>
    <w:bookmarkEnd w:id="136"/>
    <w:bookmarkStart w:id="141"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0"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38" name="Picture"/>
            <a:graphic>
              <a:graphicData uri="http://schemas.openxmlformats.org/drawingml/2006/picture">
                <pic:pic>
                  <pic:nvPicPr>
                    <pic:cNvPr descr="ms_files/figure-docx/fig-ppcheckord-1.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bookmarkEnd w:id="140"/>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1"/>
    <w:bookmarkStart w:id="146" w:name="model-visualization"/>
    <w:p>
      <w:pPr>
        <w:pStyle w:val="Heading3"/>
      </w:pPr>
      <w:r>
        <w:t xml:space="preserve">Model Visualization</w:t>
      </w:r>
    </w:p>
    <w:p>
      <w:pPr>
        <w:pStyle w:val="FirstParagraph"/>
      </w:pPr>
      <w:r>
        <w:t xml:space="preserve">{ordbetareg} provides a neat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5"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3" name="Picture"/>
            <a:graphic>
              <a:graphicData uri="http://schemas.openxmlformats.org/drawingml/2006/picture">
                <pic:pic>
                  <pic:nvPicPr>
                    <pic:cNvPr descr="ms_files/figure-docx/fig-heiss-1.png" id="144" name="Picture"/>
                    <pic:cNvPicPr>
                      <a:picLocks noChangeArrowheads="1" noChangeAspect="1"/>
                    </pic:cNvPicPr>
                  </pic:nvPicPr>
                  <pic:blipFill>
                    <a:blip r:embed="rId142"/>
                    <a:stretch>
                      <a:fillRect/>
                    </a:stretch>
                  </pic:blipFill>
                  <pic:spPr bwMode="auto">
                    <a:xfrm>
                      <a:off x="0" y="0"/>
                      <a:ext cx="5504749" cy="4403799"/>
                    </a:xfrm>
                    <a:prstGeom prst="rect">
                      <a:avLst/>
                    </a:prstGeom>
                    <a:noFill/>
                    <a:ln w="9525">
                      <a:noFill/>
                      <a:headEnd/>
                      <a:tailEnd/>
                    </a:ln>
                  </pic:spPr>
                </pic:pic>
              </a:graphicData>
            </a:graphic>
          </wp:inline>
        </w:drawing>
      </w:r>
    </w:p>
    <w:bookmarkEnd w:id="145"/>
    <w:bookmarkEnd w:id="146"/>
    <w:bookmarkStart w:id="152"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you can use this argument to specify the bounds of the argument to fit the ordered beta regression. For example, you data might be bounded between 1 and 7. If so, you can model it as such and {ordbetareg} will convert the model predictions back to the true bounds after estimation.</w:t>
      </w:r>
    </w:p>
    <w:bookmarkStart w:id="147" w:name="tbl-all"/>
    <w:p>
      <w:pPr>
        <w:pStyle w:val="FigureTitle"/>
      </w:pPr>
      <w:r>
        <w:t xml:space="preserve">Table 8</w:t>
      </w:r>
    </w:p>
    <w:p>
      <w:pPr>
        <w:pStyle w:val="Caption"/>
      </w:pPr>
      <w:r>
        <w:t xml:space="preserve">Bayesian regression summaries for each model</w:t>
      </w:r>
    </w:p>
    <w:tbl>
      <w:tblPr>
        <w:tblStyle w:val="Table"/>
        <w:tblW w:type="pct" w:w="4815"/>
        <w:tblLayout w:type="fixed"/>
        <w:tblLook w:firstRow="1" w:lastRow="0" w:firstColumn="0" w:lastColumn="0" w:noHBand="0" w:noVBand="0" w:val="0020"/>
      </w:tblPr>
      <w:tblGrid>
        <w:gridCol w:w="1056"/>
        <w:gridCol w:w="528"/>
        <w:gridCol w:w="1114"/>
        <w:gridCol w:w="1232"/>
        <w:gridCol w:w="1232"/>
        <w:gridCol w:w="1232"/>
        <w:gridCol w:w="123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-0.834</w:t>
            </w:r>
          </w:p>
        </w:tc>
        <w:tc>
          <w:tcPr/>
          <w:p>
            <w:pPr>
              <w:pStyle w:val="Compact"/>
            </w:pPr>
            <w:r>
              <w:t xml:space="preserve">-0.829</w:t>
            </w:r>
          </w:p>
        </w:tc>
        <w:tc>
          <w:tcPr/>
          <w:p>
            <w:pPr>
              <w:pStyle w:val="Compact"/>
            </w:pPr>
            <w:r>
              <w:t xml:space="preserve">-0.823</w:t>
            </w:r>
          </w:p>
        </w:tc>
        <w:tc>
          <w:tcPr/>
          <w:p>
            <w:pPr>
              <w:pStyle w:val="Compact"/>
            </w:pPr>
            <w:r>
              <w:t xml:space="preserve">-0.868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[0.201, 0.313]</w:t>
            </w:r>
          </w:p>
        </w:tc>
        <w:tc>
          <w:tcPr/>
          <w:p>
            <w:pPr>
              <w:pStyle w:val="Compact"/>
            </w:pPr>
            <w:r>
              <w:rPr>
                <w:i/>
                <w:iCs/>
              </w:rPr>
              <w:t xml:space="preserve">[-1.091, -0.566]</w:t>
            </w:r>
          </w:p>
        </w:tc>
        <w:tc>
          <w:tcPr/>
          <w:p>
            <w:pPr>
              <w:pStyle w:val="Compact"/>
            </w:pPr>
            <w:r>
              <w:rPr>
                <w:i/>
                <w:iCs/>
              </w:rPr>
              <w:t xml:space="preserve">[-1.093, -0.562]</w:t>
            </w:r>
          </w:p>
        </w:tc>
        <w:tc>
          <w:tcPr/>
          <w:p>
            <w:pPr>
              <w:pStyle w:val="Compact"/>
            </w:pPr>
            <w:r>
              <w:rPr>
                <w:i/>
                <w:iCs/>
              </w:rPr>
              <w:t xml:space="preserve">[-1.081, -0.54]</w:t>
            </w:r>
          </w:p>
        </w:tc>
        <w:tc>
          <w:tcPr/>
          <w:p>
            <w:pPr>
              <w:pStyle w:val="Compact"/>
            </w:pPr>
            <w:r>
              <w:rPr>
                <w:i/>
                <w:iCs/>
              </w:rPr>
              <w:t xml:space="preserve">[-1.127, -0.611]</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0.084</w:t>
            </w:r>
          </w:p>
        </w:tc>
        <w:tc>
          <w:tcPr/>
          <w:p>
            <w:pPr>
              <w:pStyle w:val="Compact"/>
            </w:pPr>
            <w:r>
              <w:t xml:space="preserve">0.208</w:t>
            </w:r>
          </w:p>
        </w:tc>
        <w:tc>
          <w:tcPr/>
          <w:p>
            <w:pPr>
              <w:pStyle w:val="Compact"/>
            </w:pPr>
            <w:r>
              <w:t xml:space="preserve">0.201</w:t>
            </w:r>
          </w:p>
        </w:tc>
        <w:tc>
          <w:tcPr/>
          <w:p>
            <w:pPr>
              <w:pStyle w:val="Compact"/>
            </w:pPr>
            <w:r>
              <w:t xml:space="preserve">0.195</w:t>
            </w:r>
          </w:p>
        </w:tc>
        <w:tc>
          <w:tcPr/>
          <w:p>
            <w:pPr>
              <w:pStyle w:val="Compact"/>
            </w:pPr>
            <w:r>
              <w:t xml:space="preserve">0.262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 0.171]</w:t>
            </w:r>
          </w:p>
        </w:tc>
        <w:tc>
          <w:tcPr/>
          <w:p>
            <w:pPr>
              <w:pStyle w:val="Compact"/>
            </w:pPr>
            <w:r>
              <w:rPr>
                <w:i/>
                <w:iCs/>
              </w:rPr>
              <w:t xml:space="preserve">[-0.129, 0.543]</w:t>
            </w:r>
          </w:p>
        </w:tc>
        <w:tc>
          <w:tcPr/>
          <w:p>
            <w:pPr>
              <w:pStyle w:val="Compact"/>
            </w:pPr>
            <w:r>
              <w:rPr>
                <w:i/>
                <w:iCs/>
              </w:rPr>
              <w:t xml:space="preserve">[-0.146, 0.54]</w:t>
            </w:r>
          </w:p>
        </w:tc>
        <w:tc>
          <w:tcPr/>
          <w:p>
            <w:pPr>
              <w:pStyle w:val="Compact"/>
            </w:pPr>
            <w:r>
              <w:rPr>
                <w:i/>
                <w:iCs/>
              </w:rPr>
              <w:t xml:space="preserve">[-0.152, 0.531]</w:t>
            </w:r>
          </w:p>
        </w:tc>
        <w:tc>
          <w:tcPr/>
          <w:p>
            <w:pPr>
              <w:pStyle w:val="Compact"/>
            </w:pPr>
            <w:r>
              <w:rPr>
                <w:i/>
                <w:iCs/>
              </w:rPr>
              <w:t xml:space="preserve">[-0.063, 0.595]</w:t>
            </w:r>
          </w:p>
        </w:tc>
      </w:tr>
      <w:tr>
        <w:tc>
          <w:tcPr/>
          <w:p>
            <w:pPr>
              <w:pStyle w:val="Compact"/>
            </w:pPr>
            <w:r>
              <w:t xml:space="preserve">**</w:t>
            </w:r>
          </w:p>
        </w:tc>
        <w:tc>
          <w:tcPr/>
          <w:p>
            <w:pPr>
              <w:pStyle w:val="Compact"/>
            </w:pPr>
            <w:r>
              <w:rPr>
                <w:i/>
                <w:iCs/>
              </w:rPr>
              <w:t xml:space="preserve">pd</w:t>
            </w:r>
          </w:p>
        </w:tc>
        <w:tc>
          <w:tcPr/>
          <w:p>
            <w:pPr>
              <w:pStyle w:val="Compact"/>
            </w:pPr>
            <w:r>
              <w:t xml:space="preserve">*0.975**</w:t>
            </w:r>
          </w:p>
        </w:tc>
        <w:tc>
          <w:tcPr/>
          <w:p>
            <w:pPr>
              <w:pStyle w:val="Compact"/>
            </w:pPr>
            <w:r>
              <w:rPr>
                <w:i/>
                <w:iCs/>
              </w:rPr>
              <w:t xml:space="preserve">0.889</w:t>
            </w:r>
          </w:p>
        </w:tc>
        <w:tc>
          <w:tcPr/>
          <w:p>
            <w:pPr>
              <w:pStyle w:val="Compact"/>
            </w:pPr>
            <w:r>
              <w:rPr>
                <w:i/>
                <w:iCs/>
              </w:rPr>
              <w:t xml:space="preserve">0.872</w:t>
            </w:r>
          </w:p>
        </w:tc>
        <w:tc>
          <w:tcPr/>
          <w:p>
            <w:pPr>
              <w:pStyle w:val="Compact"/>
            </w:pPr>
            <w:r>
              <w:rPr>
                <w:i/>
                <w:iCs/>
              </w:rPr>
              <w:t xml:space="preserve">0.864</w:t>
            </w:r>
          </w:p>
        </w:tc>
        <w:tc>
          <w:tcPr/>
          <w:p>
            <w:pPr>
              <w:pStyle w:val="Compact"/>
            </w:pPr>
            <w:r>
              <w:rPr>
                <w:i/>
                <w:iCs/>
              </w:rPr>
              <w:t xml:space="preserve">0.942</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 0.241]</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1.602</w:t>
            </w:r>
          </w:p>
        </w:tc>
        <w:tc>
          <w:tcPr/>
          <w:p>
            <w:pPr>
              <w:pStyle w:val="Compact"/>
            </w:pPr>
            <w:r>
              <w:t xml:space="preserve">1.598</w:t>
            </w:r>
          </w:p>
        </w:tc>
        <w:tc>
          <w:tcPr/>
          <w:p>
            <w:pPr>
              <w:pStyle w:val="Compact"/>
            </w:pPr>
            <w:r>
              <w:t xml:space="preserve">1.594</w:t>
            </w:r>
          </w:p>
        </w:tc>
        <w:tc>
          <w:tcPr/>
          <w:p>
            <w:pPr>
              <w:pStyle w:val="Compact"/>
            </w:pPr>
            <w:r>
              <w:t xml:space="preserve">1.614</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[1.172, 1.98]</w:t>
            </w:r>
          </w:p>
        </w:tc>
        <w:tc>
          <w:tcPr/>
          <w:p>
            <w:pPr>
              <w:pStyle w:val="Compact"/>
            </w:pPr>
            <w:r>
              <w:rPr>
                <w:i/>
                <w:iCs/>
              </w:rPr>
              <w:t xml:space="preserve">[1.179, 1.985]</w:t>
            </w:r>
          </w:p>
        </w:tc>
        <w:tc>
          <w:tcPr/>
          <w:p>
            <w:pPr>
              <w:pStyle w:val="Compact"/>
            </w:pPr>
            <w:r>
              <w:rPr>
                <w:i/>
                <w:iCs/>
              </w:rPr>
              <w:t xml:space="preserve">[1.18, 1.985]</w:t>
            </w:r>
          </w:p>
        </w:tc>
        <w:tc>
          <w:tcPr/>
          <w:p>
            <w:pPr>
              <w:pStyle w:val="Compact"/>
            </w:pPr>
            <w:r>
              <w:rPr>
                <w:i/>
                <w:iCs/>
              </w:rPr>
              <w:t xml:space="preserve">[1.204, 2.002]</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0.416</w:t>
            </w:r>
          </w:p>
        </w:tc>
        <w:tc>
          <w:tcPr/>
          <w:p>
            <w:pPr>
              <w:pStyle w:val="Compact"/>
            </w:pPr>
            <w:r>
              <w:t xml:space="preserve">0.432</w:t>
            </w:r>
          </w:p>
        </w:tc>
        <w:tc>
          <w:tcPr/>
          <w:p>
            <w:pPr>
              <w:pStyle w:val="Compact"/>
            </w:pPr>
            <w:r>
              <w:t xml:space="preserve">0.436</w:t>
            </w:r>
          </w:p>
        </w:tc>
        <w:tc>
          <w:tcPr/>
          <w:p>
            <w:pPr>
              <w:pStyle w:val="Compact"/>
            </w:pPr>
            <w:r>
              <w:t xml:space="preserve">0.402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[-0.16, 0.989]</w:t>
            </w:r>
          </w:p>
        </w:tc>
        <w:tc>
          <w:tcPr/>
          <w:p>
            <w:pPr>
              <w:pStyle w:val="Compact"/>
            </w:pPr>
            <w:r>
              <w:rPr>
                <w:i/>
                <w:iCs/>
              </w:rPr>
              <w:t xml:space="preserve">[-0.127, 0.997]</w:t>
            </w:r>
          </w:p>
        </w:tc>
        <w:tc>
          <w:tcPr/>
          <w:p>
            <w:pPr>
              <w:pStyle w:val="Compact"/>
            </w:pPr>
            <w:r>
              <w:rPr>
                <w:i/>
                <w:iCs/>
              </w:rPr>
              <w:t xml:space="preserve">[-0.147, 1.003]</w:t>
            </w:r>
          </w:p>
        </w:tc>
        <w:tc>
          <w:tcPr/>
          <w:p>
            <w:pPr>
              <w:pStyle w:val="Compact"/>
            </w:pPr>
            <w:r>
              <w:rPr>
                <w:i/>
                <w:iCs/>
              </w:rPr>
              <w:t xml:space="preserve">[-0.18, 0.957]</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0.921</w:t>
            </w:r>
          </w:p>
        </w:tc>
        <w:tc>
          <w:tcPr/>
          <w:p>
            <w:pPr>
              <w:pStyle w:val="Compact"/>
            </w:pPr>
            <w:r>
              <w:rPr>
                <w:i/>
                <w:iCs/>
              </w:rPr>
              <w:t xml:space="preserve">0.930</w:t>
            </w:r>
          </w:p>
        </w:tc>
        <w:tc>
          <w:tcPr/>
          <w:p>
            <w:pPr>
              <w:pStyle w:val="Compact"/>
            </w:pPr>
            <w:r>
              <w:rPr>
                <w:i/>
                <w:iCs/>
              </w:rPr>
              <w:t xml:space="preserve">0.929</w:t>
            </w:r>
          </w:p>
        </w:tc>
        <w:tc>
          <w:tcPr/>
          <w:p>
            <w:pPr>
              <w:pStyle w:val="Compact"/>
            </w:pPr>
            <w:r>
              <w:rPr>
                <w:i/>
                <w:iCs/>
              </w:rPr>
              <w:t xml:space="preserve">0.915</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-1.660</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[-2.458, -0.953]</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-2.151</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[-4.652, -0.324]</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-1.545</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 -0.866]</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-2.213</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[-4.782, -0.457]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0.995</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-2.071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[-4.454, -0.291]</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0.229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[-6.563, 5.675]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0.566</w:t>
            </w:r>
          </w:p>
        </w:tc>
        <w:tc>
          <w:tcPr/>
          <w:p>
            <w:pPr>
              <w:pStyle w:val="Compact"/>
            </w:pPr>
            <w:r>
              <w:rPr>
                <w:i/>
                <w:iCs/>
              </w:rPr>
              <w:t xml:space="preserve">-</w:t>
            </w:r>
          </w:p>
        </w:tc>
      </w:tr>
    </w:tbl>
    <w:bookmarkEnd w:id="147"/>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1"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49" name="Picture"/>
            <a:graphic>
              <a:graphicData uri="http://schemas.openxmlformats.org/drawingml/2006/picture">
                <pic:pic>
                  <pic:nvPicPr>
                    <pic:cNvPr descr="ms_files/figure-docx/fig-ppcheckall-1.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bookmarkEnd w:id="151"/>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74" w:name="references"/>
    <w:p>
      <w:pPr>
        <w:pStyle w:val="Heading1"/>
      </w:pPr>
      <w:r>
        <w:t xml:space="preserve">References</w:t>
      </w:r>
    </w:p>
    <w:bookmarkStart w:id="273"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7">
        <w:r>
          <w:rPr>
            <w:rStyle w:val="Hyperlink"/>
          </w:rPr>
          <w:t xml:space="preserve">https://doi.org/10.1016/j.ecosta.2021.07.006</w:t>
        </w:r>
      </w:hyperlink>
    </w:p>
    <w:bookmarkEnd w:id="198"/>
    <w:bookmarkStart w:id="200"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9">
        <w:r>
          <w:rPr>
            <w:rStyle w:val="Hyperlink"/>
          </w:rPr>
          <w:t xml:space="preserve">https://doi.org/10.1016/j.wocn.2016.08.006</w:t>
        </w:r>
      </w:hyperlink>
    </w:p>
    <w:bookmarkEnd w:id="200"/>
    <w:bookmarkStart w:id="202"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1">
        <w:r>
          <w:rPr>
            <w:rStyle w:val="Hyperlink"/>
          </w:rPr>
          <w:t xml:space="preserve">https://doi.org/10.1111/j.1467-9280.2008.02127.x</w:t>
        </w:r>
      </w:hyperlink>
    </w:p>
    <w:bookmarkEnd w:id="202"/>
    <w:bookmarkStart w:id="204"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3">
        <w:r>
          <w:rPr>
            <w:rStyle w:val="Hyperlink"/>
          </w:rPr>
          <w:t xml:space="preserve">https://doi.org/10.1093/jrsssc/qlaf039</w:t>
        </w:r>
      </w:hyperlink>
    </w:p>
    <w:bookmarkEnd w:id="204"/>
    <w:bookmarkStart w:id="206"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5">
        <w:r>
          <w:rPr>
            <w:rStyle w:val="Hyperlink"/>
          </w:rPr>
          <w:t xml:space="preserve">https://doi.org/10.1037/a0029146</w:t>
        </w:r>
      </w:hyperlink>
    </w:p>
    <w:bookmarkEnd w:id="206"/>
    <w:bookmarkStart w:id="207"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7"/>
    <w:bookmarkStart w:id="209"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8">
        <w:r>
          <w:rPr>
            <w:rStyle w:val="Hyperlink"/>
          </w:rPr>
          <w:t xml:space="preserve">https://doi.org/10.1177/2515245918771304</w:t>
        </w:r>
      </w:hyperlink>
    </w:p>
    <w:bookmarkEnd w:id="209"/>
    <w:bookmarkStart w:id="211"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0">
        <w:r>
          <w:rPr>
            <w:rStyle w:val="Hyperlink"/>
          </w:rPr>
          <w:t xml:space="preserve">https://doi.org/10.1017/pan.2022.20</w:t>
        </w:r>
      </w:hyperlink>
    </w:p>
    <w:bookmarkEnd w:id="211"/>
    <w:bookmarkStart w:id="213"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2">
        <w:r>
          <w:rPr>
            <w:rStyle w:val="Hyperlink"/>
          </w:rPr>
          <w:t xml:space="preserve">https://CRAN.R-project.org/package=ordbetareg</w:t>
        </w:r>
      </w:hyperlink>
    </w:p>
    <w:bookmarkEnd w:id="213"/>
    <w:bookmarkStart w:id="215"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4">
        <w:r>
          <w:rPr>
            <w:rStyle w:val="Hyperlink"/>
          </w:rPr>
          <w:t xml:space="preserve">https://doi.org/10.32614/CRAN.package.emmeans</w:t>
        </w:r>
      </w:hyperlink>
    </w:p>
    <w:bookmarkEnd w:id="215"/>
    <w:bookmarkStart w:id="217"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6">
        <w:r>
          <w:rPr>
            <w:rStyle w:val="Hyperlink"/>
          </w:rPr>
          <w:t xml:space="preserve">https://doi.org/10.32614/rj-2015-019</w:t>
        </w:r>
      </w:hyperlink>
    </w:p>
    <w:bookmarkEnd w:id="217"/>
    <w:bookmarkStart w:id="219"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8">
        <w:r>
          <w:rPr>
            <w:rStyle w:val="Hyperlink"/>
          </w:rPr>
          <w:t xml:space="preserve">https://easystats.github.io/easystats/</w:t>
        </w:r>
      </w:hyperlink>
    </w:p>
    <w:bookmarkEnd w:id="219"/>
    <w:bookmarkStart w:id="221"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0">
        <w:r>
          <w:rPr>
            <w:rStyle w:val="Hyperlink"/>
          </w:rPr>
          <w:t xml:space="preserve">https://doi.org/10.3389/fpsyg.2019.02767</w:t>
        </w:r>
      </w:hyperlink>
    </w:p>
    <w:bookmarkEnd w:id="221"/>
    <w:bookmarkStart w:id="223"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2">
        <w:r>
          <w:rPr>
            <w:rStyle w:val="Hyperlink"/>
          </w:rPr>
          <w:t xml:space="preserve">https://doi.org/10.21105/joss.01541</w:t>
        </w:r>
      </w:hyperlink>
    </w:p>
    <w:bookmarkEnd w:id="223"/>
    <w:bookmarkStart w:id="225"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4">
        <w:r>
          <w:rPr>
            <w:rStyle w:val="Hyperlink"/>
          </w:rPr>
          <w:t xml:space="preserve">https://doi.org/10.31234/osf.io/z68v3_v1</w:t>
        </w:r>
      </w:hyperlink>
    </w:p>
    <w:bookmarkEnd w:id="225"/>
    <w:bookmarkStart w:id="227"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6">
        <w:r>
          <w:rPr>
            <w:rStyle w:val="Hyperlink"/>
          </w:rPr>
          <w:t xml:space="preserve">https://doi.org/10.1177/0013164416669201</w:t>
        </w:r>
      </w:hyperlink>
    </w:p>
    <w:bookmarkEnd w:id="227"/>
    <w:bookmarkStart w:id="229"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8">
        <w:r>
          <w:rPr>
            <w:rStyle w:val="Hyperlink"/>
          </w:rPr>
          <w:t xml:space="preserve">https://doi.org/10.1098/rsos.231713</w:t>
        </w:r>
      </w:hyperlink>
    </w:p>
    <w:bookmarkEnd w:id="229"/>
    <w:bookmarkStart w:id="231"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0">
        <w:r>
          <w:rPr>
            <w:rStyle w:val="Hyperlink"/>
          </w:rPr>
          <w:t xml:space="preserve">https://doi.org/10.1080/00273171.2020.1868966</w:t>
        </w:r>
      </w:hyperlink>
    </w:p>
    <w:bookmarkEnd w:id="231"/>
    <w:bookmarkStart w:id="233"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2">
        <w:r>
          <w:rPr>
            <w:rStyle w:val="Hyperlink"/>
          </w:rPr>
          <w:t xml:space="preserve">https://doi.org/10.1201/9780429029608</w:t>
        </w:r>
      </w:hyperlink>
    </w:p>
    <w:bookmarkEnd w:id="233"/>
    <w:bookmarkStart w:id="235"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4">
        <w:r>
          <w:rPr>
            <w:rStyle w:val="Hyperlink"/>
          </w:rPr>
          <w:t xml:space="preserve">https://doi.org/10.2307/2344614</w:t>
        </w:r>
      </w:hyperlink>
    </w:p>
    <w:bookmarkEnd w:id="235"/>
    <w:bookmarkStart w:id="237"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6">
        <w:r>
          <w:rPr>
            <w:rStyle w:val="Hyperlink"/>
          </w:rPr>
          <w:t xml:space="preserve">https://www.sciencedirect.com/science/article/pii/S0048969723041505</w:t>
        </w:r>
      </w:hyperlink>
    </w:p>
    <w:bookmarkEnd w:id="237"/>
    <w:bookmarkStart w:id="239"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8">
        <w:r>
          <w:rPr>
            <w:rStyle w:val="Hyperlink"/>
          </w:rPr>
          <w:t xml:space="preserve">https://doi.org/10.1093/oxfordjournals.pan.a004873</w:t>
        </w:r>
      </w:hyperlink>
    </w:p>
    <w:bookmarkEnd w:id="239"/>
    <w:bookmarkStart w:id="241"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0">
        <w:r>
          <w:rPr>
            <w:rStyle w:val="Hyperlink"/>
          </w:rPr>
          <w:t xml:space="preserve">https://doi.org/10.31234/osf.io/ck3js_v1</w:t>
        </w:r>
      </w:hyperlink>
    </w:p>
    <w:bookmarkEnd w:id="241"/>
    <w:bookmarkStart w:id="243"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2">
        <w:r>
          <w:rPr>
            <w:rStyle w:val="Hyperlink"/>
          </w:rPr>
          <w:t xml:space="preserve">https://www.R-project.org/</w:t>
        </w:r>
      </w:hyperlink>
    </w:p>
    <w:bookmarkEnd w:id="243"/>
    <w:bookmarkStart w:id="244"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4"/>
    <w:bookmarkStart w:id="246"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5">
        <w:r>
          <w:rPr>
            <w:rStyle w:val="Hyperlink"/>
          </w:rPr>
          <w:t xml:space="preserve">https://docs.ropensci.org/rix/</w:t>
        </w:r>
      </w:hyperlink>
    </w:p>
    <w:bookmarkEnd w:id="246"/>
    <w:bookmarkStart w:id="248"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7">
        <w:r>
          <w:rPr>
            <w:rStyle w:val="Hyperlink"/>
          </w:rPr>
          <w:t xml:space="preserve">https://doi.org/10.31234/osf.io/g4s2a_v1</w:t>
        </w:r>
      </w:hyperlink>
    </w:p>
    <w:bookmarkEnd w:id="248"/>
    <w:bookmarkStart w:id="250"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9">
        <w:r>
          <w:rPr>
            <w:rStyle w:val="Hyperlink"/>
          </w:rPr>
          <w:t xml:space="preserve">https://doi.org/10.1177/08902070241239834</w:t>
        </w:r>
      </w:hyperlink>
    </w:p>
    <w:bookmarkEnd w:id="250"/>
    <w:bookmarkStart w:id="252"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1">
        <w:r>
          <w:rPr>
            <w:rStyle w:val="Hyperlink"/>
          </w:rPr>
          <w:t xml:space="preserve">https://doi.org/10.31234/osf.io/4rznt</w:t>
        </w:r>
      </w:hyperlink>
    </w:p>
    <w:bookmarkEnd w:id="252"/>
    <w:bookmarkStart w:id="254"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3">
        <w:r>
          <w:rPr>
            <w:rStyle w:val="Hyperlink"/>
          </w:rPr>
          <w:t xml:space="preserve">https://doi.org/10.1001/jamanetworkopen.2023.53401</w:t>
        </w:r>
      </w:hyperlink>
    </w:p>
    <w:bookmarkEnd w:id="254"/>
    <w:bookmarkStart w:id="256"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5">
        <w:r>
          <w:rPr>
            <w:rStyle w:val="Hyperlink"/>
          </w:rPr>
          <w:t xml:space="preserve">https://doi.org/10.1037/1082-989x.11.1.54</w:t>
        </w:r>
      </w:hyperlink>
    </w:p>
    <w:bookmarkEnd w:id="256"/>
    <w:bookmarkStart w:id="258"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7">
        <w:r>
          <w:rPr>
            <w:rStyle w:val="Hyperlink"/>
          </w:rPr>
          <w:t xml:space="preserve">https://mc-stan.org</w:t>
        </w:r>
      </w:hyperlink>
    </w:p>
    <w:bookmarkEnd w:id="258"/>
    <w:bookmarkStart w:id="260"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9">
        <w:r>
          <w:rPr>
            <w:rStyle w:val="Hyperlink"/>
          </w:rPr>
          <w:t xml:space="preserve">https://doi.org/10.1007/s11409-017-9175-0</w:t>
        </w:r>
      </w:hyperlink>
    </w:p>
    <w:bookmarkEnd w:id="260"/>
    <w:bookmarkStart w:id="262"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1">
        <w:r>
          <w:rPr>
            <w:rStyle w:val="Hyperlink"/>
          </w:rPr>
          <w:t xml:space="preserve">https://vuorre.com/posts/2019-02-18-analyze-analog-scale-ratings-with-zero-one-inflated-beta-models</w:t>
        </w:r>
      </w:hyperlink>
    </w:p>
    <w:bookmarkEnd w:id="262"/>
    <w:bookmarkStart w:id="264"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3">
        <w:r>
          <w:rPr>
            <w:rStyle w:val="Hyperlink"/>
          </w:rPr>
          <w:t xml:space="preserve">https://r4ds.hadley.nz/</w:t>
        </w:r>
      </w:hyperlink>
    </w:p>
    <w:bookmarkEnd w:id="264"/>
    <w:bookmarkStart w:id="266"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5">
        <w:r>
          <w:rPr>
            <w:rStyle w:val="Hyperlink"/>
          </w:rPr>
          <w:t xml:space="preserve">https://doi.org/10.1002/acp.3724</w:t>
        </w:r>
      </w:hyperlink>
    </w:p>
    <w:bookmarkEnd w:id="266"/>
    <w:bookmarkStart w:id="268"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7">
        <w:r>
          <w:rPr>
            <w:rStyle w:val="Hyperlink"/>
          </w:rPr>
          <w:t xml:space="preserve">https://doi.org/10.1111/gcb.17422</w:t>
        </w:r>
      </w:hyperlink>
    </w:p>
    <w:bookmarkEnd w:id="268"/>
    <w:bookmarkStart w:id="270"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9">
        <w:r>
          <w:rPr>
            <w:rStyle w:val="Hyperlink"/>
          </w:rPr>
          <w:t xml:space="preserve">https://doi.org/10.1037/mac0000003</w:t>
        </w:r>
      </w:hyperlink>
    </w:p>
    <w:bookmarkEnd w:id="270"/>
    <w:bookmarkStart w:id="272"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1">
        <w:r>
          <w:rPr>
            <w:rStyle w:val="Hyperlink"/>
          </w:rPr>
          <w:t xml:space="preserve">https://stats.andrewheiss.com/compassionate-clam/manuscript/output/manuscript.html</w:t>
        </w:r>
      </w:hyperlink>
    </w:p>
    <w:bookmarkEnd w:id="272"/>
    <w:bookmarkEnd w:id="273"/>
    <w:sectPr>
      <w:lnNumType w:countBy="1" w:restart="continuous"/>
    </w:sectPr>
    <w:bookmarkEnd w:id="274"/>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w:t>
      </w:r>
    </w:p>
  </w:footnote>
  <w:footnote w:id="71">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87">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19">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29">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0">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97" Target="media/rId97.png" /><Relationship Type="http://schemas.openxmlformats.org/officeDocument/2006/relationships/image" Id="rId67" Target="media/rId67.png" /><Relationship Type="http://schemas.openxmlformats.org/officeDocument/2006/relationships/image" Id="rId142" Target="media/rId142.png" /><Relationship Type="http://schemas.openxmlformats.org/officeDocument/2006/relationships/image" Id="rId58" Target="media/rId58.png" /><Relationship Type="http://schemas.openxmlformats.org/officeDocument/2006/relationships/image" Id="rId88" Target="media/rId88.png" /><Relationship Type="http://schemas.openxmlformats.org/officeDocument/2006/relationships/image" Id="rId148" Target="media/rId148.png" /><Relationship Type="http://schemas.openxmlformats.org/officeDocument/2006/relationships/image" Id="rId137" Target="media/rId137.png" /><Relationship Type="http://schemas.openxmlformats.org/officeDocument/2006/relationships/image" Id="rId79" Target="media/rId79.png" /><Relationship Type="http://schemas.openxmlformats.org/officeDocument/2006/relationships/image" Id="rId74" Target="media/rId74.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11086</vt:lpwstr>
  </property>
  <property fmtid="{D5CDD505-2E9C-101B-9397-08002B2CF9AE}" pid="67" name="zerocitations">
    <vt:lpwstr>False</vt:lpwstr>
  </property>
</Properties>
</file>