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46.png" ContentType="image/png"/>
  <Override PartName="/word/media/rId94.png" ContentType="image/png"/>
  <Override PartName="/word/media/rId59.png" ContentType="image/png"/>
  <Override PartName="/word/media/rId142.png" ContentType="image/png"/>
  <Override PartName="/word/media/rId84.png" ContentType="image/png"/>
  <Override PartName="/word/media/rId76.png" ContentType="image/png"/>
  <Override PartName="/word/media/rId138.png" ContentType="image/png"/>
  <Override PartName="/word/media/rId72.png" ContentType="image/png"/>
  <Override PartName="/word/media/rId113.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10406</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percentages—for example,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directed at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 or belief</w:t>
      </w:r>
      <w:r>
        <w:t xml:space="preserve"> </w:t>
      </w:r>
      <w:r>
        <w:t xml:space="preserve">(e.g.,</w:t>
      </w:r>
      <w:r>
        <w:t xml:space="preserve"> </w:t>
      </w:r>
      <w:hyperlink w:anchor="ref-Costello2024">
        <w:r>
          <w:rPr>
            <w:rStyle w:val="Hyperlink"/>
          </w:rPr>
          <w:t xml:space="preserve">Costello et al., 2024</w:t>
        </w:r>
      </w:hyperlink>
      <w:r>
        <w:t xml:space="preserve">)</w:t>
      </w:r>
      <w:r>
        <w:t xml:space="preserve">. In educational and cognitive research, one common way to assess learning is by measuring the proportion of correct responses on a test.</w:t>
      </w:r>
    </w:p>
    <w:p>
      <w:pPr>
        <w:pStyle w:val="BodyText"/>
      </w:pPr>
      <w:r>
        <w:t xml:space="preserve">Consider a memory experiment in which participants read a short passage, engage in a brief distractor task, and then complete a final memory test with 10 short-answer questions. Each question may have a different point value (e.g., question 1 is worth 4 points, question 2 is worth 1 point). A meaningful outcome measure could be the proportion of points earned on each question relative to its total possible value.</w:t>
      </w:r>
    </w:p>
    <w:p>
      <w:pPr>
        <w:pStyle w:val="BodyText"/>
      </w:pPr>
      <w:r>
        <w:t xml:space="preserve">A key question arises from this example :</w:t>
      </w:r>
      <w:r>
        <w:t xml:space="preserve"> </w:t>
      </w:r>
      <w:r>
        <w:rPr>
          <w:b/>
          <w:bCs/>
        </w:rPr>
        <w:t xml:space="preserve">how should proportional outcomes be analyzed?</w:t>
      </w:r>
      <w:r>
        <w:t xml:space="preserve"> </w:t>
      </w:r>
      <w:r>
        <w:t xml:space="preserve">While it is sometimes possible to model the components of a proportion separately—for example, using a binomial model when both the number of successes and total trials are known, or a Poisson model when working with raw counts—modeling the proportion itself offers comparability across tasks and scales. This can be particularly useful when only the proportion is available, as is often the case with secondary data that lack item-level structure or point values.</w:t>
      </w:r>
    </w:p>
    <w:p>
      <w:pPr>
        <w:pStyle w:val="BodyText"/>
      </w:pPr>
      <w:r>
        <w:t xml:space="preserve">Despite this, many researchers default to linear models, including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w:t>
      </w:r>
      <w:hyperlink w:anchor="ref-sladekova2024unicorns">
        <w:r>
          <w:rPr>
            <w:rStyle w:val="Hyperlink"/>
          </w:rPr>
          <w:t xml:space="preserve">Sladekova &amp; Field, 2024</w:t>
        </w:r>
      </w:hyperlink>
      <w:r>
        <w:t xml:space="preserve">)</w:t>
      </w:r>
      <w:r>
        <w:t xml:space="preserve">, and they are especially ill-suited for proportional outcomes, which are bounded between 0 and 1 and often exhibit heteroscedasticity—non-constant variance, 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spurious inferences, especially when many observations cluster near 0 or 1.</w:t>
      </w:r>
    </w:p>
    <w:p>
      <w:pPr>
        <w:pStyle w:val="BodyText"/>
      </w:pPr>
      <w:r>
        <w:t xml:space="preserve">Another option is to use generalized linear models (GLMs) that relax the assumption of normality. For instance, binomial and Bernoulli models—often referred to as logistic regression when paired with a logit link—are well-suited for binary outcomes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 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4"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4"/>
    <w:bookmarkEnd w:id="55"/>
    <w:bookmarkStart w:id="149" w:name="beta-regression-tutorial"/>
    <w:p>
      <w:pPr>
        <w:pStyle w:val="Heading1"/>
      </w:pPr>
      <w:r>
        <w:t xml:space="preserve">Beta Regression Tutorial</w:t>
      </w:r>
    </w:p>
    <w:bookmarkStart w:id="58"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6"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6"/>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7"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7"/>
    <w:bookmarkEnd w:id="58"/>
    <w:bookmarkStart w:id="70"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62"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0" name="Picture"/>
            <a:graphic>
              <a:graphicData uri="http://schemas.openxmlformats.org/drawingml/2006/picture">
                <pic:pic>
                  <pic:nvPicPr>
                    <pic:cNvPr descr="ms_files/figure-docx/fig-flu1-1.png" id="61" name="Picture"/>
                    <pic:cNvPicPr>
                      <a:picLocks noChangeArrowheads="1" noChangeAspect="1"/>
                    </pic:cNvPicPr>
                  </pic:nvPicPr>
                  <pic:blipFill>
                    <a:blip r:embed="rId59"/>
                    <a:stretch>
                      <a:fillRect/>
                    </a:stretch>
                  </pic:blipFill>
                  <pic:spPr bwMode="auto">
                    <a:xfrm>
                      <a:off x="0" y="0"/>
                      <a:ext cx="5504749" cy="3400711"/>
                    </a:xfrm>
                    <a:prstGeom prst="rect">
                      <a:avLst/>
                    </a:prstGeom>
                    <a:noFill/>
                    <a:ln w="9525">
                      <a:noFill/>
                      <a:headEnd/>
                      <a:tailEnd/>
                    </a:ln>
                  </pic:spPr>
                </pic:pic>
              </a:graphicData>
            </a:graphic>
          </wp:inline>
        </w:drawing>
      </w:r>
    </w:p>
    <w:bookmarkEnd w:id="62"/>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3"/>
    <w:p>
      <w:pPr>
        <w:pStyle w:val="FigureNote"/>
      </w:pPr>
      <w:r>
        <w:rPr>
          <w:i/>
          <w:iCs/>
        </w:rPr>
        <w:t xml:space="preserve">Note</w:t>
      </w:r>
      <w:r>
        <w:t xml:space="preserve">. Link functions: b_mean = logit; b_phi = logit;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69"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4"/>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w:t>
      </w:r>
      <w:r>
        <w:t xml:space="preserve"> </w:t>
      </w:r>
      <w:r>
        <w:rPr>
          <w:i/>
          <w:iCs/>
        </w:rPr>
        <w:t xml:space="preserve">disfluent</w:t>
      </w:r>
      <w:r>
        <w:t xml:space="preserve"> </w:t>
      </w:r>
      <w:r>
        <w:t xml:space="preserve">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-0.003 to 0.169.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0.32 1.00     4193     2441</w:t>
      </w:r>
      <w:r>
        <w:br/>
      </w:r>
      <w:r>
        <w:rPr>
          <w:rStyle w:val="VerbatimChar"/>
        </w:rPr>
        <w:t xml:space="preserve">FluencyFluent     0.08      0.04    -0.00     0.17 1.00     4066     2989</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3625     2909</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w:t>
      </w:r>
      <w:hyperlink w:anchor="ref-makowski2019a">
        <w:r>
          <w:rPr>
            <w:rStyle w:val="Hyperlink"/>
          </w:rPr>
          <w:t xml:space="preserve">Makowski, Ben-Shachar, Chen, et al., 2019</w:t>
        </w:r>
      </w:hyperlink>
      <w:r>
        <w:t xml:space="preserve">;</w:t>
      </w:r>
      <w:r>
        <w:t xml:space="preserve"> </w:t>
      </w:r>
      <w:hyperlink w:anchor="ref-makowski2019">
        <w:r>
          <w:rPr>
            <w:rStyle w:val="Hyperlink"/>
          </w:rPr>
          <w:t xml:space="preserve">Makowski, Ben-Shachar, &amp; Lüdecke, 2019</w:t>
        </w:r>
      </w:hyperlink>
      <w:r>
        <w:t xml:space="preserve">)</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67"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67"/>
        </w:tc>
      </w:tr>
    </w:tbl>
    <w:bookmarkStart w:id="68" w:name="tbl-hypothesis"/>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0.084</w:t>
            </w:r>
          </w:p>
        </w:tc>
        <w:tc>
          <w:tcPr/>
          <w:p>
            <w:pPr>
              <w:pStyle w:val="Compact"/>
            </w:pPr>
            <w:r>
              <w:t xml:space="preserve">[0.013, 0.155]</w:t>
            </w:r>
          </w:p>
        </w:tc>
        <w:tc>
          <w:tcPr/>
          <w:p>
            <w:pPr>
              <w:pStyle w:val="Compact"/>
            </w:pPr>
            <w:r>
              <w:t xml:space="preserve">35.036</w:t>
            </w:r>
          </w:p>
        </w:tc>
      </w:tr>
    </w:tbl>
    <w:bookmarkEnd w:id="68"/>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r>
        <w:rPr>
          <w:b/>
          <w:bCs/>
        </w:rPr>
        <w:t xml:space="preserve">?@tbl-hypothesis</w:t>
      </w:r>
      <w:r>
        <w:t xml:space="preserve">) The evidence ratio (ER) for the fluency effect is 35.036036, providing very strong evidence that the effect is both non-zero and positive</w:t>
      </w:r>
      <w:r>
        <w:t xml:space="preserve"> </w:t>
      </w:r>
      <w:r>
        <w:t xml:space="preserve">(</w:t>
      </w:r>
      <w:hyperlink w:anchor="ref-jeffries1961">
        <w:r>
          <w:rPr>
            <w:rStyle w:val="Hyperlink"/>
          </w:rPr>
          <w:t xml:space="preserve">Jeffries, 1961</w:t>
        </w:r>
      </w:hyperlink>
      <w:r>
        <w:t xml:space="preserve">;</w:t>
      </w:r>
      <w:r>
        <w:t xml:space="preserve"> </w:t>
      </w:r>
      <w:hyperlink w:anchor="ref-kass1995">
        <w:r>
          <w:rPr>
            <w:rStyle w:val="Hyperlink"/>
          </w:rPr>
          <w:t xml:space="preserve">Kass &amp; Raftery, 1995</w:t>
        </w:r>
      </w:hyperlink>
      <w:r>
        <w:t xml:space="preserve">)</w:t>
      </w:r>
      <w:r>
        <w:t xml:space="preserve">.</w:t>
      </w:r>
    </w:p>
    <w:bookmarkEnd w:id="69"/>
    <w:bookmarkEnd w:id="70"/>
    <w:bookmarkStart w:id="106"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1"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1"/>
        </w:tc>
      </w:tr>
    </w:tbl>
    <w:bookmarkStart w:id="75" w:name="fig-reg-assump"/>
    <w:p>
      <w:pPr>
        <w:pStyle w:val="FigureTitle"/>
      </w:pPr>
      <w:r>
        <w:t xml:space="preserve">Figure 3</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3" name="Picture"/>
            <a:graphic>
              <a:graphicData uri="http://schemas.openxmlformats.org/drawingml/2006/picture">
                <pic:pic>
                  <pic:nvPicPr>
                    <pic:cNvPr descr="ms_files/figure-docx/fig-reg-assump-1.png" id="74" name="Picture"/>
                    <pic:cNvPicPr>
                      <a:picLocks noChangeArrowheads="1" noChangeAspect="1"/>
                    </pic:cNvPicPr>
                  </pic:nvPicPr>
                  <pic:blipFill>
                    <a:blip r:embed="rId72"/>
                    <a:stretch>
                      <a:fillRect/>
                    </a:stretch>
                  </pic:blipFill>
                  <pic:spPr bwMode="auto">
                    <a:xfrm>
                      <a:off x="0" y="0"/>
                      <a:ext cx="5504749" cy="3400711"/>
                    </a:xfrm>
                    <a:prstGeom prst="rect">
                      <a:avLst/>
                    </a:prstGeom>
                    <a:noFill/>
                    <a:ln w="9525">
                      <a:noFill/>
                      <a:headEnd/>
                      <a:tailEnd/>
                    </a:ln>
                  </pic:spPr>
                </pic:pic>
              </a:graphicData>
            </a:graphic>
          </wp:inline>
        </w:drawing>
      </w:r>
    </w:p>
    <w:bookmarkEnd w:id="75"/>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9" w:name="fig-ppcheckall"/>
    <w:p>
      <w:pPr>
        <w:pStyle w:val="FigureTitle"/>
      </w:pPr>
      <w:r>
        <w:t xml:space="preserve">Figure 4</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77" name="Picture"/>
            <a:graphic>
              <a:graphicData uri="http://schemas.openxmlformats.org/drawingml/2006/picture">
                <pic:pic>
                  <pic:nvPicPr>
                    <pic:cNvPr descr="ms_files/figure-docx/fig-ppcheckall-1.png" id="78" name="Picture"/>
                    <pic:cNvPicPr>
                      <a:picLocks noChangeArrowheads="1" noChangeAspect="1"/>
                    </pic:cNvPicPr>
                  </pic:nvPicPr>
                  <pic:blipFill>
                    <a:blip r:embed="rId76"/>
                    <a:stretch>
                      <a:fillRect/>
                    </a:stretch>
                  </pic:blipFill>
                  <pic:spPr bwMode="auto">
                    <a:xfrm>
                      <a:off x="0" y="0"/>
                      <a:ext cx="5943600" cy="3672649"/>
                    </a:xfrm>
                    <a:prstGeom prst="rect">
                      <a:avLst/>
                    </a:prstGeom>
                    <a:noFill/>
                    <a:ln w="9525">
                      <a:noFill/>
                      <a:headEnd/>
                      <a:tailEnd/>
                    </a:ln>
                  </pic:spPr>
                </pic:pic>
              </a:graphicData>
            </a:graphic>
          </wp:inline>
        </w:drawing>
      </w:r>
    </w:p>
    <w:bookmarkEnd w:id="79"/>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0"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0"/>
        </w:tc>
      </w:tr>
    </w:tbl>
    <w:bookmarkStart w:id="88"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1"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1"/>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2"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681"/>
        <w:tblLayout w:type="fixed"/>
        <w:tblLook w:firstRow="1" w:lastRow="0" w:firstColumn="0" w:lastColumn="0" w:noHBand="0" w:noVBand="0" w:val="0020"/>
      </w:tblPr>
      <w:tblGrid>
        <w:gridCol w:w="2420"/>
        <w:gridCol w:w="770"/>
        <w:gridCol w:w="1870"/>
        <w:gridCol w:w="7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4.97</w:t>
            </w:r>
          </w:p>
        </w:tc>
        <w:tc>
          <w:tcPr/>
          <w:p>
            <w:pPr>
              <w:pStyle w:val="Compact"/>
            </w:pPr>
            <w:r>
              <w:t xml:space="preserve">[3.284, 7.242]</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[0.868, 2.759]</w:t>
            </w:r>
          </w:p>
        </w:tc>
        <w:tc>
          <w:tcPr/>
          <w:p>
            <w:pPr>
              <w:pStyle w:val="Compact"/>
            </w:pPr>
            <w:r>
              <w:t xml:space="preserve">0.93</w:t>
            </w:r>
          </w:p>
        </w:tc>
      </w:tr>
    </w:tbl>
    <w:bookmarkEnd w:id="82"/>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3"/>
      </w:r>
    </w:p>
    <w:bookmarkStart w:id="87"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5" name="Picture"/>
            <a:graphic>
              <a:graphicData uri="http://schemas.openxmlformats.org/drawingml/2006/picture">
                <pic:pic>
                  <pic:nvPicPr>
                    <pic:cNvPr descr="ms_files/figure-docx/fig-plt-diff-1.png" id="86" name="Picture"/>
                    <pic:cNvPicPr>
                      <a:picLocks noChangeArrowheads="1" noChangeAspect="1"/>
                    </pic:cNvPicPr>
                  </pic:nvPicPr>
                  <pic:blipFill>
                    <a:blip r:embed="rId84"/>
                    <a:stretch>
                      <a:fillRect/>
                    </a:stretch>
                  </pic:blipFill>
                  <pic:spPr bwMode="auto">
                    <a:xfrm>
                      <a:off x="0" y="0"/>
                      <a:ext cx="5504749" cy="3400711"/>
                    </a:xfrm>
                    <a:prstGeom prst="rect">
                      <a:avLst/>
                    </a:prstGeom>
                    <a:noFill/>
                    <a:ln w="9525">
                      <a:noFill/>
                      <a:headEnd/>
                      <a:tailEnd/>
                    </a:ln>
                  </pic:spPr>
                </pic:pic>
              </a:graphicData>
            </a:graphic>
          </wp:inline>
        </w:drawing>
      </w:r>
    </w:p>
    <w:bookmarkEnd w:id="87"/>
    <w:bookmarkEnd w:id="88"/>
    <w:bookmarkStart w:id="98"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9"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9"/>
        </w:tc>
      </w:tr>
    </w:tbl>
    <w:tbl>
      <w:tblPr>
        <w:tblStyle w:val="Table"/>
        <w:tblW w:type="pct" w:w="5000"/>
        <w:tblLayout w:type="fixed"/>
        <w:tblLook w:firstRow="0" w:lastRow="0" w:firstColumn="0" w:lastColumn="0" w:noHBand="0" w:noVBand="0" w:val="0000"/>
      </w:tblPr>
      <w:tblGrid>
        <w:gridCol w:w="7920"/>
      </w:tblGrid>
      <w:tr>
        <w:tc>
          <w:tcPr/>
          <w:bookmarkStart w:id="90"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0"/>
        </w:tc>
      </w:tr>
    </w:tbl>
    <w:bookmarkStart w:id="91" w:name="tbl-predict-prob"/>
    <w:p>
      <w:pPr>
        <w:pStyle w:val="FigureTitle"/>
      </w:pPr>
      <w:r>
        <w:t xml:space="preserve">Table 5</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[0.247, 0.35]</w:t>
            </w:r>
          </w:p>
        </w:tc>
      </w:tr>
      <w:tr>
        <w:tc>
          <w:tcPr/>
          <w:p>
            <w:pPr>
              <w:pStyle w:val="Compact"/>
            </w:pPr>
            <w:r>
              <w:t xml:space="preserve">Fluent</w:t>
            </w:r>
          </w:p>
        </w:tc>
        <w:tc>
          <w:tcPr/>
          <w:p>
            <w:pPr>
              <w:pStyle w:val="Compact"/>
            </w:pPr>
            <w:r>
              <w:t xml:space="preserve">0.354</w:t>
            </w:r>
          </w:p>
        </w:tc>
        <w:tc>
          <w:tcPr/>
          <w:p>
            <w:pPr>
              <w:pStyle w:val="Compact"/>
            </w:pPr>
            <w:r>
              <w:t xml:space="preserve">[0.302, 0.408]</w:t>
            </w:r>
          </w:p>
        </w:tc>
      </w:tr>
    </w:tbl>
    <w:bookmarkEnd w:id="91"/>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lst-plotbeta"/>
          <w:p>
            <w:pPr>
              <w:jc w:val="center"/>
            </w:pPr>
            <w:pPr>
              <w:jc w:val="start"/>
              <w:spacing w:before="200"/>
              <w:pStyle w:val="ImageCaption"/>
            </w:pPr>
            <w:r>
              <w:t xml:space="preserve">Listing 10: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2"/>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3"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3"/>
        </w:tc>
      </w:tr>
    </w:tbl>
    <w:bookmarkStart w:id="97"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5" name="Picture"/>
            <a:graphic>
              <a:graphicData uri="http://schemas.openxmlformats.org/drawingml/2006/picture">
                <pic:pic>
                  <pic:nvPicPr>
                    <pic:cNvPr descr="ms_files/figure-docx/fig-draws-fluency-1.png" id="96" name="Picture"/>
                    <pic:cNvPicPr>
                      <a:picLocks noChangeArrowheads="1" noChangeAspect="1"/>
                    </pic:cNvPicPr>
                  </pic:nvPicPr>
                  <pic:blipFill>
                    <a:blip r:embed="rId94"/>
                    <a:stretch>
                      <a:fillRect/>
                    </a:stretch>
                  </pic:blipFill>
                  <pic:spPr bwMode="auto">
                    <a:xfrm>
                      <a:off x="0" y="0"/>
                      <a:ext cx="5504749" cy="3400711"/>
                    </a:xfrm>
                    <a:prstGeom prst="rect">
                      <a:avLst/>
                    </a:prstGeom>
                    <a:noFill/>
                    <a:ln w="9525">
                      <a:noFill/>
                      <a:headEnd/>
                      <a:tailEnd/>
                    </a:ln>
                  </pic:spPr>
                </pic:pic>
              </a:graphicData>
            </a:graphic>
          </wp:inline>
        </w:drawing>
      </w:r>
    </w:p>
    <w:bookmarkEnd w:id="97"/>
    <w:bookmarkEnd w:id="98"/>
    <w:bookmarkStart w:id="104"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9" w:name="lst-avgcomp"/>
          <w:p>
            <w:pPr>
              <w:jc w:val="center"/>
            </w:pPr>
            <w:pPr>
              <w:jc w:val="start"/>
              <w:spacing w:before="200"/>
              <w:pStyle w:val="ImageCaption"/>
            </w:pPr>
            <w:r>
              <w:t xml:space="preserve">Listing 12: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9"/>
        </w:tc>
      </w:tr>
    </w:tbl>
    <w:bookmarkStart w:id="100" w:name="tbl-ame1"/>
    <w:p>
      <w:pPr>
        <w:pStyle w:val="FigureTitle"/>
      </w:pPr>
      <w:r>
        <w:t xml:space="preserve">Table 6</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[-0.014, 0.129]</w:t>
            </w:r>
          </w:p>
        </w:tc>
      </w:tr>
    </w:tbl>
    <w:bookmarkEnd w:id="100"/>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1"/>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vague and therefore cannot be used to accurately compute the ER in favor of a point null hypothesis.</w:t>
      </w:r>
    </w:p>
    <w:bookmarkStart w:id="102" w:name="tbl-or"/>
    <w:p>
      <w:pPr>
        <w:pStyle w:val="FigureTitle"/>
      </w:pPr>
      <w:r>
        <w:t xml:space="preserve">Table 7</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1.299</w:t>
            </w:r>
          </w:p>
        </w:tc>
        <w:tc>
          <w:tcPr/>
          <w:p>
            <w:pPr>
              <w:pStyle w:val="Compact"/>
            </w:pPr>
            <w:r>
              <w:t xml:space="preserve">[0.937, 1.813]</w:t>
            </w:r>
          </w:p>
        </w:tc>
      </w:tr>
    </w:tbl>
    <w:bookmarkEnd w:id="10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3"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3"/>
    </w:p>
    <w:bookmarkEnd w:id="104"/>
    <w:bookmarkStart w:id="105"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5"/>
    <w:bookmarkEnd w:id="106"/>
    <w:bookmarkStart w:id="118"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07"/>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8"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8"/>
        </w:tc>
      </w:tr>
    </w:tbl>
    <w:bookmarkStart w:id="109"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9"/>
    <w:bookmarkStart w:id="112"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8</w:t>
        </w:r>
      </w:hyperlink>
      <w:r>
        <w:t xml:space="preserve">, there is little evidence for an effect of Fluency – the 95% Cr.I includes zero, suggesting substantial uncertainty about the direction and magnitude of the effect.</w:t>
      </w:r>
    </w:p>
    <w:bookmarkStart w:id="110" w:name="tbl-marg-mu-brms"/>
    <w:p>
      <w:pPr>
        <w:pStyle w:val="FigureTitle"/>
      </w:pPr>
      <w:r>
        <w:t xml:space="preserve">Table 8</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[-0.031, 0.119]</w:t>
            </w:r>
          </w:p>
        </w:tc>
      </w:tr>
    </w:tbl>
    <w:bookmarkEnd w:id="110"/>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9</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meaningful differences in precision.</w:t>
      </w:r>
    </w:p>
    <w:bookmarkStart w:id="111" w:name="tbl-marg-phi-brms"/>
    <w:p>
      <w:pPr>
        <w:pStyle w:val="FigureTitle"/>
      </w:pPr>
      <w:r>
        <w:t xml:space="preserve">Table 9</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2.72</w:t>
            </w:r>
          </w:p>
        </w:tc>
        <w:tc>
          <w:tcPr/>
          <w:p>
            <w:pPr>
              <w:pStyle w:val="Compact"/>
            </w:pPr>
            <w:r>
              <w:t xml:space="preserve">[-0.938, 6.658]</w:t>
            </w:r>
          </w:p>
        </w:tc>
      </w:tr>
    </w:tbl>
    <w:bookmarkEnd w:id="111"/>
    <w:bookmarkEnd w:id="112"/>
    <w:bookmarkStart w:id="117"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 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6"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4" name="Picture"/>
            <a:graphic>
              <a:graphicData uri="http://schemas.openxmlformats.org/drawingml/2006/picture">
                <pic:pic>
                  <pic:nvPicPr>
                    <pic:cNvPr descr="ms_files/figure-docx/fig-zi-plot-1.png" id="115" name="Picture"/>
                    <pic:cNvPicPr>
                      <a:picLocks noChangeArrowheads="1" noChangeAspect="1"/>
                    </pic:cNvPicPr>
                  </pic:nvPicPr>
                  <pic:blipFill>
                    <a:blip r:embed="rId113"/>
                    <a:stretch>
                      <a:fillRect/>
                    </a:stretch>
                  </pic:blipFill>
                  <pic:spPr bwMode="auto">
                    <a:xfrm>
                      <a:off x="0" y="0"/>
                      <a:ext cx="5504749" cy="3400711"/>
                    </a:xfrm>
                    <a:prstGeom prst="rect">
                      <a:avLst/>
                    </a:prstGeom>
                    <a:noFill/>
                    <a:ln w="9525">
                      <a:noFill/>
                      <a:headEnd/>
                      <a:tailEnd/>
                    </a:ln>
                  </pic:spPr>
                </pic:pic>
              </a:graphicData>
            </a:graphic>
          </wp:inline>
        </w:drawing>
      </w:r>
    </w:p>
    <w:bookmarkEnd w:id="116"/>
    <w:bookmarkEnd w:id="117"/>
    <w:bookmarkEnd w:id="118"/>
    <w:bookmarkStart w:id="128"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9"/>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3"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1" name="Picture"/>
            <a:graphic>
              <a:graphicData uri="http://schemas.openxmlformats.org/drawingml/2006/picture">
                <pic:pic>
                  <pic:nvPicPr>
                    <pic:cNvPr descr="ms_files/figure-docx/fig-zoib-1.png" id="122" name="Picture"/>
                    <pic:cNvPicPr>
                      <a:picLocks noChangeArrowheads="1" noChangeAspect="1"/>
                    </pic:cNvPicPr>
                  </pic:nvPicPr>
                  <pic:blipFill>
                    <a:blip r:embed="rId120"/>
                    <a:stretch>
                      <a:fillRect/>
                    </a:stretch>
                  </pic:blipFill>
                  <pic:spPr bwMode="auto">
                    <a:xfrm>
                      <a:off x="0" y="0"/>
                      <a:ext cx="5943600" cy="3672649"/>
                    </a:xfrm>
                    <a:prstGeom prst="rect">
                      <a:avLst/>
                    </a:prstGeom>
                    <a:noFill/>
                    <a:ln w="9525">
                      <a:noFill/>
                      <a:headEnd/>
                      <a:tailEnd/>
                    </a:ln>
                  </pic:spPr>
                </pic:pic>
              </a:graphicData>
            </a:graphic>
          </wp:inline>
        </w:drawing>
      </w:r>
    </w:p>
    <w:bookmarkEnd w:id="123"/>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4"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4"/>
        </w:tc>
      </w:tr>
    </w:tbl>
    <w:bookmarkStart w:id="125"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5"/>
    <w:bookmarkStart w:id="127"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6" w:name="lst-coi"/>
          <w:p>
            <w:pPr>
              <w:jc w:val="center"/>
            </w:pPr>
            <w:pPr>
              <w:jc w:val="start"/>
              <w:spacing w:before="200"/>
              <w:pStyle w:val="ImageCaption"/>
            </w:pPr>
            <w:r>
              <w:t xml:space="preserve">Listing 15: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6"/>
        </w:tc>
      </w:tr>
    </w:tbl>
    <w:bookmarkEnd w:id="127"/>
    <w:bookmarkEnd w:id="128"/>
    <w:bookmarkStart w:id="134"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29"/>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The important condition is that while the different types of responses may be more or less qualitatively different, they remain similar</w:t>
      </w:r>
      <w:r>
        <w:t xml:space="preserve"> </w:t>
      </w:r>
      <w:r>
        <w:rPr>
          <w:i/>
          <w:iCs/>
        </w:rPr>
        <w:t xml:space="preserve">categorically.</w:t>
      </w:r>
      <w:r>
        <w:t xml:space="preserve"> </w:t>
      </w:r>
      <w:r>
        <w:t xml:space="preserve">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3"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0"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0"/>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1"/>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2"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2"/>
        </w:tc>
      </w:tr>
    </w:tbl>
    <w:bookmarkEnd w:id="133"/>
    <w:bookmarkEnd w:id="134"/>
    <w:bookmarkStart w:id="148"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5" w:name="tbl-ordbeta"/>
    <w:p>
      <w:pPr>
        <w:pStyle w:val="FigureTitle"/>
      </w:pPr>
      <w:r>
        <w:t xml:space="preserve">Table 11</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[-0.017, 0.136]</w:t>
            </w:r>
          </w:p>
        </w:tc>
      </w:tr>
    </w:tbl>
    <w:bookmarkEnd w:id="135"/>
    <w:p>
      <w:pPr>
        <w:pStyle w:val="AfterWithoutNote"/>
      </w:pPr>
      <w:r>
        <w:t xml:space="preserve">In</w:t>
      </w:r>
      <w:r>
        <w:t xml:space="preserve"> </w:t>
      </w:r>
      <w:hyperlink w:anchor="tbl-ordbeta">
        <w:r>
          <w:rPr>
            <w:rStyle w:val="Hyperlink"/>
          </w:rPr>
          <w:t xml:space="preserve">Table 11</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7"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6"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-2.96</w:t>
            </w:r>
          </w:p>
        </w:tc>
        <w:tc>
          <w:tcPr/>
          <w:p>
            <w:pPr>
              <w:pStyle w:val="Compact"/>
            </w:pPr>
            <w:r>
              <w:t xml:space="preserve">[-3.58, -2.41]</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36"/>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7"/>
    <w:bookmarkStart w:id="146"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41"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9" name="Picture"/>
            <a:graphic>
              <a:graphicData uri="http://schemas.openxmlformats.org/drawingml/2006/picture">
                <pic:pic>
                  <pic:nvPicPr>
                    <pic:cNvPr descr="ms_files/figure-docx/fig-ppcheckord-1.png" id="140" name="Picture"/>
                    <pic:cNvPicPr>
                      <a:picLocks noChangeArrowheads="1" noChangeAspect="1"/>
                    </pic:cNvPicPr>
                  </pic:nvPicPr>
                  <pic:blipFill>
                    <a:blip r:embed="rId138"/>
                    <a:stretch>
                      <a:fillRect/>
                    </a:stretch>
                  </pic:blipFill>
                  <pic:spPr bwMode="auto">
                    <a:xfrm>
                      <a:off x="0" y="0"/>
                      <a:ext cx="5943600" cy="3671823"/>
                    </a:xfrm>
                    <a:prstGeom prst="rect">
                      <a:avLst/>
                    </a:prstGeom>
                    <a:noFill/>
                    <a:ln w="9525">
                      <a:noFill/>
                      <a:headEnd/>
                      <a:tailEnd/>
                    </a:ln>
                  </pic:spPr>
                </pic:pic>
              </a:graphicData>
            </a:graphic>
          </wp:inline>
        </w:drawing>
      </w:r>
    </w:p>
    <w:bookmarkEnd w:id="141"/>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5"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43" name="Picture"/>
            <a:graphic>
              <a:graphicData uri="http://schemas.openxmlformats.org/drawingml/2006/picture">
                <pic:pic>
                  <pic:nvPicPr>
                    <pic:cNvPr descr="ms_files/figure-docx/fig-heiss-1.png" id="144" name="Picture"/>
                    <pic:cNvPicPr>
                      <a:picLocks noChangeArrowheads="1" noChangeAspect="1"/>
                    </pic:cNvPicPr>
                  </pic:nvPicPr>
                  <pic:blipFill>
                    <a:blip r:embed="rId142"/>
                    <a:stretch>
                      <a:fillRect/>
                    </a:stretch>
                  </pic:blipFill>
                  <pic:spPr bwMode="auto">
                    <a:xfrm>
                      <a:off x="0" y="0"/>
                      <a:ext cx="5504749" cy="3400711"/>
                    </a:xfrm>
                    <a:prstGeom prst="rect">
                      <a:avLst/>
                    </a:prstGeom>
                    <a:noFill/>
                    <a:ln w="9525">
                      <a:noFill/>
                      <a:headEnd/>
                      <a:tailEnd/>
                    </a:ln>
                  </pic:spPr>
                </pic:pic>
              </a:graphicData>
            </a:graphic>
          </wp:inline>
        </w:drawing>
      </w:r>
    </w:p>
    <w:bookmarkEnd w:id="145"/>
    <w:bookmarkEnd w:id="146"/>
    <w:bookmarkStart w:id="147"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7"/>
    <w:bookmarkEnd w:id="148"/>
    <w:bookmarkEnd w:id="149"/>
    <w:bookmarkStart w:id="151"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50"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0"/>
    <w:bookmarkEnd w:id="151"/>
    <w:bookmarkStart w:id="255" w:name="references"/>
    <w:p>
      <w:pPr>
        <w:pStyle w:val="Heading1"/>
      </w:pPr>
      <w:r>
        <w:t xml:space="preserve">References</w:t>
      </w:r>
    </w:p>
    <w:bookmarkStart w:id="254" w:name="refs"/>
    <w:bookmarkStart w:id="153"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2">
        <w:r>
          <w:rPr>
            <w:rStyle w:val="Hyperlink"/>
          </w:rPr>
          <w:t xml:space="preserve">https://CRAN.R-project.org/package=marginaleffects</w:t>
        </w:r>
      </w:hyperlink>
    </w:p>
    <w:bookmarkEnd w:id="153"/>
    <w:bookmarkStart w:id="155"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4">
        <w:r>
          <w:rPr>
            <w:rStyle w:val="Hyperlink"/>
          </w:rPr>
          <w:t xml:space="preserve">https://doi.org/10.18637/jss.v111.i09</w:t>
        </w:r>
      </w:hyperlink>
    </w:p>
    <w:bookmarkEnd w:id="155"/>
    <w:bookmarkStart w:id="157"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6">
        <w:r>
          <w:rPr>
            <w:rStyle w:val="Hyperlink"/>
          </w:rPr>
          <w:t xml:space="preserve">https://doi.org/10.2307/2983678</w:t>
        </w:r>
      </w:hyperlink>
    </w:p>
    <w:bookmarkEnd w:id="157"/>
    <w:bookmarkStart w:id="159"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8">
        <w:r>
          <w:rPr>
            <w:rStyle w:val="Hyperlink"/>
          </w:rPr>
          <w:t xml:space="preserve">https://doi.org/10.1037/met0000553</w:t>
        </w:r>
      </w:hyperlink>
    </w:p>
    <w:bookmarkEnd w:id="159"/>
    <w:bookmarkStart w:id="161"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0">
        <w:r>
          <w:rPr>
            <w:rStyle w:val="Hyperlink"/>
          </w:rPr>
          <w:t xml:space="preserve">https://doi.org/10.32614/RJ-2017-066</w:t>
        </w:r>
      </w:hyperlink>
    </w:p>
    <w:bookmarkEnd w:id="161"/>
    <w:bookmarkStart w:id="163"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2">
        <w:r>
          <w:rPr>
            <w:rStyle w:val="Hyperlink"/>
          </w:rPr>
          <w:t xml:space="preserve">https://doi.org/10.18637/jss.v080.i01</w:t>
        </w:r>
      </w:hyperlink>
    </w:p>
    <w:bookmarkEnd w:id="163"/>
    <w:bookmarkStart w:id="165"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4">
        <w:r>
          <w:rPr>
            <w:rStyle w:val="Hyperlink"/>
          </w:rPr>
          <w:t xml:space="preserve">https://mc-stan.org/posterior/</w:t>
        </w:r>
      </w:hyperlink>
    </w:p>
    <w:bookmarkEnd w:id="165"/>
    <w:bookmarkStart w:id="16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6">
        <w:r>
          <w:rPr>
            <w:rStyle w:val="Hyperlink"/>
          </w:rPr>
          <w:t xml:space="preserve">https://doi.org/10.1177/2515245918823199</w:t>
        </w:r>
      </w:hyperlink>
    </w:p>
    <w:bookmarkEnd w:id="167"/>
    <w:bookmarkStart w:id="16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8">
        <w:r>
          <w:rPr>
            <w:rStyle w:val="Hyperlink"/>
          </w:rPr>
          <w:t xml:space="preserve">https://doi.org/10.3758/s13423-013-0442-z</w:t>
        </w:r>
      </w:hyperlink>
    </w:p>
    <w:bookmarkEnd w:id="169"/>
    <w:bookmarkStart w:id="17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0"/>
    <w:bookmarkStart w:id="17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1">
        <w:r>
          <w:rPr>
            <w:rStyle w:val="Hyperlink"/>
          </w:rPr>
          <w:t xml:space="preserve">https://doi.org/10.31219/osf.io/f9rqg_v1</w:t>
        </w:r>
      </w:hyperlink>
      <w:r>
        <w:t xml:space="preserve">.</w:t>
      </w:r>
    </w:p>
    <w:bookmarkEnd w:id="172"/>
    <w:bookmarkStart w:id="174"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3">
        <w:r>
          <w:rPr>
            <w:rStyle w:val="Hyperlink"/>
          </w:rPr>
          <w:t xml:space="preserve">https://doi.org/10.1126/science.adq1814</w:t>
        </w:r>
      </w:hyperlink>
    </w:p>
    <w:bookmarkEnd w:id="174"/>
    <w:bookmarkStart w:id="176"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5">
        <w:r>
          <w:rPr>
            <w:rStyle w:val="Hyperlink"/>
          </w:rPr>
          <w:t xml:space="preserve">https://doi.org/10.18637/jss.v034.i02</w:t>
        </w:r>
      </w:hyperlink>
    </w:p>
    <w:bookmarkEnd w:id="176"/>
    <w:bookmarkStart w:id="178"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7">
        <w:r>
          <w:rPr>
            <w:rStyle w:val="Hyperlink"/>
          </w:rPr>
          <w:t xml:space="preserve">https://nixos.org/</w:t>
        </w:r>
      </w:hyperlink>
    </w:p>
    <w:bookmarkEnd w:id="178"/>
    <w:bookmarkStart w:id="180"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9">
        <w:r>
          <w:rPr>
            <w:rStyle w:val="Hyperlink"/>
          </w:rPr>
          <w:t xml:space="preserve">https://doi.org/10.1080/0266476042000214501</w:t>
        </w:r>
      </w:hyperlink>
    </w:p>
    <w:bookmarkEnd w:id="180"/>
    <w:bookmarkStart w:id="182"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1">
        <w:r>
          <w:rPr>
            <w:rStyle w:val="Hyperlink"/>
          </w:rPr>
          <w:t xml:space="preserve">https://doi.org/10.1007/s11121-021-01302-y</w:t>
        </w:r>
      </w:hyperlink>
    </w:p>
    <w:bookmarkEnd w:id="182"/>
    <w:bookmarkStart w:id="184"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3">
        <w:r>
          <w:rPr>
            <w:rStyle w:val="Hyperlink"/>
          </w:rPr>
          <w:t xml:space="preserve">https://mc-stan.org/cmdstanr/</w:t>
        </w:r>
      </w:hyperlink>
    </w:p>
    <w:bookmarkEnd w:id="184"/>
    <w:bookmarkStart w:id="186"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5">
        <w:r>
          <w:rPr>
            <w:rStyle w:val="Hyperlink"/>
          </w:rPr>
          <w:t xml:space="preserve">https://stat.columbia.edu/~gelman/book/</w:t>
        </w:r>
      </w:hyperlink>
    </w:p>
    <w:bookmarkEnd w:id="186"/>
    <w:bookmarkStart w:id="188"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7">
        <w:r>
          <w:rPr>
            <w:rStyle w:val="Hyperlink"/>
          </w:rPr>
          <w:t xml:space="preserve">http://dx.doi.org/10.59350/7p1a4-0tw75</w:t>
        </w:r>
      </w:hyperlink>
    </w:p>
    <w:bookmarkEnd w:id="188"/>
    <w:bookmarkStart w:id="190"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9">
        <w:r>
          <w:rPr>
            <w:rStyle w:val="Hyperlink"/>
          </w:rPr>
          <w:t xml:space="preserve">https://doi.org/10.1525/collabra.140755</w:t>
        </w:r>
      </w:hyperlink>
    </w:p>
    <w:bookmarkEnd w:id="190"/>
    <w:bookmarkStart w:id="191" w:name="ref-jeffries1961"/>
    <w:p>
      <w:pPr>
        <w:pStyle w:val="Bibliography"/>
      </w:pPr>
      <w:r>
        <w:t xml:space="preserve">Jeffries, H. (1961).</w:t>
      </w:r>
      <w:r>
        <w:t xml:space="preserve"> </w:t>
      </w:r>
      <w:r>
        <w:rPr>
          <w:i/>
          <w:iCs/>
        </w:rPr>
        <w:t xml:space="preserve">Theory of probability</w:t>
      </w:r>
      <w:r>
        <w:t xml:space="preserve">. Clarendon Press, Oxford.</w:t>
      </w:r>
    </w:p>
    <w:bookmarkEnd w:id="191"/>
    <w:bookmarkStart w:id="192"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2"/>
    <w:bookmarkStart w:id="194"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3">
        <w:r>
          <w:rPr>
            <w:rStyle w:val="Hyperlink"/>
          </w:rPr>
          <w:t xml:space="preserve">https://doi.org/10.1080/01621459.1995.10476572</w:t>
        </w:r>
      </w:hyperlink>
    </w:p>
    <w:bookmarkEnd w:id="194"/>
    <w:bookmarkStart w:id="196"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5">
        <w:r>
          <w:rPr>
            <w:rStyle w:val="Hyperlink"/>
          </w:rPr>
          <w:t xml:space="preserve">https://doi.org/10.1016/j.wocn.2016.08.006</w:t>
        </w:r>
      </w:hyperlink>
    </w:p>
    <w:bookmarkEnd w:id="196"/>
    <w:bookmarkStart w:id="198"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7">
        <w:r>
          <w:rPr>
            <w:rStyle w:val="Hyperlink"/>
          </w:rPr>
          <w:t xml:space="preserve">https://doi.org/10.1111/j.1467-9280.2008.02127.x</w:t>
        </w:r>
      </w:hyperlink>
    </w:p>
    <w:bookmarkEnd w:id="198"/>
    <w:bookmarkStart w:id="199"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9"/>
    <w:bookmarkStart w:id="20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0">
        <w:r>
          <w:rPr>
            <w:rStyle w:val="Hyperlink"/>
          </w:rPr>
          <w:t xml:space="preserve">https://doi.org/10.1017/pan.2022.20</w:t>
        </w:r>
      </w:hyperlink>
    </w:p>
    <w:bookmarkEnd w:id="201"/>
    <w:bookmarkStart w:id="20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2">
        <w:r>
          <w:rPr>
            <w:rStyle w:val="Hyperlink"/>
          </w:rPr>
          <w:t xml:space="preserve">https://CRAN.R-project.org/package=ordbetareg</w:t>
        </w:r>
      </w:hyperlink>
    </w:p>
    <w:bookmarkEnd w:id="203"/>
    <w:bookmarkStart w:id="205"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4">
        <w:r>
          <w:rPr>
            <w:rStyle w:val="Hyperlink"/>
          </w:rPr>
          <w:t xml:space="preserve">https://doi.org/10.32614/CRAN.package.emmeans</w:t>
        </w:r>
      </w:hyperlink>
    </w:p>
    <w:bookmarkEnd w:id="205"/>
    <w:bookmarkStart w:id="207"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6">
        <w:r>
          <w:rPr>
            <w:rStyle w:val="Hyperlink"/>
          </w:rPr>
          <w:t xml:space="preserve">https://doi.org/10.32614/rj-2015-019</w:t>
        </w:r>
      </w:hyperlink>
    </w:p>
    <w:bookmarkEnd w:id="207"/>
    <w:bookmarkStart w:id="209"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08">
        <w:r>
          <w:rPr>
            <w:rStyle w:val="Hyperlink"/>
          </w:rPr>
          <w:t xml:space="preserve">https://easystats.github.io/easystats/</w:t>
        </w:r>
      </w:hyperlink>
    </w:p>
    <w:bookmarkEnd w:id="209"/>
    <w:bookmarkStart w:id="211"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0">
        <w:r>
          <w:rPr>
            <w:rStyle w:val="Hyperlink"/>
          </w:rPr>
          <w:t xml:space="preserve">https://doi.org/10.3389/fpsyg.2019.02767</w:t>
        </w:r>
      </w:hyperlink>
    </w:p>
    <w:bookmarkEnd w:id="211"/>
    <w:bookmarkStart w:id="213"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2">
        <w:r>
          <w:rPr>
            <w:rStyle w:val="Hyperlink"/>
          </w:rPr>
          <w:t xml:space="preserve">https://doi.org/10.21105/joss.01541</w:t>
        </w:r>
      </w:hyperlink>
    </w:p>
    <w:bookmarkEnd w:id="213"/>
    <w:bookmarkStart w:id="215"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4">
        <w:r>
          <w:rPr>
            <w:rStyle w:val="Hyperlink"/>
          </w:rPr>
          <w:t xml:space="preserve">https://doi.org/10.1177/0013164416669201</w:t>
        </w:r>
      </w:hyperlink>
    </w:p>
    <w:bookmarkEnd w:id="215"/>
    <w:bookmarkStart w:id="217"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6">
        <w:r>
          <w:rPr>
            <w:rStyle w:val="Hyperlink"/>
          </w:rPr>
          <w:t xml:space="preserve">https://doi.org/10.1098/rsos.231713</w:t>
        </w:r>
      </w:hyperlink>
    </w:p>
    <w:bookmarkEnd w:id="217"/>
    <w:bookmarkStart w:id="219"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18">
        <w:r>
          <w:rPr>
            <w:rStyle w:val="Hyperlink"/>
          </w:rPr>
          <w:t xml:space="preserve">https://doi.org/10.1201/9780429029608</w:t>
        </w:r>
      </w:hyperlink>
    </w:p>
    <w:bookmarkEnd w:id="219"/>
    <w:bookmarkStart w:id="221"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0">
        <w:r>
          <w:rPr>
            <w:rStyle w:val="Hyperlink"/>
          </w:rPr>
          <w:t xml:space="preserve">https://doi.org/10.2307/2344614</w:t>
        </w:r>
      </w:hyperlink>
    </w:p>
    <w:bookmarkEnd w:id="221"/>
    <w:bookmarkStart w:id="223"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2">
        <w:r>
          <w:rPr>
            <w:rStyle w:val="Hyperlink"/>
          </w:rPr>
          <w:t xml:space="preserve">https://www.sciencedirect.com/science/article/pii/S0048969723041505</w:t>
        </w:r>
      </w:hyperlink>
    </w:p>
    <w:bookmarkEnd w:id="223"/>
    <w:bookmarkStart w:id="225"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4">
        <w:r>
          <w:rPr>
            <w:rStyle w:val="Hyperlink"/>
          </w:rPr>
          <w:t xml:space="preserve">https://doi.org/10.1093/oxfordjournals.pan.a004873</w:t>
        </w:r>
      </w:hyperlink>
    </w:p>
    <w:bookmarkEnd w:id="225"/>
    <w:bookmarkStart w:id="227"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6">
        <w:r>
          <w:rPr>
            <w:rStyle w:val="Hyperlink"/>
          </w:rPr>
          <w:t xml:space="preserve">https://www.R-project.org/</w:t>
        </w:r>
      </w:hyperlink>
    </w:p>
    <w:bookmarkEnd w:id="227"/>
    <w:bookmarkStart w:id="229"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28">
        <w:r>
          <w:rPr>
            <w:rStyle w:val="Hyperlink"/>
          </w:rPr>
          <w:t xml:space="preserve">https://docs.ropensci.org/rix/</w:t>
        </w:r>
      </w:hyperlink>
    </w:p>
    <w:bookmarkEnd w:id="229"/>
    <w:bookmarkStart w:id="231"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0">
        <w:r>
          <w:rPr>
            <w:rStyle w:val="Hyperlink"/>
          </w:rPr>
          <w:t xml:space="preserve">https://doi.org/10.1177/08902070241239834</w:t>
        </w:r>
      </w:hyperlink>
    </w:p>
    <w:bookmarkEnd w:id="231"/>
    <w:bookmarkStart w:id="233"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2">
        <w:r>
          <w:rPr>
            <w:rStyle w:val="Hyperlink"/>
          </w:rPr>
          <w:t xml:space="preserve">https://doi.org/10.31234/osf.io/4rznt</w:t>
        </w:r>
      </w:hyperlink>
    </w:p>
    <w:bookmarkEnd w:id="233"/>
    <w:bookmarkStart w:id="235"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4">
        <w:r>
          <w:rPr>
            <w:rStyle w:val="Hyperlink"/>
          </w:rPr>
          <w:t xml:space="preserve">https://doi.org/10.1001/jamanetworkopen.2023.53401</w:t>
        </w:r>
      </w:hyperlink>
    </w:p>
    <w:bookmarkEnd w:id="235"/>
    <w:bookmarkStart w:id="237"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6">
        <w:r>
          <w:rPr>
            <w:rStyle w:val="Hyperlink"/>
          </w:rPr>
          <w:t xml:space="preserve">https://doi.org/10.1037/1082-989x.11.1.54</w:t>
        </w:r>
      </w:hyperlink>
    </w:p>
    <w:bookmarkEnd w:id="237"/>
    <w:bookmarkStart w:id="239"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38">
        <w:r>
          <w:rPr>
            <w:rStyle w:val="Hyperlink"/>
          </w:rPr>
          <w:t xml:space="preserve">https://mc-stan.org</w:t>
        </w:r>
      </w:hyperlink>
    </w:p>
    <w:bookmarkEnd w:id="239"/>
    <w:bookmarkStart w:id="241"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0">
        <w:r>
          <w:rPr>
            <w:rStyle w:val="Hyperlink"/>
          </w:rPr>
          <w:t xml:space="preserve">https://doi.org/10.1007/s11409-017-9175-0</w:t>
        </w:r>
      </w:hyperlink>
    </w:p>
    <w:bookmarkEnd w:id="241"/>
    <w:bookmarkStart w:id="243"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2">
        <w:r>
          <w:rPr>
            <w:rStyle w:val="Hyperlink"/>
          </w:rPr>
          <w:t xml:space="preserve">https://vuorre.com/posts/2019-02-18-analyze-analog-scale-ratings-with-zero-one-inflated-beta-models</w:t>
        </w:r>
      </w:hyperlink>
    </w:p>
    <w:bookmarkEnd w:id="243"/>
    <w:bookmarkStart w:id="245"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4">
        <w:r>
          <w:rPr>
            <w:rStyle w:val="Hyperlink"/>
          </w:rPr>
          <w:t xml:space="preserve">https://r4ds.hadley.nz/</w:t>
        </w:r>
      </w:hyperlink>
    </w:p>
    <w:bookmarkEnd w:id="245"/>
    <w:bookmarkStart w:id="247"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6">
        <w:r>
          <w:rPr>
            <w:rStyle w:val="Hyperlink"/>
          </w:rPr>
          <w:t xml:space="preserve">https://doi.org/10.1002/acp.3724</w:t>
        </w:r>
      </w:hyperlink>
    </w:p>
    <w:bookmarkEnd w:id="247"/>
    <w:bookmarkStart w:id="249"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48">
        <w:r>
          <w:rPr>
            <w:rStyle w:val="Hyperlink"/>
          </w:rPr>
          <w:t xml:space="preserve">https://doi.org/10.1111/gcb.17422</w:t>
        </w:r>
      </w:hyperlink>
    </w:p>
    <w:bookmarkEnd w:id="249"/>
    <w:bookmarkStart w:id="251"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0">
        <w:r>
          <w:rPr>
            <w:rStyle w:val="Hyperlink"/>
          </w:rPr>
          <w:t xml:space="preserve">https://doi.org/10.1037/mac0000003</w:t>
        </w:r>
      </w:hyperlink>
    </w:p>
    <w:bookmarkEnd w:id="251"/>
    <w:bookmarkStart w:id="253"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2">
        <w:r>
          <w:rPr>
            <w:rStyle w:val="Hyperlink"/>
          </w:rPr>
          <w:t xml:space="preserve">https://stats.andrewheiss.com/compassionate-clam/manuscript/output/manuscript.html</w:t>
        </w:r>
      </w:hyperlink>
    </w:p>
    <w:bookmarkEnd w:id="253"/>
    <w:bookmarkEnd w:id="254"/>
    <w:sectPr>
      <w:lnNumType w:countBy="1" w:restart="continuous"/>
    </w:sectPr>
    <w:bookmarkEnd w:id="255"/>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3">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1">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07">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19">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29">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4" Target="media/rId94.png" /><Relationship Type="http://schemas.openxmlformats.org/officeDocument/2006/relationships/image" Id="rId59" Target="media/rId59.png" /><Relationship Type="http://schemas.openxmlformats.org/officeDocument/2006/relationships/image" Id="rId142" Target="media/rId142.png" /><Relationship Type="http://schemas.openxmlformats.org/officeDocument/2006/relationships/image" Id="rId84" Target="media/rId84.png" /><Relationship Type="http://schemas.openxmlformats.org/officeDocument/2006/relationships/image" Id="rId76" Target="media/rId76.png" /><Relationship Type="http://schemas.openxmlformats.org/officeDocument/2006/relationships/image" Id="rId138" Target="media/rId138.png" /><Relationship Type="http://schemas.openxmlformats.org/officeDocument/2006/relationships/image" Id="rId72" Target="media/rId72.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202" Target="https://CRAN.R-project.org/package=ordbetareg" TargetMode="External" /><Relationship Type="http://schemas.openxmlformats.org/officeDocument/2006/relationships/hyperlink" Id="rId228" Target="https://docs.ropensci.org/rix/" TargetMode="External" /><Relationship Type="http://schemas.openxmlformats.org/officeDocument/2006/relationships/hyperlink" Id="rId234" Target="https://doi.org/10.1001/jamanetworkopen.2023.53401" TargetMode="External" /><Relationship Type="http://schemas.openxmlformats.org/officeDocument/2006/relationships/hyperlink" Id="rId246"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40" Target="https://doi.org/10.1007/s11409-017-9175-0" TargetMode="External" /><Relationship Type="http://schemas.openxmlformats.org/officeDocument/2006/relationships/hyperlink" Id="rId195" Target="https://doi.org/10.1016/j.wocn.2016.08.006" TargetMode="External" /><Relationship Type="http://schemas.openxmlformats.org/officeDocument/2006/relationships/hyperlink" Id="rId200" Target="https://doi.org/10.1017/pan.2022.20" TargetMode="External" /><Relationship Type="http://schemas.openxmlformats.org/officeDocument/2006/relationships/hyperlink" Id="rId236" Target="https://doi.org/10.1037/1082-989x.11.1.54" TargetMode="External" /><Relationship Type="http://schemas.openxmlformats.org/officeDocument/2006/relationships/hyperlink" Id="rId250"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93" Target="https://doi.org/10.1080/01621459.1995.10476572" TargetMode="External" /><Relationship Type="http://schemas.openxmlformats.org/officeDocument/2006/relationships/hyperlink" Id="rId179" Target="https://doi.org/10.1080/0266476042000214501" TargetMode="External" /><Relationship Type="http://schemas.openxmlformats.org/officeDocument/2006/relationships/hyperlink" Id="rId224" Target="https://doi.org/10.1093/oxfordjournals.pan.a004873" TargetMode="External" /><Relationship Type="http://schemas.openxmlformats.org/officeDocument/2006/relationships/hyperlink" Id="rId216" Target="https://doi.org/10.1098/rsos.231713" TargetMode="External" /><Relationship Type="http://schemas.openxmlformats.org/officeDocument/2006/relationships/hyperlink" Id="rId248" Target="https://doi.org/10.1111/gcb.17422" TargetMode="External" /><Relationship Type="http://schemas.openxmlformats.org/officeDocument/2006/relationships/hyperlink" Id="rId197"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4" Target="https://doi.org/10.1177/0013164416669201" TargetMode="External" /><Relationship Type="http://schemas.openxmlformats.org/officeDocument/2006/relationships/hyperlink" Id="rId230"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8"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12" Target="https://doi.org/10.21105/joss.01541" TargetMode="External" /><Relationship Type="http://schemas.openxmlformats.org/officeDocument/2006/relationships/hyperlink" Id="rId220"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32" Target="https://doi.org/10.31234/osf.io/4rznt" TargetMode="External" /><Relationship Type="http://schemas.openxmlformats.org/officeDocument/2006/relationships/hyperlink" Id="rId204"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6" Target="https://doi.org/10.32614/rj-2015-019" TargetMode="External" /><Relationship Type="http://schemas.openxmlformats.org/officeDocument/2006/relationships/hyperlink" Id="rId210"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8"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8"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4"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52" Target="https://stats.andrewheiss.com/compassionate-clam/manuscript/output/manuscript.html" TargetMode="External" /><Relationship Type="http://schemas.openxmlformats.org/officeDocument/2006/relationships/hyperlink" Id="rId242" Target="https://vuorre.com/posts/2019-02-18-analyze-analog-scale-ratings-with-zero-one-inflated-beta-models" TargetMode="External" /><Relationship Type="http://schemas.openxmlformats.org/officeDocument/2006/relationships/hyperlink" Id="rId226" Target="https://www.R-project.org/" TargetMode="External" /><Relationship Type="http://schemas.openxmlformats.org/officeDocument/2006/relationships/hyperlink" Id="rId256" Target="https://www.routledge.com/Bayes-Rules-An-Introduction-to-Applied-Bayesian-Modeling/Johnson-Ott-Dogucu/p/book/9780367255398" TargetMode="External" /><Relationship Type="http://schemas.openxmlformats.org/officeDocument/2006/relationships/hyperlink" Id="rId222"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202" Target="https://CRAN.R-project.org/package=ordbetareg" TargetMode="External" /><Relationship Type="http://schemas.openxmlformats.org/officeDocument/2006/relationships/hyperlink" Id="rId228" Target="https://docs.ropensci.org/rix/" TargetMode="External" /><Relationship Type="http://schemas.openxmlformats.org/officeDocument/2006/relationships/hyperlink" Id="rId234" Target="https://doi.org/10.1001/jamanetworkopen.2023.53401" TargetMode="External" /><Relationship Type="http://schemas.openxmlformats.org/officeDocument/2006/relationships/hyperlink" Id="rId246"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40" Target="https://doi.org/10.1007/s11409-017-9175-0" TargetMode="External" /><Relationship Type="http://schemas.openxmlformats.org/officeDocument/2006/relationships/hyperlink" Id="rId195" Target="https://doi.org/10.1016/j.wocn.2016.08.006" TargetMode="External" /><Relationship Type="http://schemas.openxmlformats.org/officeDocument/2006/relationships/hyperlink" Id="rId200" Target="https://doi.org/10.1017/pan.2022.20" TargetMode="External" /><Relationship Type="http://schemas.openxmlformats.org/officeDocument/2006/relationships/hyperlink" Id="rId236" Target="https://doi.org/10.1037/1082-989x.11.1.54" TargetMode="External" /><Relationship Type="http://schemas.openxmlformats.org/officeDocument/2006/relationships/hyperlink" Id="rId250"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93" Target="https://doi.org/10.1080/01621459.1995.10476572" TargetMode="External" /><Relationship Type="http://schemas.openxmlformats.org/officeDocument/2006/relationships/hyperlink" Id="rId179" Target="https://doi.org/10.1080/0266476042000214501" TargetMode="External" /><Relationship Type="http://schemas.openxmlformats.org/officeDocument/2006/relationships/hyperlink" Id="rId224" Target="https://doi.org/10.1093/oxfordjournals.pan.a004873" TargetMode="External" /><Relationship Type="http://schemas.openxmlformats.org/officeDocument/2006/relationships/hyperlink" Id="rId216" Target="https://doi.org/10.1098/rsos.231713" TargetMode="External" /><Relationship Type="http://schemas.openxmlformats.org/officeDocument/2006/relationships/hyperlink" Id="rId248" Target="https://doi.org/10.1111/gcb.17422" TargetMode="External" /><Relationship Type="http://schemas.openxmlformats.org/officeDocument/2006/relationships/hyperlink" Id="rId197"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4" Target="https://doi.org/10.1177/0013164416669201" TargetMode="External" /><Relationship Type="http://schemas.openxmlformats.org/officeDocument/2006/relationships/hyperlink" Id="rId230"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8"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12" Target="https://doi.org/10.21105/joss.01541" TargetMode="External" /><Relationship Type="http://schemas.openxmlformats.org/officeDocument/2006/relationships/hyperlink" Id="rId220"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32" Target="https://doi.org/10.31234/osf.io/4rznt" TargetMode="External" /><Relationship Type="http://schemas.openxmlformats.org/officeDocument/2006/relationships/hyperlink" Id="rId204"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6" Target="https://doi.org/10.32614/rj-2015-019" TargetMode="External" /><Relationship Type="http://schemas.openxmlformats.org/officeDocument/2006/relationships/hyperlink" Id="rId210"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8"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8"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4"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52" Target="https://stats.andrewheiss.com/compassionate-clam/manuscript/output/manuscript.html" TargetMode="External" /><Relationship Type="http://schemas.openxmlformats.org/officeDocument/2006/relationships/hyperlink" Id="rId242" Target="https://vuorre.com/posts/2019-02-18-analyze-analog-scale-ratings-with-zero-one-inflated-beta-models" TargetMode="External" /><Relationship Type="http://schemas.openxmlformats.org/officeDocument/2006/relationships/hyperlink" Id="rId226" Target="https://www.R-project.org/" TargetMode="External" /><Relationship Type="http://schemas.openxmlformats.org/officeDocument/2006/relationships/hyperlink" Id="rId256" Target="https://www.routledge.com/Bayes-Rules-An-Introduction-to-Applied-Bayesian-Modeling/Johnson-Ott-Dogucu/p/book/9780367255398" TargetMode="External" /><Relationship Type="http://schemas.openxmlformats.org/officeDocument/2006/relationships/hyperlink" Id="rId222"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10406</vt:lpwstr>
  </property>
  <property fmtid="{D5CDD505-2E9C-101B-9397-08002B2CF9AE}" pid="63" name="zerocitations">
    <vt:lpwstr>False</vt:lpwstr>
  </property>
</Properties>
</file>