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6.png" ContentType="image/png"/>
  <Override PartName="/word/media/rId58.png" ContentType="image/png"/>
  <Override PartName="/word/media/rId139.png" ContentType="image/png"/>
  <Override PartName="/word/media/rId70.png" ContentType="image/png"/>
  <Override PartName="/word/media/rId82.png" ContentType="image/png"/>
  <Override PartName="/word/media/rId94.png" ContentType="image/png"/>
  <Override PartName="/word/media/rId99.png" ContentType="image/png"/>
  <Override PartName="/word/media/rId74.png" ContentType="image/png"/>
  <Override PartName="/word/media/rId135.png" ContentType="image/png"/>
  <Override PartName="/word/media/rId105.png" ContentType="image/png"/>
  <Override PartName="/word/media/rId113.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9963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median, or mode (maximum a posterior (MAP)),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(BF) can be used to quantify the relative evidence for one model or hypothesis over another.</w:t>
      </w:r>
    </w:p>
    <w:p>
      <w:pPr>
        <w:pStyle w:val="BodyText"/>
      </w:pPr>
      <w:r>
        <w:t xml:space="preserve">Throughout this tutorial, we demonstrate how to fit Bayesian Beta regression models using the brm() function. While the tutorial assumes a basic understanding of R and regression modeling, no prior knowledge of Bayesian statistics is required. This tuotorial will not focus on the technical details of Bayesian modeling; instead, our emphasis will be on practical implementation and interpreting results in terms of probabilities and proportions on the original response scale, rather than on the logit or latent scale.</w:t>
      </w:r>
    </w:p>
    <w:bookmarkEnd w:id="54"/>
    <w:bookmarkEnd w:id="55"/>
    <w:bookmarkStart w:id="146"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(dot)</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6"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Bayesian Regression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Reported as: Mean [95% CrI] (pd). Link functions: b_mean = logit; b_phi = logit; b_zoi (zero-one inflation) = logit; b_coi (conditional one-inflation) = logit.</w:t>
      </w:r>
    </w:p>
    <w:bookmarkEnd w:id="66"/>
    <w:bookmarkEnd w:id="67"/>
    <w:bookmarkStart w:id="69"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8"/>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0.085, 95% Cr.I = [-0.001,0.172],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Cr.I (or the highest density interval) to see if it includes 0–if it does not then the effect can be said to be significant. In the table below, the 95% credible intervals are located in the 95% Cr.Is column. Throughout we focus on the mean estimates and 95% Cr.Is.</w:t>
      </w:r>
    </w:p>
    <w:bookmarkEnd w:id="69"/>
    <w:bookmarkStart w:id="104"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from the</w:t>
      </w:r>
      <w:r>
        <w:t xml:space="preserve"> </w:t>
      </w:r>
      <w:r>
        <w:rPr>
          <w:rStyle w:val="VerbatimChar"/>
        </w:rPr>
        <w:t xml:space="preserve">performance</w:t>
      </w:r>
      <w:r>
        <w:t xml:space="preserve"> </w:t>
      </w:r>
      <w:r>
        <w:t xml:space="preserve">package, we can easily check this. In</w:t>
      </w:r>
      <w:r>
        <w:t xml:space="preserve"> </w:t>
      </w:r>
      <w:hyperlink w:anchor="fig-ols-assump">
        <w:r>
          <w:rPr>
            <w:rStyle w:val="Hyperlink"/>
          </w:rPr>
          <w:t xml:space="preserve">Figure 4</w:t>
        </w:r>
      </w:hyperlink>
      <w:r>
        <w:t xml:space="preserve"> </w:t>
      </w:r>
      <w:r>
        <w:t xml:space="preserve">, we see some issues with our model. Specifically, there appears to be violations of normality constant variance (homogeneity).</w:t>
      </w:r>
    </w:p>
    <w:p>
      <w:pPr>
        <w:pStyle w:val="SourceCode"/>
      </w:pPr>
      <w:r>
        <w:rPr>
          <w:rStyle w:val="NormalTok"/>
        </w:rPr>
        <w:t xml:space="preserve">performance</w:t>
      </w:r>
      <w:r>
        <w:rPr>
          <w:rStyle w:val="SpecialCharTok"/>
        </w:rPr>
        <w:t xml:space="preserve">::</w:t>
      </w:r>
      <w:r>
        <w:rPr>
          <w:rStyle w:val="FunctionTok"/>
        </w:rPr>
        <w:t xml:space="preserve">check_model</w:t>
      </w:r>
      <w:r>
        <w:rPr>
          <w:rStyle w:val="NormalTok"/>
        </w:rPr>
        <w:t xml:space="preserve">(bayes_ols_model,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"homogeneity"</w:t>
      </w:r>
      <w:r>
        <w:rPr>
          <w:rStyle w:val="NormalTok"/>
        </w:rPr>
        <w:t xml:space="preserve">, </w:t>
      </w:r>
      <w:r>
        <w:rPr>
          <w:rStyle w:val="StringTok"/>
        </w:rPr>
        <w:t xml:space="preserve">"normality"</w:t>
      </w:r>
      <w:r>
        <w:rPr>
          <w:rStyle w:val="NormalTok"/>
        </w:rPr>
        <w:t xml:space="preserve">))</w:t>
      </w:r>
      <w:r>
        <w:br/>
      </w:r>
      <w:r>
        <w:br/>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"manuscript"</w:t>
      </w:r>
      <w:r>
        <w:rPr>
          <w:rStyle w:val="NormalTok"/>
        </w:rPr>
        <w:t xml:space="preserve">, </w:t>
      </w:r>
      <w:r>
        <w:rPr>
          <w:rStyle w:val="StringTok"/>
        </w:rPr>
        <w:t xml:space="preserve">"Figures"</w:t>
      </w:r>
      <w:r>
        <w:rPr>
          <w:rStyle w:val="NormalTok"/>
        </w:rPr>
        <w:t xml:space="preserve">, </w:t>
      </w:r>
      <w:r>
        <w:rPr>
          <w:rStyle w:val="StringTok"/>
        </w:rPr>
        <w:t xml:space="preserve">"bayes_assumpcheck.png"</w:t>
      </w:r>
      <w:r>
        <w:rPr>
          <w:rStyle w:val="NormalTok"/>
        </w:rPr>
        <w:t xml:space="preserve">), </w:t>
      </w:r>
      <w:r>
        <w:rPr>
          <w:rStyle w:val="AttributeTok"/>
        </w:rPr>
        <w:t xml:space="preserve">width=</w:t>
      </w:r>
      <w:r>
        <w:rPr>
          <w:rStyle w:val="DecValTok"/>
        </w:rPr>
        <w:t xml:space="preserve">8</w:t>
      </w:r>
      <w:r>
        <w:rPr>
          <w:rStyle w:val="NormalTok"/>
        </w:rPr>
        <w:t xml:space="preserve">, </w:t>
      </w:r>
      <w:r>
        <w:rPr>
          <w:rStyle w:val="AttributeTok"/>
        </w:rPr>
        <w:t xml:space="preserve">height=</w:t>
      </w:r>
      <w:r>
        <w:rPr>
          <w:rStyle w:val="DecValTok"/>
        </w:rPr>
        <w:t xml:space="preserve">4</w:t>
      </w:r>
      <w:r>
        <w:rPr>
          <w:rStyle w:val="NormalTok"/>
        </w:rPr>
        <w:t xml:space="preserve">, </w:t>
      </w:r>
      <w:r>
        <w:rPr>
          <w:rStyle w:val="AttributeTok"/>
        </w:rPr>
        <w:t xml:space="preserve">dpi=</w:t>
      </w:r>
      <w:r>
        <w:rPr>
          <w:rStyle w:val="DecValTok"/>
        </w:rPr>
        <w:t xml:space="preserve">300</w:t>
      </w:r>
      <w:r>
        <w:rPr>
          <w:rStyle w:val="NormalTok"/>
        </w:rPr>
        <w:t xml:space="preserve">)</w:t>
      </w:r>
    </w:p>
    <w:bookmarkStart w:id="73"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1" name="Picture"/>
            <a:graphic>
              <a:graphicData uri="http://schemas.openxmlformats.org/drawingml/2006/picture">
                <pic:pic>
                  <pic:nvPicPr>
                    <pic:cNvPr descr="ms_files/figure-docx/fig-ols-assump-1.png" id="72"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7"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5" name="Picture"/>
            <a:graphic>
              <a:graphicData uri="http://schemas.openxmlformats.org/drawingml/2006/picture">
                <pic:pic>
                  <pic:nvPicPr>
                    <pic:cNvPr descr="ms_files/figure-docx/fig-ppcheck-normal-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8"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8"/>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79"/>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2"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0"/>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1"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[0.214, 0.32]</w:t>
            </w:r>
          </w:p>
        </w:tc>
      </w:tr>
      <w:tr>
        <w:tc>
          <w:tcPr/>
          <w:p>
            <w:pPr>
              <w:pStyle w:val="Compact"/>
            </w:pPr>
            <w:r>
              <w:t xml:space="preserve">Fluent</w:t>
            </w:r>
          </w:p>
        </w:tc>
        <w:tc>
          <w:tcPr/>
          <w:p>
            <w:pPr>
              <w:pStyle w:val="Compact"/>
            </w:pPr>
            <w:r>
              <w:t xml:space="preserve">0.356</w:t>
            </w:r>
          </w:p>
        </w:tc>
        <w:tc>
          <w:tcPr/>
          <w:p>
            <w:pPr>
              <w:pStyle w:val="Compact"/>
            </w:pPr>
            <w:r>
              <w:t xml:space="preserve">[0.294, 0.423]</w:t>
            </w:r>
          </w:p>
        </w:tc>
      </w:tr>
    </w:tbl>
    <w:bookmarkEnd w:id="81"/>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5"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3" name="Picture"/>
            <a:graphic>
              <a:graphicData uri="http://schemas.openxmlformats.org/drawingml/2006/picture">
                <pic:pic>
                  <pic:nvPicPr>
                    <pic:cNvPr descr="ms_files/figure-docx/fig-plot-pre-1.png" id="84" name="Picture"/>
                    <pic:cNvPicPr>
                      <a:picLocks noChangeArrowheads="1" noChangeAspect="1"/>
                    </pic:cNvPicPr>
                  </pic:nvPicPr>
                  <pic:blipFill>
                    <a:blip r:embed="rId82"/>
                    <a:stretch>
                      <a:fillRect/>
                    </a:stretch>
                  </pic:blipFill>
                  <pic:spPr bwMode="auto">
                    <a:xfrm>
                      <a:off x="0" y="0"/>
                      <a:ext cx="5943600" cy="2971800"/>
                    </a:xfrm>
                    <a:prstGeom prst="rect">
                      <a:avLst/>
                    </a:prstGeom>
                    <a:noFill/>
                    <a:ln w="9525">
                      <a:noFill/>
                      <a:headEnd/>
                      <a:tailEnd/>
                    </a:ln>
                  </pic:spPr>
                </pic:pic>
              </a:graphicData>
            </a:graphic>
          </wp:inline>
        </w:drawing>
      </w:r>
    </w:p>
    <w:bookmarkEnd w:id="85"/>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89"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7" name="Picture"/>
            <a:graphic>
              <a:graphicData uri="http://schemas.openxmlformats.org/drawingml/2006/picture">
                <pic:pic>
                  <pic:nvPicPr>
                    <pic:cNvPr descr="ms_files/figure-docx/fig-draws-fluency-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bookmarkEnd w:id="89"/>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0"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[0.012, 0.175]</w:t>
            </w:r>
          </w:p>
        </w:tc>
      </w:tr>
    </w:tbl>
    <w:bookmarkEnd w:id="90"/>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1"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1.558</w:t>
            </w:r>
          </w:p>
        </w:tc>
        <w:tc>
          <w:tcPr/>
          <w:p>
            <w:pPr>
              <w:pStyle w:val="Compact"/>
            </w:pPr>
            <w:r>
              <w:t xml:space="preserve">[1.059, 2.269]</w:t>
            </w:r>
          </w:p>
        </w:tc>
      </w:tr>
    </w:tbl>
    <w:bookmarkEnd w:id="91"/>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2"/>
    <w:bookmarkStart w:id="98"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3"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[1.664, 3.368]</w:t>
            </w:r>
          </w:p>
        </w:tc>
        <w:tc>
          <w:tcPr/>
          <w:p>
            <w:pPr>
              <w:pStyle w:val="Compact"/>
            </w:pPr>
            <w:r>
              <w:t xml:space="preserve">1</w:t>
            </w:r>
          </w:p>
        </w:tc>
      </w:tr>
      <w:tr>
        <w:tc>
          <w:tcPr/>
          <w:p>
            <w:pPr>
              <w:pStyle w:val="Compact"/>
            </w:pPr>
            <w:r>
              <w:t xml:space="preserve">b_phi_FluencyFluent</w:t>
            </w:r>
          </w:p>
        </w:tc>
        <w:tc>
          <w:tcPr/>
          <w:p>
            <w:pPr>
              <w:pStyle w:val="Compact"/>
            </w:pPr>
            <w:r>
              <w:t xml:space="preserve">2.53</w:t>
            </w:r>
          </w:p>
        </w:tc>
        <w:tc>
          <w:tcPr/>
          <w:p>
            <w:pPr>
              <w:pStyle w:val="Compact"/>
            </w:pPr>
            <w:r>
              <w:t xml:space="preserve">[1.464, 4.262]</w:t>
            </w:r>
          </w:p>
        </w:tc>
        <w:tc>
          <w:tcPr/>
          <w:p>
            <w:pPr>
              <w:pStyle w:val="Compact"/>
            </w:pPr>
            <w:r>
              <w:t xml:space="preserve">1</w:t>
            </w:r>
          </w:p>
        </w:tc>
      </w:tr>
    </w:tbl>
    <w:bookmarkEnd w:id="9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7"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5" name="Picture"/>
            <a:graphic>
              <a:graphicData uri="http://schemas.openxmlformats.org/drawingml/2006/picture">
                <pic:pic>
                  <pic:nvPicPr>
                    <pic:cNvPr descr="ms_files/figure-docx/fig-plt-diff-1.png" id="96"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bookmarkEnd w:id="97"/>
    <w:bookmarkEnd w:id="98"/>
    <w:bookmarkStart w:id="103"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2" w:name="fig-post-pred"/>
    <w:p>
      <w:pPr>
        <w:pStyle w:val="FigureTitle"/>
      </w:pPr>
      <w:r>
        <w:t xml:space="preserve">Figure 9</w:t>
      </w:r>
    </w:p>
    <w:p>
      <w:pPr>
        <w:pStyle w:val="Caption"/>
      </w:pPr>
      <w:r>
        <w:t xml:space="preserve">Posterior predictive check for our Beta model</w:t>
      </w:r>
    </w:p>
    <w:p>
      <w:pPr>
        <w:pStyle w:val="FigureWithoutNote"/>
      </w:pPr>
      <w:r>
        <w:drawing>
          <wp:inline>
            <wp:extent cx="5943600" cy="2971800"/>
            <wp:effectExtent b="0" l="0" r="0" t="0"/>
            <wp:docPr descr="" title="" id="100" name="Picture"/>
            <a:graphic>
              <a:graphicData uri="http://schemas.openxmlformats.org/drawingml/2006/picture">
                <pic:pic>
                  <pic:nvPicPr>
                    <pic:cNvPr descr="ms_files/figure-docx/fig-post-pred-1.png" id="101" name="Picture"/>
                    <pic:cNvPicPr>
                      <a:picLocks noChangeArrowheads="1" noChangeAspect="1"/>
                    </pic:cNvPicPr>
                  </pic:nvPicPr>
                  <pic:blipFill>
                    <a:blip r:embed="rId99"/>
                    <a:stretch>
                      <a:fillRect/>
                    </a:stretch>
                  </pic:blipFill>
                  <pic:spPr bwMode="auto">
                    <a:xfrm>
                      <a:off x="0" y="0"/>
                      <a:ext cx="5943600" cy="2971800"/>
                    </a:xfrm>
                    <a:prstGeom prst="rect">
                      <a:avLst/>
                    </a:prstGeom>
                    <a:noFill/>
                    <a:ln w="9525">
                      <a:noFill/>
                      <a:headEnd/>
                      <a:tailEnd/>
                    </a:ln>
                  </pic:spPr>
                </pic:pic>
              </a:graphicData>
            </a:graphic>
          </wp:inline>
        </w:drawing>
      </w:r>
    </w:p>
    <w:bookmarkEnd w:id="102"/>
    <w:bookmarkEnd w:id="103"/>
    <w:bookmarkEnd w:id="104"/>
    <w:bookmarkStart w:id="118"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zib">
        <w:r>
          <w:rPr>
            <w:rStyle w:val="Hyperlink"/>
          </w:rPr>
          <w:t xml:space="preserve">Figure 10</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Start w:id="108" w:name="fig-ppcheckzib"/>
    <w:p>
      <w:pPr>
        <w:pStyle w:val="FigureTitle"/>
      </w:pPr>
      <w:r>
        <w:t xml:space="preserve">Figure 10</w:t>
      </w:r>
    </w:p>
    <w:p>
      <w:pPr>
        <w:pStyle w:val="Caption"/>
      </w:pPr>
      <w:r>
        <w:t xml:space="preserve">Posterior predictive check for the zib model</w:t>
      </w:r>
    </w:p>
    <w:p>
      <w:pPr>
        <w:pStyle w:val="FigureWithoutNote"/>
      </w:pPr>
      <w:r>
        <w:drawing>
          <wp:inline>
            <wp:extent cx="5943600" cy="2971800"/>
            <wp:effectExtent b="0" l="0" r="0" t="0"/>
            <wp:docPr descr="" title="" id="106" name="Picture"/>
            <a:graphic>
              <a:graphicData uri="http://schemas.openxmlformats.org/drawingml/2006/picture">
                <pic:pic>
                  <pic:nvPicPr>
                    <pic:cNvPr descr="ms_files/figure-docx/fig-ppcheckzib-1.png" id="107" name="Picture"/>
                    <pic:cNvPicPr>
                      <a:picLocks noChangeArrowheads="1" noChangeAspect="1"/>
                    </pic:cNvPicPr>
                  </pic:nvPicPr>
                  <pic:blipFill>
                    <a:blip r:embed="rId105"/>
                    <a:stretch>
                      <a:fillRect/>
                    </a:stretch>
                  </pic:blipFill>
                  <pic:spPr bwMode="auto">
                    <a:xfrm>
                      <a:off x="0" y="0"/>
                      <a:ext cx="5943600" cy="2971800"/>
                    </a:xfrm>
                    <a:prstGeom prst="rect">
                      <a:avLst/>
                    </a:prstGeom>
                    <a:noFill/>
                    <a:ln w="9525">
                      <a:noFill/>
                      <a:headEnd/>
                      <a:tailEnd/>
                    </a:ln>
                  </pic:spPr>
                </pic:pic>
              </a:graphicData>
            </a:graphic>
          </wp:inline>
        </w:drawing>
      </w:r>
    </w:p>
    <w:bookmarkEnd w:id="108"/>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risk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[-0.075, 0.088]</w:t>
            </w:r>
          </w:p>
        </w:tc>
      </w:tr>
    </w:tbl>
    <w:bookmarkEnd w:id="110"/>
    <w:p>
      <w:pPr>
        <w:pStyle w:val="Heading4"/>
        <w:rPr>
          <w:vanish/>
          <w:specVanish/>
        </w:rPr>
      </w:pPr>
      <w:r>
        <w:t>Dispersion (\phi).</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(ϕ),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681"/>
        <w:tblLayout w:type="fixed"/>
        <w:tblLook w:firstRow="1" w:lastRow="0" w:firstColumn="0" w:lastColumn="0" w:noHBand="0" w:noVBand="0" w:val="0020"/>
      </w:tblPr>
      <w:tblGrid>
        <w:gridCol w:w="1100"/>
        <w:gridCol w:w="2310"/>
        <w:gridCol w:w="770"/>
        <w:gridCol w:w="165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[1.22, 8.13]</w:t>
            </w:r>
          </w:p>
        </w:tc>
      </w:tr>
    </w:tbl>
    <w:bookmarkEnd w:id="111"/>
    <w:bookmarkEnd w:id="112"/>
    <w:bookmarkStart w:id="117"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w:t>
      </w:r>
    </w:p>
    <w:p>
      <w:pPr>
        <w:pStyle w:val="BodyText"/>
      </w:pPr>
      <w:r>
        <w:t xml:space="preserve">We can easily visualize the zero-inflated part of the model with</w:t>
      </w:r>
      <w:r>
        <w:t xml:space="preserve"> </w:t>
      </w:r>
      <w:r>
        <w:rPr>
          <w:rStyle w:val="VerbatimChar"/>
        </w:rPr>
        <w:t xml:space="preserve">plot_predictions()</w:t>
      </w:r>
      <w:r>
        <w:t xml:space="preserve"> </w:t>
      </w:r>
      <w:r>
        <w:t xml:space="preserve">(see</w:t>
      </w:r>
      <w:r>
        <w:t xml:space="preserve"> </w:t>
      </w:r>
      <w:hyperlink w:anchor="fig-zi-plot">
        <w:r>
          <w:rPr>
            <w:rStyle w:val="Hyperlink"/>
          </w:rPr>
          <w:t xml:space="preserve">Figure 11</w:t>
        </w:r>
      </w:hyperlink>
      <w:r>
        <w:t xml:space="preserve">).</w:t>
      </w:r>
    </w:p>
    <w:bookmarkStart w:id="116" w:name="fig-zi-plot"/>
    <w:p>
      <w:pPr>
        <w:pStyle w:val="FigureTitle"/>
      </w:pPr>
      <w:r>
        <w:t xml:space="preserve">Figure 11</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943600" cy="2971800"/>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20"/>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12</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4" w:name="fig-zoib"/>
    <w:p>
      <w:pPr>
        <w:pStyle w:val="FigureTitle"/>
      </w:pPr>
      <w:r>
        <w:t xml:space="preserve">Figure 12</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22" name="Picture"/>
            <a:graphic>
              <a:graphicData uri="http://schemas.openxmlformats.org/drawingml/2006/picture">
                <pic:pic>
                  <pic:nvPicPr>
                    <pic:cNvPr descr="ms_files/figure-docx/fig-zoib-1.png" id="123" name="Picture"/>
                    <pic:cNvPicPr>
                      <a:picLocks noChangeArrowheads="1" noChangeAspect="1"/>
                    </pic:cNvPicPr>
                  </pic:nvPicPr>
                  <pic:blipFill>
                    <a:blip r:embed="rId121"/>
                    <a:stretch>
                      <a:fillRect/>
                    </a:stretch>
                  </pic:blipFill>
                  <pic:spPr bwMode="auto">
                    <a:xfrm>
                      <a:off x="0" y="0"/>
                      <a:ext cx="5943600" cy="5943600"/>
                    </a:xfrm>
                    <a:prstGeom prst="rect">
                      <a:avLst/>
                    </a:prstGeom>
                    <a:noFill/>
                    <a:ln w="9525">
                      <a:noFill/>
                      <a:headEnd/>
                      <a:tailEnd/>
                    </a:ln>
                  </pic:spPr>
                </pic:pic>
              </a:graphicData>
            </a:graphic>
          </wp:inline>
        </w:drawing>
      </w:r>
    </w:p>
    <w:bookmarkEnd w:id="124"/>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5"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6"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6"/>
    <w:bookmarkStart w:id="127" w:name="gamma"/>
    <w:p>
      <w:pPr>
        <w:pStyle w:val="Heading3"/>
      </w:pPr>
      <m:oMath>
        <m:r>
          <m:t>γ</m:t>
        </m:r>
      </m:oMath>
    </w:p>
    <w:bookmarkEnd w:id="127"/>
    <w:bookmarkEnd w:id="128"/>
    <w:bookmarkStart w:id="131"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0"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9">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30"/>
    <w:bookmarkEnd w:id="131"/>
    <w:bookmarkStart w:id="145"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2"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32"/>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4"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3"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3"/>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4"/>
    <w:bookmarkStart w:id="143"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13</w:t>
        </w:r>
      </w:hyperlink>
      <w:r>
        <w:t xml:space="preserve">).</w:t>
      </w:r>
    </w:p>
    <w:bookmarkStart w:id="138" w:name="fig-ppcheckord"/>
    <w:p>
      <w:pPr>
        <w:pStyle w:val="FigureTitle"/>
      </w:pPr>
      <w:r>
        <w:t xml:space="preserve">Figure 13</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6" name="Picture"/>
            <a:graphic>
              <a:graphicData uri="http://schemas.openxmlformats.org/drawingml/2006/picture">
                <pic:pic>
                  <pic:nvPicPr>
                    <pic:cNvPr descr="ms_files/figure-docx/fig-ppcheckord-1.png" id="137" name="Picture"/>
                    <pic:cNvPicPr>
                      <a:picLocks noChangeArrowheads="1" noChangeAspect="1"/>
                    </pic:cNvPicPr>
                  </pic:nvPicPr>
                  <pic:blipFill>
                    <a:blip r:embed="rId135"/>
                    <a:stretch>
                      <a:fillRect/>
                    </a:stretch>
                  </pic:blipFill>
                  <pic:spPr bwMode="auto">
                    <a:xfrm>
                      <a:off x="0" y="0"/>
                      <a:ext cx="5943600" cy="3962400"/>
                    </a:xfrm>
                    <a:prstGeom prst="rect">
                      <a:avLst/>
                    </a:prstGeom>
                    <a:noFill/>
                    <a:ln w="9525">
                      <a:noFill/>
                      <a:headEnd/>
                      <a:tailEnd/>
                    </a:ln>
                  </pic:spPr>
                </pic:pic>
              </a:graphicData>
            </a:graphic>
          </wp:inline>
        </w:drawing>
      </w:r>
    </w:p>
    <w:bookmarkEnd w:id="138"/>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14</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2" w:name="fig-heiss"/>
    <w:p>
      <w:pPr>
        <w:pStyle w:val="FigureTitle"/>
      </w:pPr>
      <w:r>
        <w:t xml:space="preserve">Figure 14</w:t>
      </w:r>
    </w:p>
    <w:p>
      <w:pPr>
        <w:pStyle w:val="Caption"/>
      </w:pPr>
      <w:r>
        <w:t xml:space="preserve">Heiss Plot of Predicted Probablities across the scale (0-100)</w:t>
      </w:r>
    </w:p>
    <w:p>
      <w:pPr>
        <w:pStyle w:val="FigureWithoutNote"/>
      </w:pPr>
      <w:r>
        <w:drawing>
          <wp:inline>
            <wp:extent cx="5943600" cy="2971800"/>
            <wp:effectExtent b="0" l="0" r="0" t="0"/>
            <wp:docPr descr="" title="" id="140" name="Picture"/>
            <a:graphic>
              <a:graphicData uri="http://schemas.openxmlformats.org/drawingml/2006/picture">
                <pic:pic>
                  <pic:nvPicPr>
                    <pic:cNvPr descr="ms_files/figure-docx/fig-heiss-1.png" id="141" name="Picture"/>
                    <pic:cNvPicPr>
                      <a:picLocks noChangeArrowheads="1" noChangeAspect="1"/>
                    </pic:cNvPicPr>
                  </pic:nvPicPr>
                  <pic:blipFill>
                    <a:blip r:embed="rId139"/>
                    <a:stretch>
                      <a:fillRect/>
                    </a:stretch>
                  </pic:blipFill>
                  <pic:spPr bwMode="auto">
                    <a:xfrm>
                      <a:off x="0" y="0"/>
                      <a:ext cx="5943600" cy="2971800"/>
                    </a:xfrm>
                    <a:prstGeom prst="rect">
                      <a:avLst/>
                    </a:prstGeom>
                    <a:noFill/>
                    <a:ln w="9525">
                      <a:noFill/>
                      <a:headEnd/>
                      <a:tailEnd/>
                    </a:ln>
                  </pic:spPr>
                </pic:pic>
              </a:graphicData>
            </a:graphic>
          </wp:inline>
        </w:drawing>
      </w:r>
    </w:p>
    <w:bookmarkEnd w:id="142"/>
    <w:bookmarkEnd w:id="143"/>
    <w:bookmarkStart w:id="144"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4"/>
    <w:bookmarkEnd w:id="145"/>
    <w:bookmarkEnd w:id="146"/>
    <w:bookmarkStart w:id="23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7"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7"/>
    <w:bookmarkStart w:id="234" w:name="references"/>
    <w:p>
      <w:pPr>
        <w:pStyle w:val="Heading2"/>
      </w:pPr>
      <w:r>
        <w:t xml:space="preserve">References</w:t>
      </w:r>
    </w:p>
    <w:bookmarkStart w:id="233" w:name="refs"/>
    <w:bookmarkStart w:id="14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8">
        <w:r>
          <w:rPr>
            <w:rStyle w:val="Hyperlink"/>
          </w:rPr>
          <w:t xml:space="preserve">https://CRAN.R-project.org/package=marginaleffects</w:t>
        </w:r>
      </w:hyperlink>
    </w:p>
    <w:bookmarkEnd w:id="149"/>
    <w:bookmarkStart w:id="15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0">
        <w:r>
          <w:rPr>
            <w:rStyle w:val="Hyperlink"/>
          </w:rPr>
          <w:t xml:space="preserve">https://doi.org/10.18637/jss.v111.i09</w:t>
        </w:r>
      </w:hyperlink>
    </w:p>
    <w:bookmarkEnd w:id="151"/>
    <w:bookmarkStart w:id="15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2">
        <w:r>
          <w:rPr>
            <w:rStyle w:val="Hyperlink"/>
          </w:rPr>
          <w:t xml:space="preserve">https://doi.org/10.2307/2983678</w:t>
        </w:r>
      </w:hyperlink>
    </w:p>
    <w:bookmarkEnd w:id="153"/>
    <w:bookmarkStart w:id="15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4">
        <w:r>
          <w:rPr>
            <w:rStyle w:val="Hyperlink"/>
          </w:rPr>
          <w:t xml:space="preserve">https://doi.org/10.1037/met0000553</w:t>
        </w:r>
      </w:hyperlink>
    </w:p>
    <w:bookmarkEnd w:id="155"/>
    <w:bookmarkStart w:id="15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6">
        <w:r>
          <w:rPr>
            <w:rStyle w:val="Hyperlink"/>
          </w:rPr>
          <w:t xml:space="preserve">https://doi.org/10.32614/RJ-2017-066</w:t>
        </w:r>
      </w:hyperlink>
    </w:p>
    <w:bookmarkEnd w:id="157"/>
    <w:bookmarkStart w:id="15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8">
        <w:r>
          <w:rPr>
            <w:rStyle w:val="Hyperlink"/>
          </w:rPr>
          <w:t xml:space="preserve">https://doi.org/10.18637/jss.v080.i01</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7">
        <w:r>
          <w:rPr>
            <w:rStyle w:val="Hyperlink"/>
          </w:rPr>
          <w:t xml:space="preserve">https://doi.org/10.18637/jss.v034.i02</w:t>
        </w:r>
      </w:hyperlink>
    </w:p>
    <w:bookmarkEnd w:id="168"/>
    <w:bookmarkStart w:id="17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9">
        <w:r>
          <w:rPr>
            <w:rStyle w:val="Hyperlink"/>
          </w:rPr>
          <w:t xml:space="preserve">https://nixos.org/</w:t>
        </w:r>
      </w:hyperlink>
    </w:p>
    <w:bookmarkEnd w:id="170"/>
    <w:bookmarkStart w:id="17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1">
        <w:r>
          <w:rPr>
            <w:rStyle w:val="Hyperlink"/>
          </w:rPr>
          <w:t xml:space="preserve">https://doi.org/10.1080/0266476042000214501</w:t>
        </w:r>
      </w:hyperlink>
    </w:p>
    <w:bookmarkEnd w:id="172"/>
    <w:bookmarkStart w:id="17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3">
        <w:r>
          <w:rPr>
            <w:rStyle w:val="Hyperlink"/>
          </w:rPr>
          <w:t xml:space="preserve">https://doi.org/10.1007/s11121-021-01302-y</w:t>
        </w:r>
      </w:hyperlink>
    </w:p>
    <w:bookmarkEnd w:id="174"/>
    <w:bookmarkStart w:id="17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5">
        <w:r>
          <w:rPr>
            <w:rStyle w:val="Hyperlink"/>
          </w:rPr>
          <w:t xml:space="preserve">https://mc-stan.org/cmdstanr/</w:t>
        </w:r>
      </w:hyperlink>
    </w:p>
    <w:bookmarkEnd w:id="176"/>
    <w:bookmarkStart w:id="17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7">
        <w:r>
          <w:rPr>
            <w:rStyle w:val="Hyperlink"/>
          </w:rPr>
          <w:t xml:space="preserve">https://stat.columbia.edu/~gelman/book/</w:t>
        </w:r>
      </w:hyperlink>
    </w:p>
    <w:bookmarkEnd w:id="178"/>
    <w:bookmarkStart w:id="18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9">
        <w:r>
          <w:rPr>
            <w:rStyle w:val="Hyperlink"/>
          </w:rPr>
          <w:t xml:space="preserve">http://dx.doi.org/10.59350/7p1a4-0tw75</w:t>
        </w:r>
      </w:hyperlink>
    </w:p>
    <w:bookmarkEnd w:id="180"/>
    <w:bookmarkStart w:id="181"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81"/>
    <w:bookmarkStart w:id="18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2">
        <w:r>
          <w:rPr>
            <w:rStyle w:val="Hyperlink"/>
          </w:rPr>
          <w:t xml:space="preserve">https://doi.org/10.1016/j.wocn.2016.08.006</w:t>
        </w:r>
      </w:hyperlink>
    </w:p>
    <w:bookmarkEnd w:id="183"/>
    <w:bookmarkStart w:id="18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4"/>
    <w:bookmarkStart w:id="186"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5">
        <w:r>
          <w:rPr>
            <w:rStyle w:val="Hyperlink"/>
          </w:rPr>
          <w:t xml:space="preserve">https://doi.org/10.1017/pan.2022.20</w:t>
        </w:r>
      </w:hyperlink>
    </w:p>
    <w:bookmarkEnd w:id="186"/>
    <w:bookmarkStart w:id="188"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7">
        <w:r>
          <w:rPr>
            <w:rStyle w:val="Hyperlink"/>
          </w:rPr>
          <w:t xml:space="preserve">https://CRAN.R-project.org/package=ordbetareg</w:t>
        </w:r>
      </w:hyperlink>
    </w:p>
    <w:bookmarkEnd w:id="188"/>
    <w:bookmarkStart w:id="19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9">
        <w:r>
          <w:rPr>
            <w:rStyle w:val="Hyperlink"/>
          </w:rPr>
          <w:t xml:space="preserve">https://doi.org/10.32614/rj-2015-019</w:t>
        </w:r>
      </w:hyperlink>
    </w:p>
    <w:bookmarkEnd w:id="190"/>
    <w:bookmarkStart w:id="192"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91">
        <w:r>
          <w:rPr>
            <w:rStyle w:val="Hyperlink"/>
          </w:rPr>
          <w:t xml:space="preserve">https://doi.org/10.21105/joss.00772</w:t>
        </w:r>
      </w:hyperlink>
    </w:p>
    <w:bookmarkEnd w:id="192"/>
    <w:bookmarkStart w:id="194"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3">
        <w:r>
          <w:rPr>
            <w:rStyle w:val="Hyperlink"/>
          </w:rPr>
          <w:t xml:space="preserve">https://easystats.github.io/easystats/</w:t>
        </w:r>
      </w:hyperlink>
    </w:p>
    <w:bookmarkEnd w:id="194"/>
    <w:bookmarkStart w:id="196"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5">
        <w:r>
          <w:rPr>
            <w:rStyle w:val="Hyperlink"/>
          </w:rPr>
          <w:t xml:space="preserve">https://doi.org/10.3389/fpsyg.2019.02767</w:t>
        </w:r>
      </w:hyperlink>
    </w:p>
    <w:bookmarkEnd w:id="196"/>
    <w:bookmarkStart w:id="198"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7">
        <w:r>
          <w:rPr>
            <w:rStyle w:val="Hyperlink"/>
          </w:rPr>
          <w:t xml:space="preserve">https://doi.org/10.21105/joss.01541</w:t>
        </w:r>
      </w:hyperlink>
    </w:p>
    <w:bookmarkEnd w:id="198"/>
    <w:bookmarkStart w:id="20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9">
        <w:r>
          <w:rPr>
            <w:rStyle w:val="Hyperlink"/>
          </w:rPr>
          <w:t xml:space="preserve">https://doi.org/10.1098/rsos.231713</w:t>
        </w:r>
      </w:hyperlink>
    </w:p>
    <w:bookmarkEnd w:id="200"/>
    <w:bookmarkStart w:id="20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1">
        <w:r>
          <w:rPr>
            <w:rStyle w:val="Hyperlink"/>
          </w:rPr>
          <w:t xml:space="preserve">https://doi.org/10.1201/9780429029608</w:t>
        </w:r>
      </w:hyperlink>
    </w:p>
    <w:bookmarkEnd w:id="202"/>
    <w:bookmarkStart w:id="20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3">
        <w:r>
          <w:rPr>
            <w:rStyle w:val="Hyperlink"/>
          </w:rPr>
          <w:t xml:space="preserve">https://doi.org/10.2307/2344614</w:t>
        </w:r>
      </w:hyperlink>
    </w:p>
    <w:bookmarkEnd w:id="204"/>
    <w:bookmarkStart w:id="20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5">
        <w:r>
          <w:rPr>
            <w:rStyle w:val="Hyperlink"/>
          </w:rPr>
          <w:t xml:space="preserve">https://www.sciencedirect.com/science/article/pii/S0048969723041505</w:t>
        </w:r>
      </w:hyperlink>
    </w:p>
    <w:bookmarkEnd w:id="206"/>
    <w:bookmarkStart w:id="20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7">
        <w:r>
          <w:rPr>
            <w:rStyle w:val="Hyperlink"/>
          </w:rPr>
          <w:t xml:space="preserve">https://doi.org/10.1093/oxfordjournals.pan.a004873</w:t>
        </w:r>
      </w:hyperlink>
    </w:p>
    <w:bookmarkEnd w:id="208"/>
    <w:bookmarkStart w:id="21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9">
        <w:r>
          <w:rPr>
            <w:rStyle w:val="Hyperlink"/>
          </w:rPr>
          <w:t xml:space="preserve">https://www.R-project.org/</w:t>
        </w:r>
      </w:hyperlink>
    </w:p>
    <w:bookmarkEnd w:id="210"/>
    <w:bookmarkStart w:id="21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1">
        <w:r>
          <w:rPr>
            <w:rStyle w:val="Hyperlink"/>
          </w:rPr>
          <w:t xml:space="preserve">https://docs.ropensci.org/rix/</w:t>
        </w:r>
      </w:hyperlink>
    </w:p>
    <w:bookmarkEnd w:id="212"/>
    <w:bookmarkStart w:id="21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3">
        <w:r>
          <w:rPr>
            <w:rStyle w:val="Hyperlink"/>
          </w:rPr>
          <w:t xml:space="preserve">https://doi.org/10.1177/08902070241239834</w:t>
        </w:r>
      </w:hyperlink>
    </w:p>
    <w:bookmarkEnd w:id="214"/>
    <w:bookmarkStart w:id="21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5">
        <w:r>
          <w:rPr>
            <w:rStyle w:val="Hyperlink"/>
          </w:rPr>
          <w:t xml:space="preserve">https://doi.org/10.31234/osf.io/4rznt</w:t>
        </w:r>
      </w:hyperlink>
    </w:p>
    <w:bookmarkEnd w:id="216"/>
    <w:bookmarkStart w:id="21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7">
        <w:r>
          <w:rPr>
            <w:rStyle w:val="Hyperlink"/>
          </w:rPr>
          <w:t xml:space="preserve">https://doi.org/10.1001/jamanetworkopen.2023.53401</w:t>
        </w:r>
      </w:hyperlink>
    </w:p>
    <w:bookmarkEnd w:id="218"/>
    <w:bookmarkStart w:id="22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9">
        <w:r>
          <w:rPr>
            <w:rStyle w:val="Hyperlink"/>
          </w:rPr>
          <w:t xml:space="preserve">https://doi.org/10.1037/1082-989x.11.1.54</w:t>
        </w:r>
      </w:hyperlink>
    </w:p>
    <w:bookmarkEnd w:id="220"/>
    <w:bookmarkStart w:id="22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1">
        <w:r>
          <w:rPr>
            <w:rStyle w:val="Hyperlink"/>
          </w:rPr>
          <w:t xml:space="preserve">https://mc-stan.org</w:t>
        </w:r>
      </w:hyperlink>
    </w:p>
    <w:bookmarkEnd w:id="222"/>
    <w:bookmarkStart w:id="22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3">
        <w:r>
          <w:rPr>
            <w:rStyle w:val="Hyperlink"/>
          </w:rPr>
          <w:t xml:space="preserve">https://doi.org/10.1007/s11409-017-9175-0</w:t>
        </w:r>
      </w:hyperlink>
    </w:p>
    <w:bookmarkEnd w:id="224"/>
    <w:bookmarkStart w:id="22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5">
        <w:r>
          <w:rPr>
            <w:rStyle w:val="Hyperlink"/>
          </w:rPr>
          <w:t xml:space="preserve">https://vuorre.com/posts/2019-02-18-analyze-analog-scale-ratings-with-zero-one-inflated-beta-models</w:t>
        </w:r>
      </w:hyperlink>
    </w:p>
    <w:bookmarkEnd w:id="226"/>
    <w:bookmarkStart w:id="22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7">
        <w:r>
          <w:rPr>
            <w:rStyle w:val="Hyperlink"/>
          </w:rPr>
          <w:t xml:space="preserve">https://doi.org/10.1002/acp.3724</w:t>
        </w:r>
      </w:hyperlink>
    </w:p>
    <w:bookmarkEnd w:id="228"/>
    <w:bookmarkStart w:id="23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9">
        <w:r>
          <w:rPr>
            <w:rStyle w:val="Hyperlink"/>
          </w:rPr>
          <w:t xml:space="preserve">https://doi.org/10.1111/gcb.17422</w:t>
        </w:r>
      </w:hyperlink>
    </w:p>
    <w:bookmarkEnd w:id="230"/>
    <w:bookmarkStart w:id="23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1">
        <w:r>
          <w:rPr>
            <w:rStyle w:val="Hyperlink"/>
          </w:rPr>
          <w:t xml:space="preserve">https://doi.org/10.1037/mac0000003</w:t>
        </w:r>
      </w:hyperlink>
    </w:p>
    <w:bookmarkEnd w:id="232"/>
    <w:bookmarkEnd w:id="233"/>
    <w:bookmarkEnd w:id="234"/>
    <w:bookmarkEnd w:id="23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79">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w:t>
      </w:r>
      <w:r>
        <w:t xml:space="preserve"> </w:t>
      </w:r>
      <w:r>
        <w:t xml:space="preserve">Gelman et al. (</w:t>
      </w:r>
      <w:hyperlink w:anchor="ref-gelman2013bayesian">
        <w:r>
          <w:rPr>
            <w:rStyle w:val="Hyperlink"/>
          </w:rPr>
          <w:t xml:space="preserve">2013</w:t>
        </w:r>
      </w:hyperlink>
      <w:r>
        <w:t xml:space="preserve">)</w:t>
      </w:r>
      <w:r>
        <w:t xml:space="preserve">;</w:t>
      </w:r>
      <w:r>
        <w:t xml:space="preserve"> </w:t>
      </w:r>
      <w:r>
        <w:t xml:space="preserve">McElreath (</w:t>
      </w:r>
      <w:hyperlink w:anchor="ref-mcelreath2020statistical">
        <w:r>
          <w:rPr>
            <w:rStyle w:val="Hyperlink"/>
          </w:rPr>
          <w:t xml:space="preserve">2020</w:t>
        </w:r>
      </w:hyperlink>
      <w:r>
        <w:t xml:space="preserve">)</w:t>
      </w:r>
      <w:r>
        <w:t xml:space="preserve">;</w:t>
      </w:r>
      <w:r>
        <w:t xml:space="preserve"> </w:t>
      </w:r>
      <w:r>
        <w:t xml:space="preserve">Kruschke (</w:t>
      </w:r>
      <w:hyperlink w:anchor="ref-kruschke2015doing">
        <w:r>
          <w:rPr>
            <w:rStyle w:val="Hyperlink"/>
          </w:rPr>
          <w:t xml:space="preserve">2015</w:t>
        </w:r>
      </w:hyperlink>
      <w:r>
        <w:t xml:space="preserve">)</w:t>
      </w:r>
      <w:r>
        <w:t xml:space="preserve">)</w:t>
      </w:r>
    </w:p>
  </w:footnote>
  <w:footnote w:id="80">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9">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20">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139" Target="media/rId139.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74" Target="media/rId74.png" /><Relationship Type="http://schemas.openxmlformats.org/officeDocument/2006/relationships/image" Id="rId135" Target="media/rId135.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21" Target="media/rId121.png" /><Relationship Type="http://schemas.openxmlformats.org/officeDocument/2006/relationships/hyperlink" Id="rId179" Target="http://dx.doi.org/10.59350/7p1a4-0tw75" TargetMode="External" /><Relationship Type="http://schemas.openxmlformats.org/officeDocument/2006/relationships/hyperlink" Id="rId148" Target="https://CRAN.R-project.org/package=marginaleffects" TargetMode="External" /><Relationship Type="http://schemas.openxmlformats.org/officeDocument/2006/relationships/hyperlink" Id="rId187" Target="https://CRAN.R-project.org/package=ordbetareg" TargetMode="External" /><Relationship Type="http://schemas.openxmlformats.org/officeDocument/2006/relationships/hyperlink" Id="rId211" Target="https://docs.ropensci.org/rix/" TargetMode="External" /><Relationship Type="http://schemas.openxmlformats.org/officeDocument/2006/relationships/hyperlink" Id="rId217" Target="https://doi.org/10.1001/jamanetworkopen.2023.53401" TargetMode="External" /><Relationship Type="http://schemas.openxmlformats.org/officeDocument/2006/relationships/hyperlink" Id="rId227" Target="https://doi.org/10.1002/acp.3724" TargetMode="External" /><Relationship Type="http://schemas.openxmlformats.org/officeDocument/2006/relationships/hyperlink" Id="rId173" Target="https://doi.org/10.1007/s11121-021-01302-y" TargetMode="External" /><Relationship Type="http://schemas.openxmlformats.org/officeDocument/2006/relationships/hyperlink" Id="rId223" Target="https://doi.org/10.1007/s11409-017-9175-0" TargetMode="External" /><Relationship Type="http://schemas.openxmlformats.org/officeDocument/2006/relationships/hyperlink" Id="rId182" Target="https://doi.org/10.1016/j.wocn.2016.08.006" TargetMode="External" /><Relationship Type="http://schemas.openxmlformats.org/officeDocument/2006/relationships/hyperlink" Id="rId185" Target="https://doi.org/10.1017/pan.2022.20" TargetMode="External" /><Relationship Type="http://schemas.openxmlformats.org/officeDocument/2006/relationships/hyperlink" Id="rId219" Target="https://doi.org/10.1037/1082-989x.11.1.54" TargetMode="External" /><Relationship Type="http://schemas.openxmlformats.org/officeDocument/2006/relationships/hyperlink" Id="rId231" Target="https://doi.org/10.1037/mac0000003" TargetMode="External" /><Relationship Type="http://schemas.openxmlformats.org/officeDocument/2006/relationships/hyperlink" Id="rId154" Target="https://doi.org/10.1037/met0000553" TargetMode="External" /><Relationship Type="http://schemas.openxmlformats.org/officeDocument/2006/relationships/hyperlink" Id="rId171" Target="https://doi.org/10.1080/0266476042000214501" TargetMode="External" /><Relationship Type="http://schemas.openxmlformats.org/officeDocument/2006/relationships/hyperlink" Id="rId207" Target="https://doi.org/10.1093/oxfordjournals.pan.a004873" TargetMode="External" /><Relationship Type="http://schemas.openxmlformats.org/officeDocument/2006/relationships/hyperlink" Id="rId199" Target="https://doi.org/10.1098/rsos.231713" TargetMode="External" /><Relationship Type="http://schemas.openxmlformats.org/officeDocument/2006/relationships/hyperlink" Id="rId229" Target="https://doi.org/10.1111/gcb.17422" TargetMode="External" /><Relationship Type="http://schemas.openxmlformats.org/officeDocument/2006/relationships/hyperlink" Id="rId213"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1" Target="https://doi.org/10.1201/9780429029608" TargetMode="External" /><Relationship Type="http://schemas.openxmlformats.org/officeDocument/2006/relationships/hyperlink" Id="rId167" Target="https://doi.org/10.18637/jss.v034.i02" TargetMode="External" /><Relationship Type="http://schemas.openxmlformats.org/officeDocument/2006/relationships/hyperlink" Id="rId158" Target="https://doi.org/10.18637/jss.v080.i01" TargetMode="External" /><Relationship Type="http://schemas.openxmlformats.org/officeDocument/2006/relationships/hyperlink" Id="rId150" Target="https://doi.org/10.18637/jss.v111.i09" TargetMode="External" /><Relationship Type="http://schemas.openxmlformats.org/officeDocument/2006/relationships/hyperlink" Id="rId191" Target="https://doi.org/10.21105/joss.00772" TargetMode="External" /><Relationship Type="http://schemas.openxmlformats.org/officeDocument/2006/relationships/hyperlink" Id="rId197" Target="https://doi.org/10.21105/joss.01541" TargetMode="External" /><Relationship Type="http://schemas.openxmlformats.org/officeDocument/2006/relationships/hyperlink" Id="rId203" Target="https://doi.org/10.2307/2344614" TargetMode="External" /><Relationship Type="http://schemas.openxmlformats.org/officeDocument/2006/relationships/hyperlink" Id="rId152"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15" Target="https://doi.org/10.31234/osf.io/4rznt" TargetMode="External" /><Relationship Type="http://schemas.openxmlformats.org/officeDocument/2006/relationships/hyperlink" Id="rId156" Target="https://doi.org/10.32614/RJ-2017-066" TargetMode="External" /><Relationship Type="http://schemas.openxmlformats.org/officeDocument/2006/relationships/hyperlink" Id="rId189" Target="https://doi.org/10.32614/rj-2015-019" TargetMode="External" /><Relationship Type="http://schemas.openxmlformats.org/officeDocument/2006/relationships/hyperlink" Id="rId195"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3"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9" Target="https://github.com/saudiwin/ordbetareg_pack" TargetMode="External" /><Relationship Type="http://schemas.openxmlformats.org/officeDocument/2006/relationships/hyperlink" Id="rId221" Target="https://mc-stan.org" TargetMode="External" /><Relationship Type="http://schemas.openxmlformats.org/officeDocument/2006/relationships/hyperlink" Id="rId175" Target="https://mc-stan.org/cmdstanr/" TargetMode="External" /><Relationship Type="http://schemas.openxmlformats.org/officeDocument/2006/relationships/hyperlink" Id="rId16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7" Target="https://stat.columbia.edu/~gelman/book/" TargetMode="External" /><Relationship Type="http://schemas.openxmlformats.org/officeDocument/2006/relationships/hyperlink" Id="rId225" Target="https://vuorre.com/posts/2019-02-18-analyze-analog-scale-ratings-with-zero-one-inflated-beta-models" TargetMode="External" /><Relationship Type="http://schemas.openxmlformats.org/officeDocument/2006/relationships/hyperlink" Id="rId209" Target="https://www.R-project.org/" TargetMode="External" /><Relationship Type="http://schemas.openxmlformats.org/officeDocument/2006/relationships/hyperlink" Id="rId236" Target="https://www.routledge.com/Bayes-Rules-An-Introduction-to-Applied-Bayesian-Modeling/Johnson-Ott-Dogucu/p/book/9780367255398" TargetMode="External" /><Relationship Type="http://schemas.openxmlformats.org/officeDocument/2006/relationships/hyperlink" Id="rId20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9" Target="http://dx.doi.org/10.59350/7p1a4-0tw75" TargetMode="External" /><Relationship Type="http://schemas.openxmlformats.org/officeDocument/2006/relationships/hyperlink" Id="rId148" Target="https://CRAN.R-project.org/package=marginaleffects" TargetMode="External" /><Relationship Type="http://schemas.openxmlformats.org/officeDocument/2006/relationships/hyperlink" Id="rId187" Target="https://CRAN.R-project.org/package=ordbetareg" TargetMode="External" /><Relationship Type="http://schemas.openxmlformats.org/officeDocument/2006/relationships/hyperlink" Id="rId211" Target="https://docs.ropensci.org/rix/" TargetMode="External" /><Relationship Type="http://schemas.openxmlformats.org/officeDocument/2006/relationships/hyperlink" Id="rId217" Target="https://doi.org/10.1001/jamanetworkopen.2023.53401" TargetMode="External" /><Relationship Type="http://schemas.openxmlformats.org/officeDocument/2006/relationships/hyperlink" Id="rId227" Target="https://doi.org/10.1002/acp.3724" TargetMode="External" /><Relationship Type="http://schemas.openxmlformats.org/officeDocument/2006/relationships/hyperlink" Id="rId173" Target="https://doi.org/10.1007/s11121-021-01302-y" TargetMode="External" /><Relationship Type="http://schemas.openxmlformats.org/officeDocument/2006/relationships/hyperlink" Id="rId223" Target="https://doi.org/10.1007/s11409-017-9175-0" TargetMode="External" /><Relationship Type="http://schemas.openxmlformats.org/officeDocument/2006/relationships/hyperlink" Id="rId182" Target="https://doi.org/10.1016/j.wocn.2016.08.006" TargetMode="External" /><Relationship Type="http://schemas.openxmlformats.org/officeDocument/2006/relationships/hyperlink" Id="rId185" Target="https://doi.org/10.1017/pan.2022.20" TargetMode="External" /><Relationship Type="http://schemas.openxmlformats.org/officeDocument/2006/relationships/hyperlink" Id="rId219" Target="https://doi.org/10.1037/1082-989x.11.1.54" TargetMode="External" /><Relationship Type="http://schemas.openxmlformats.org/officeDocument/2006/relationships/hyperlink" Id="rId231" Target="https://doi.org/10.1037/mac0000003" TargetMode="External" /><Relationship Type="http://schemas.openxmlformats.org/officeDocument/2006/relationships/hyperlink" Id="rId154" Target="https://doi.org/10.1037/met0000553" TargetMode="External" /><Relationship Type="http://schemas.openxmlformats.org/officeDocument/2006/relationships/hyperlink" Id="rId171" Target="https://doi.org/10.1080/0266476042000214501" TargetMode="External" /><Relationship Type="http://schemas.openxmlformats.org/officeDocument/2006/relationships/hyperlink" Id="rId207" Target="https://doi.org/10.1093/oxfordjournals.pan.a004873" TargetMode="External" /><Relationship Type="http://schemas.openxmlformats.org/officeDocument/2006/relationships/hyperlink" Id="rId199" Target="https://doi.org/10.1098/rsos.231713" TargetMode="External" /><Relationship Type="http://schemas.openxmlformats.org/officeDocument/2006/relationships/hyperlink" Id="rId229" Target="https://doi.org/10.1111/gcb.17422" TargetMode="External" /><Relationship Type="http://schemas.openxmlformats.org/officeDocument/2006/relationships/hyperlink" Id="rId213"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1" Target="https://doi.org/10.1201/9780429029608" TargetMode="External" /><Relationship Type="http://schemas.openxmlformats.org/officeDocument/2006/relationships/hyperlink" Id="rId167" Target="https://doi.org/10.18637/jss.v034.i02" TargetMode="External" /><Relationship Type="http://schemas.openxmlformats.org/officeDocument/2006/relationships/hyperlink" Id="rId158" Target="https://doi.org/10.18637/jss.v080.i01" TargetMode="External" /><Relationship Type="http://schemas.openxmlformats.org/officeDocument/2006/relationships/hyperlink" Id="rId150" Target="https://doi.org/10.18637/jss.v111.i09" TargetMode="External" /><Relationship Type="http://schemas.openxmlformats.org/officeDocument/2006/relationships/hyperlink" Id="rId191" Target="https://doi.org/10.21105/joss.00772" TargetMode="External" /><Relationship Type="http://schemas.openxmlformats.org/officeDocument/2006/relationships/hyperlink" Id="rId197" Target="https://doi.org/10.21105/joss.01541" TargetMode="External" /><Relationship Type="http://schemas.openxmlformats.org/officeDocument/2006/relationships/hyperlink" Id="rId203" Target="https://doi.org/10.2307/2344614" TargetMode="External" /><Relationship Type="http://schemas.openxmlformats.org/officeDocument/2006/relationships/hyperlink" Id="rId152"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15" Target="https://doi.org/10.31234/osf.io/4rznt" TargetMode="External" /><Relationship Type="http://schemas.openxmlformats.org/officeDocument/2006/relationships/hyperlink" Id="rId156" Target="https://doi.org/10.32614/RJ-2017-066" TargetMode="External" /><Relationship Type="http://schemas.openxmlformats.org/officeDocument/2006/relationships/hyperlink" Id="rId189" Target="https://doi.org/10.32614/rj-2015-019" TargetMode="External" /><Relationship Type="http://schemas.openxmlformats.org/officeDocument/2006/relationships/hyperlink" Id="rId195"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3"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9" Target="https://github.com/saudiwin/ordbetareg_pack" TargetMode="External" /><Relationship Type="http://schemas.openxmlformats.org/officeDocument/2006/relationships/hyperlink" Id="rId221" Target="https://mc-stan.org" TargetMode="External" /><Relationship Type="http://schemas.openxmlformats.org/officeDocument/2006/relationships/hyperlink" Id="rId175" Target="https://mc-stan.org/cmdstanr/" TargetMode="External" /><Relationship Type="http://schemas.openxmlformats.org/officeDocument/2006/relationships/hyperlink" Id="rId16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7" Target="https://stat.columbia.edu/~gelman/book/" TargetMode="External" /><Relationship Type="http://schemas.openxmlformats.org/officeDocument/2006/relationships/hyperlink" Id="rId225" Target="https://vuorre.com/posts/2019-02-18-analyze-analog-scale-ratings-with-zero-one-inflated-beta-models" TargetMode="External" /><Relationship Type="http://schemas.openxmlformats.org/officeDocument/2006/relationships/hyperlink" Id="rId209" Target="https://www.R-project.org/" TargetMode="External" /><Relationship Type="http://schemas.openxmlformats.org/officeDocument/2006/relationships/hyperlink" Id="rId236" Target="https://www.routledge.com/Bayes-Rules-An-Introduction-to-Applied-Bayesian-Modeling/Johnson-Ott-Dogucu/p/book/9780367255398" TargetMode="External" /><Relationship Type="http://schemas.openxmlformats.org/officeDocument/2006/relationships/hyperlink" Id="rId20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9963</vt:lpwstr>
  </property>
  <property fmtid="{D5CDD505-2E9C-101B-9397-08002B2CF9AE}" pid="63" name="zerocitations">
    <vt:lpwstr>False</vt:lpwstr>
  </property>
</Properties>
</file>