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63.png" ContentType="image/png"/>
  <Override PartName="/word/media/rId21.svg" ContentType="image/svg+xml"/>
  <Override PartName="/word/media/rId46.png" ContentType="image/png"/>
  <Override PartName="/word/media/rId95.png" ContentType="image/png"/>
  <Override PartName="/word/media/rId59.png" ContentType="image/png"/>
  <Override PartName="/word/media/rId142.png" ContentType="image/png"/>
  <Override PartName="/word/media/rId85.png" ContentType="image/png"/>
  <Override PartName="/word/media/rId77.png" ContentType="image/png"/>
  <Override PartName="/word/media/rId138.png" ContentType="image/png"/>
  <Override PartName="/word/media/rId73.png" ContentType="image/png"/>
  <Override PartName="/word/media/rId113.png" ContentType="image/png"/>
  <Override PartName="/word/media/rId1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School</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Data, code, and materials for this manusscript can be found at.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writing – original draft, writing – review &amp; editing, data curation, project administration, writing – review &amp; editing, formal analysis, software, and visualization. </w:t>
      </w:r>
      <w:r>
        <w:rPr>
          <w:i/>
          <w:iCs/>
        </w:rPr>
        <w:t xml:space="preserve">Robert Kubinec</w:t>
      </w:r>
      <w:r>
        <w:rPr>
          <w:b/>
          <w:bCs/>
        </w:rPr>
        <w:t xml:space="preserve">: </w:t>
      </w:r>
      <w:r>
        <w:t xml:space="preserve">writing – review &amp; editing, formal analysis, and visualization. </w:t>
      </w:r>
      <w:r>
        <w:rPr>
          <w:i/>
          <w:iCs/>
        </w:rPr>
        <w:t xml:space="preserve">Chelsea M. Parlett Pelleriti</w:t>
      </w:r>
      <w:r>
        <w:rPr>
          <w:b/>
          <w:bCs/>
        </w:rPr>
        <w:t xml:space="preserve">: </w:t>
      </w:r>
      <w:r>
        <w:t xml:space="preserve">formal analysis, writing – review &amp; editing, and validation. </w:t>
      </w:r>
      <w:r>
        <w:rPr>
          <w:i/>
          <w:iCs/>
        </w:rPr>
        <w:t xml:space="preserve">Matti Vuorre</w:t>
      </w:r>
      <w:r>
        <w:rPr>
          <w:b/>
          <w:bCs/>
        </w:rPr>
        <w:t xml:space="preserve">: </w:t>
      </w:r>
      <w:r>
        <w:t xml:space="preserve">writing – review &amp; editing, validation, and formal analysis</w:t>
      </w:r>
    </w:p>
    <w:p>
      <w:pPr>
        <w:pStyle w:val="BodyText"/>
      </w:pPr>
      <w:r>
        <w:t xml:space="preserve">Correspondence concerning this article should be addressed to Jason Geller, Department of Psychology and Neuroscience, Boston College, McGuinn 300,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10120</w:t>
      </w:r>
    </w:p>
    <w:p>
      <w:r>
        <w:br w:type="page"/>
      </w:r>
    </w:p>
    <w:bookmarkEnd w:id="40"/>
    <w:bookmarkStart w:id="55" w:name="firstheader"/>
    <w:p>
      <w:pPr>
        <w:pStyle w:val="Heading1"/>
      </w:pPr>
      <w:r>
        <w:t xml:space="preserve">A Beta Way: A Tutorial For Using Beta Regression in Psychological Research</w:t>
      </w:r>
    </w:p>
    <w:p>
      <w:pPr>
        <w:pStyle w:val="FirstParagraph"/>
      </w:pPr>
      <w:r>
        <w:t xml:space="preserve">Many important outcomes in psychological research can be expressed as proportions or percentages: the proportion of correct responses on a test</w:t>
      </w:r>
      <w:r>
        <w:t xml:space="preserve"> </w:t>
      </w:r>
      <w:r>
        <w:t xml:space="preserve">(e.g.,</w:t>
      </w:r>
      <w:r>
        <w:t xml:space="preserve"> </w:t>
      </w:r>
      <w:hyperlink w:anchor="ref-kornell2008">
        <w:r>
          <w:rPr>
            <w:rStyle w:val="Hyperlink"/>
          </w:rPr>
          <w:t xml:space="preserve">Kornell &amp; Bjork, 2008</w:t>
        </w:r>
      </w:hyperlink>
      <w:r>
        <w:t xml:space="preserve">)</w:t>
      </w:r>
      <w:r>
        <w:t xml:space="preserve">, the proportion of looks on a particular stimulus in an eye-tracking task</w:t>
      </w:r>
      <w:r>
        <w:t xml:space="preserve"> </w:t>
      </w:r>
      <w:r>
        <w:t xml:space="preserve">(e.g.,</w:t>
      </w:r>
      <w:r>
        <w:t xml:space="preserve"> </w:t>
      </w:r>
      <w:hyperlink w:anchor="ref-james2025">
        <w:r>
          <w:rPr>
            <w:rStyle w:val="Hyperlink"/>
          </w:rPr>
          <w:t xml:space="preserve">James et al., 2025</w:t>
        </w:r>
      </w:hyperlink>
      <w:r>
        <w:t xml:space="preserve">)</w:t>
      </w:r>
      <w:r>
        <w:t xml:space="preserve">, or the percentage of agreement with a given statement</w:t>
      </w:r>
      <w:r>
        <w:t xml:space="preserve"> </w:t>
      </w:r>
      <w:r>
        <w:t xml:space="preserve">(e.g.,</w:t>
      </w:r>
      <w:r>
        <w:t xml:space="preserve"> </w:t>
      </w:r>
      <w:hyperlink w:anchor="ref-Costello2024">
        <w:r>
          <w:rPr>
            <w:rStyle w:val="Hyperlink"/>
          </w:rPr>
          <w:t xml:space="preserve">Costello et al., 2024</w:t>
        </w:r>
      </w:hyperlink>
      <w:r>
        <w:t xml:space="preserve">)</w:t>
      </w:r>
      <w:r>
        <w:t xml:space="preserve">. As a practical example from educational and cognitive research, one popular way to assess learning is by looking at the proportion of correct responses on a test. To illustrate, consider a memory experiment where participants read a short passage on a specific topic. After a brief distractor task, they complete a final memory test consisting of 10 short-answer questions, each assigned a different point value (e.g., question 1 might be worth 4 points, while question 2 might be worth 1 point). The primary outcome measure could be the proportion of points earned on each question relative to the total possible points for each question. While it is usually possible to model the components of the outcome separately, such as with the Poisson distribution for the raw sum, modeling the outcome as a proportion permits comparability across scales and may be the only option if the underlying components of the scale are not available, such as with secondary data.</w:t>
      </w:r>
    </w:p>
    <w:p>
      <w:pPr>
        <w:pStyle w:val="BodyText"/>
      </w:pPr>
      <w:r>
        <w:t xml:space="preserve">While in this paper we will focus on proportions—responses that lie between 0 and 1–it is important to note that our analysis applies to any bounded continuous scale. Any bounded scale can be mapped to lie within 0 and 1 without resulting in a loss of information as the transformation is linear.</w:t>
      </w:r>
      <w:r>
        <w:rPr>
          <w:rStyle w:val="FootnoteReference"/>
        </w:rPr>
        <w:footnoteReference w:id="41"/>
      </w:r>
      <w:r>
        <w:t xml:space="preserve"> </w:t>
      </w:r>
      <w:r>
        <w:t xml:space="preserve">Consequently, a scale that has natural end points of -1,234 and +8,451–or any other end points on the real number line short of infinity—can be modeled using the approaches we describe in this paper.</w:t>
      </w:r>
    </w:p>
    <w:p>
      <w:pPr>
        <w:pStyle w:val="BodyText"/>
      </w:pPr>
      <w:r>
        <w:t xml:space="preserve">A key question arises:</w:t>
      </w:r>
      <w:r>
        <w:t xml:space="preserve"> </w:t>
      </w:r>
      <w:r>
        <w:rPr>
          <w:b/>
          <w:bCs/>
        </w:rPr>
        <w:t xml:space="preserve">how should proportional data be analyzed?</w:t>
      </w:r>
      <w:r>
        <w:t xml:space="preserve"> </w:t>
      </w:r>
      <w:r>
        <w:t xml:space="preserve">In psychology, there is a strong reliance on linear models (e.g.,</w:t>
      </w:r>
      <w:r>
        <w:t xml:space="preserve"> </w:t>
      </w:r>
      <w:r>
        <w:rPr>
          <w:i/>
          <w:iCs/>
        </w:rPr>
        <w:t xml:space="preserve">t</w:t>
      </w:r>
      <w:r>
        <w:t xml:space="preserve">-tests, ANOVAs, and regressions). However, linear models assume: (1) However, linear models assume: (1) the residuals of the outcome are normally distributed (i.e., Gaussian), (2) an unbounded response scale (ranging from</w:t>
      </w:r>
      <w:r>
        <w:t xml:space="preserve"> </w:t>
      </w:r>
      <m:oMath>
        <m:r>
          <m:rPr>
            <m:sty m:val="p"/>
          </m:rPr>
          <m:t>−</m:t>
        </m:r>
        <m:r>
          <m:rPr>
            <m:sty m:val="p"/>
          </m:rPr>
          <m:t>∞</m:t>
        </m:r>
      </m:oMath>
      <w:r>
        <w:t xml:space="preserve"> </w:t>
      </w:r>
      <w:r>
        <w:t xml:space="preserve">to</w:t>
      </w:r>
      <w:r>
        <w:t xml:space="preserve"> </w:t>
      </w:r>
      <m:oMath>
        <m:r>
          <m:rPr>
            <m:sty m:val="p"/>
          </m:rPr>
          <m:t>−</m:t>
        </m:r>
        <m:r>
          <m:rPr>
            <m:sty m:val="p"/>
          </m:rPr>
          <m:t>∞</m:t>
        </m:r>
      </m:oMath>
      <w:r>
        <w:t xml:space="preserve">), and (3) constant variance (homoscedasticity). These assumptions are rarely met in psychological data</w:t>
      </w:r>
      <w:r>
        <w:t xml:space="preserve"> </w:t>
      </w:r>
      <w:r>
        <w:t xml:space="preserve">(</w:t>
      </w:r>
      <w:hyperlink w:anchor="ref-sladekova2024unicorns">
        <w:r>
          <w:rPr>
            <w:rStyle w:val="Hyperlink"/>
          </w:rPr>
          <w:t xml:space="preserve">Sladekova &amp; Field, 2024</w:t>
        </w:r>
      </w:hyperlink>
      <w:r>
        <w:t xml:space="preserve">)</w:t>
      </w:r>
      <w:r>
        <w:t xml:space="preserve">. They are especially problematic for proportional data, which are naturally bounded between 0 and 1 and often exhibit heteroscedasticity—non-constant variance—particularly near the boundaries</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w:t>
      </w:r>
      <w:hyperlink w:anchor="ref-smithson2006">
        <w:r>
          <w:rPr>
            <w:rStyle w:val="Hyperlink"/>
          </w:rPr>
          <w:t xml:space="preserve">Smithson &amp; Verkuilen, 2006</w:t>
        </w:r>
      </w:hyperlink>
      <w:r>
        <w:t xml:space="preserve">)</w:t>
      </w:r>
      <w:r>
        <w:t xml:space="preserve">. Violating these assumptions can lead to biased estimates and misleading inferences, with the bias increasing in the amount of data clustered near boundaries.</w:t>
      </w:r>
    </w:p>
    <w:p>
      <w:pPr>
        <w:pStyle w:val="BodyText"/>
      </w:pPr>
      <w:r>
        <w:t xml:space="preserve">Another option extends the linear model framework to accommodate non-normal outcome distributions. For example, binomial or Bernoulli models (commonly referred to as logistic regression when a logit link function is used) are well-suited for binary outcomes or counts of successes out of a fixed number of trials. However, these models require discretized responses and may fall short when data exhibit over-dispersion by clustering near the boundaries of the scale.</w:t>
      </w:r>
    </w:p>
    <w:p>
      <w:pPr>
        <w:pStyle w:val="BodyText"/>
      </w:pPr>
      <w:r>
        <w:t xml:space="preserve">The challenges of analyzing proportional data are not new</w:t>
      </w:r>
      <w:r>
        <w:t xml:space="preserve"> </w:t>
      </w:r>
      <w:r>
        <w:t xml:space="preserve">(see</w:t>
      </w:r>
      <w:r>
        <w:t xml:space="preserve"> </w:t>
      </w:r>
      <w:hyperlink w:anchor="ref-bartlett1936">
        <w:r>
          <w:rPr>
            <w:rStyle w:val="Hyperlink"/>
          </w:rPr>
          <w:t xml:space="preserve">Bartlett, 1936</w:t>
        </w:r>
      </w:hyperlink>
      <w:r>
        <w:t xml:space="preserve">)</w:t>
      </w:r>
      <w:r>
        <w:t xml:space="preserve">. Fortunately, several existing approaches address the limitations of commonly used models. One such approach is Beta regression, an extension of the generalized linear model (GLM) that employs the Beta distribution</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Beta regression offers a flexible and robust solution for modeling proportional data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p>
    <w:bookmarkStart w:id="44" w:name="a-beta-way-is-possible"/>
    <w:p>
      <w:pPr>
        <w:pStyle w:val="Heading2"/>
      </w:pPr>
      <w:r>
        <w:t xml:space="preserve">A Beta Way Is Possible</w:t>
      </w:r>
    </w:p>
    <w:p>
      <w:pPr>
        <w:pStyle w:val="FirstParagraph"/>
      </w:pPr>
      <w:r>
        <w:t xml:space="preserve">With the combination of open-source programming languages like R</w:t>
      </w:r>
      <w:r>
        <w:t xml:space="preserve"> </w:t>
      </w:r>
      <w:r>
        <w:t xml:space="preserve">(</w:t>
      </w:r>
      <w:hyperlink w:anchor="ref-R">
        <w:r>
          <w:rPr>
            <w:rStyle w:val="Hyperlink"/>
          </w:rPr>
          <w:t xml:space="preserve">R Core Team, 2024</w:t>
        </w:r>
      </w:hyperlink>
      <w:r>
        <w:t xml:space="preserve">)</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w:t>
      </w:r>
      <w:hyperlink w:anchor="ref-bendixen2023">
        <w:r>
          <w:rPr>
            <w:rStyle w:val="Hyperlink"/>
          </w:rPr>
          <w:t xml:space="preserve">Bendixen &amp; Purzycki, 2023</w:t>
        </w:r>
      </w:hyperlink>
      <w:r>
        <w:t xml:space="preserve">;</w:t>
      </w:r>
      <w:r>
        <w:t xml:space="preserve"> </w:t>
      </w:r>
      <w:hyperlink w:anchor="ref-coretta2025bayesian">
        <w:r>
          <w:rPr>
            <w:rStyle w:val="Hyperlink"/>
          </w:rPr>
          <w:t xml:space="preserve">Coretta &amp; Bürkner, 2025</w:t>
        </w:r>
      </w:hyperlink>
      <w:r>
        <w:t xml:space="preserve">;</w:t>
      </w:r>
      <w:r>
        <w:t xml:space="preserve"> </w:t>
      </w:r>
      <w:hyperlink w:anchor="ref-heiss2021">
        <w:r>
          <w:rPr>
            <w:rStyle w:val="Hyperlink"/>
          </w:rPr>
          <w:t xml:space="preserve">Heiss, 2021</w:t>
        </w:r>
      </w:hyperlink>
      <w:r>
        <w:t xml:space="preserve">;</w:t>
      </w:r>
      <w:r>
        <w:t xml:space="preserve"> </w:t>
      </w:r>
      <w:hyperlink w:anchor="ref-smithson2006">
        <w:r>
          <w:rPr>
            <w:rStyle w:val="Hyperlink"/>
          </w:rPr>
          <w:t xml:space="preserve">Smithson &amp; Verkuilen, 2006</w:t>
        </w:r>
      </w:hyperlink>
      <w:r>
        <w:t xml:space="preserve">;</w:t>
      </w:r>
      <w:r>
        <w:t xml:space="preserve"> </w:t>
      </w:r>
      <w:hyperlink w:anchor="ref-vuorre2019">
        <w:r>
          <w:rPr>
            <w:rStyle w:val="Hyperlink"/>
          </w:rPr>
          <w:t xml:space="preserve">Vuorre, 2019</w:t>
        </w:r>
      </w:hyperlink>
      <w:r>
        <w:t xml:space="preserve">)</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2">
        <w:r>
          <w:rPr>
            <w:rStyle w:val="Hyperlink"/>
          </w:rPr>
          <w:t xml:space="preserve">https://github.com/jgeller112/beta_regression_tutorial</w:t>
        </w:r>
      </w:hyperlink>
      <w:r>
        <w:rPr>
          <w:rStyle w:val="FootnoteReference"/>
        </w:rPr>
        <w:footnoteReference w:id="43"/>
      </w:r>
      <w:r>
        <w:t xml:space="preserve">.</w:t>
      </w:r>
    </w:p>
    <w:bookmarkEnd w:id="44"/>
    <w:bookmarkStart w:id="50"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Common distributions used within the generalized linear model frameworks often fail to capture these properties adequately, which can necessitate alternative modeling strategies.</w:t>
      </w:r>
    </w:p>
    <w:p>
      <w:pPr>
        <w:pStyle w:val="BodyText"/>
      </w:pPr>
      <w:r>
        <w:t xml:space="preserve">While we do not have time to delve fully into its derivation, the Beta distribution is a preferred distribution for this type of response because of certain unique properties. The Beta distribution is defined as a distribution of the uncertainty of probabilities, which must lie within 0 and 1. As a consequence, the Beta distribution is the maximum entropy distribution for any bounded continuous random variable, which means that the Beta distribution can represent the full range of possibilities of such a scale.</w:t>
      </w:r>
      <w:r>
        <w:rPr>
          <w:rStyle w:val="FootnoteReference"/>
        </w:rPr>
        <w:footnoteReference w:id="45"/>
      </w:r>
      <w:r>
        <w:t xml:space="preserve"> </w:t>
      </w:r>
      <w:r>
        <w:t xml:space="preserve">As a consequence, if we have a continuous scale with upper and lower bounds–and no other special conditions–the Beta distribution will in principle provide a very good approximation of the uncertainty of the scale.</w:t>
      </w:r>
    </w:p>
    <w:p>
      <w:pPr>
        <w:pStyle w:val="BodyText"/>
      </w:pPr>
      <w:r>
        <w:t xml:space="preserve">Typically, the expected value (or mean) of the response variable is the central estimand scholars want to estimate. A model should specify how this expected value depends on explanatory variables through two main components: a linear predictor, which combines the explanatory variables in a linear form (</w:t>
      </w:r>
      <m:oMath>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w:r>
        <w:t xml:space="preserve">, etc.), and a link function, which connects the expected value of the response variable to the linear predictor (e.g,</w:t>
      </w:r>
      <w:r>
        <w:t xml:space="preserve"> </w:t>
      </w:r>
      <m:oMath>
        <m:r>
          <m:t>E</m:t>
        </m:r>
        <m:d>
          <m:dPr>
            <m:begChr m:val="["/>
            <m:sepChr m:val=""/>
            <m:endChr m:val="]"/>
            <m:grow/>
          </m:dPr>
          <m:e>
            <m:r>
              <m:t>Y</m:t>
            </m:r>
          </m:e>
        </m:d>
        <m:r>
          <m:rPr>
            <m:sty m:val="p"/>
          </m:rPr>
          <m:t>=</m:t>
        </m:r>
        <m:r>
          <m:t>g</m:t>
        </m:r>
        <m:d>
          <m:dPr>
            <m:begChr m:val="("/>
            <m:sepChr m:val=""/>
            <m:endChr m:val=")"/>
            <m:grow/>
          </m:dPr>
          <m:e>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e>
        </m:d>
      </m:oMath>
      <w:r>
        <w:t xml:space="preserve">). In addition, a random component specifies the distribution of the response variable around its expected value (such as Poisson or binomial distributions, which belong to the exponential family)</w:t>
      </w:r>
      <w:r>
        <w:t xml:space="preserve"> </w:t>
      </w:r>
      <w:r>
        <w:t xml:space="preserve">(</w:t>
      </w:r>
      <w:hyperlink w:anchor="ref-nelder1972">
        <w:r>
          <w:rPr>
            <w:rStyle w:val="Hyperlink"/>
          </w:rPr>
          <w:t xml:space="preserve">Nelder &amp; Wedderburn, 1972</w:t>
        </w:r>
      </w:hyperlink>
      <w:r>
        <w:t xml:space="preserve">)</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49"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47" name="Picture"/>
            <a:graphic>
              <a:graphicData uri="http://schemas.openxmlformats.org/drawingml/2006/picture">
                <pic:pic>
                  <pic:nvPicPr>
                    <pic:cNvPr descr="ms_files/figure-docx/fig-curves-1.png" id="48" name="Picture"/>
                    <pic:cNvPicPr>
                      <a:picLocks noChangeArrowheads="1" noChangeAspect="1"/>
                    </pic:cNvPicPr>
                  </pic:nvPicPr>
                  <pic:blipFill>
                    <a:blip r:embed="rId46"/>
                    <a:stretch>
                      <a:fillRect/>
                    </a:stretch>
                  </pic:blipFill>
                  <pic:spPr bwMode="auto">
                    <a:xfrm>
                      <a:off x="0" y="0"/>
                      <a:ext cx="5504749" cy="2862469"/>
                    </a:xfrm>
                    <a:prstGeom prst="rect">
                      <a:avLst/>
                    </a:prstGeom>
                    <a:noFill/>
                    <a:ln w="9525">
                      <a:noFill/>
                      <a:headEnd/>
                      <a:tailEnd/>
                    </a:ln>
                  </pic:spPr>
                </pic:pic>
              </a:graphicData>
            </a:graphic>
          </wp:inline>
        </w:drawing>
      </w:r>
    </w:p>
    <w:bookmarkEnd w:id="49"/>
    <w:bookmarkEnd w:id="50"/>
    <w:bookmarkStart w:id="52" w:name="i-cant-believe-its-not-beta"/>
    <w:p>
      <w:pPr>
        <w:pStyle w:val="Heading2"/>
      </w:pPr>
      <w:r>
        <w:t xml:space="preserve">I Can’t Believe It’s Not Beta</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 because uncertainty intervals need to adjust for how close the value of the response is to the boundary.</w:t>
      </w:r>
    </w:p>
    <w:p>
      <w:pPr>
        <w:pStyle w:val="BodyText"/>
      </w:pPr>
      <w:bookmarkStart w:id="51"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51"/>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2"/>
    <w:bookmarkStart w:id="54"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w:t>
      </w:r>
      <w:hyperlink w:anchor="ref-gelman2013bayesian">
        <w:r>
          <w:rPr>
            <w:rStyle w:val="Hyperlink"/>
          </w:rPr>
          <w:t xml:space="preserve">Gelman et al., 2013</w:t>
        </w:r>
      </w:hyperlink>
      <w:r>
        <w:t xml:space="preserve">;</w:t>
      </w:r>
      <w:r>
        <w:t xml:space="preserve"> </w:t>
      </w:r>
      <w:hyperlink w:anchor="ref-bayes_rules">
        <w:r>
          <w:rPr>
            <w:rStyle w:val="Hyperlink"/>
          </w:rPr>
          <w:t xml:space="preserve">Johnson et al., 2022</w:t>
        </w:r>
      </w:hyperlink>
      <w:r>
        <w:t xml:space="preserve">;</w:t>
      </w:r>
      <w:r>
        <w:t xml:space="preserve"> </w:t>
      </w:r>
      <w:hyperlink w:anchor="ref-mcelreath2020statistical">
        <w:r>
          <w:rPr>
            <w:rStyle w:val="Hyperlink"/>
          </w:rPr>
          <w:t xml:space="preserve">McElreath, 2020</w:t>
        </w:r>
      </w:hyperlink>
      <w:r>
        <w:t xml:space="preserve">)</w:t>
      </w:r>
      <w:r>
        <w:t xml:space="preserve">. Generally speaking, most Bayesian analyses can also be implemented with frequentist methods like maximum likelihood, but more complex techniques may require adjustments like bootstrapping. The main limitation of Bayesian modeling is that it is slower than frequentist approaches, but we note that modern Bayesian computation engines are reasonably fast and that explanatory modeling necessarily emphasizes deriving appropriate estimands over computational convenience. We use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a high-level interface to the probabilistic programming language Stan</w:t>
      </w:r>
      <w:r>
        <w:t xml:space="preserve"> </w:t>
      </w:r>
      <w:r>
        <w:t xml:space="preserve">(</w:t>
      </w:r>
      <w:hyperlink w:anchor="ref-stan2023">
        <w:r>
          <w:rPr>
            <w:rStyle w:val="Hyperlink"/>
          </w:rPr>
          <w:t xml:space="preserve">Team, 2023</w:t>
        </w:r>
      </w:hyperlink>
      <w:r>
        <w:t xml:space="preserve">)</w:t>
      </w:r>
      <w:r>
        <w:t xml:space="preserve">, because it uses standard R regression formula syntax but extends its scope while remaining accessible for non-expert users. The package also implements parallel processing that can dramatically shorten computational times for larger datasets.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w:t>
      </w:r>
      <w:r>
        <w:t xml:space="preserve"> </w:t>
      </w:r>
      <w:r>
        <w:rPr>
          <w:rStyle w:val="VerbatimChar"/>
        </w:rPr>
        <w:t xml:space="preserve">brms</w:t>
      </w:r>
      <w:r>
        <w:t xml:space="preserve"> </w:t>
      </w:r>
      <w:r>
        <w:t xml:space="preserve">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the Bayesian models run 2,000 posterior draws,</w:t>
      </w:r>
      <w:r>
        <w:rPr>
          <w:rStyle w:val="FootnoteReference"/>
        </w:rPr>
        <w:footnoteReference w:id="53"/>
      </w:r>
      <w:r>
        <w:t xml:space="preserve"> </w:t>
      </w:r>
      <w:r>
        <w:t xml:space="preserve">which allow us to compute quantities such as the posterior mean (similar to a frequentist point estimate) and the 95% credible interval (Cr.I), which is often compared to a confidence interval. In addition, we report the</w:t>
      </w:r>
      <w:r>
        <w:t xml:space="preserve"> </w:t>
      </w:r>
      <w:r>
        <w:rPr>
          <w:i/>
          <w:iCs/>
        </w:rPr>
        <w:t xml:space="preserve">probability of direction</w:t>
      </w:r>
      <w:r>
        <w:t xml:space="preserve"> </w:t>
      </w:r>
      <w:r>
        <w:t xml:space="preserve">(pd), which reflects the probability that a parameter is strictly positive or negative. A pd of 95%, 97.5%, 99.5%, and 99.95% corresponds approximately to a point estimate with two-sided</w:t>
      </w:r>
      <w:r>
        <w:t xml:space="preserve"> </w:t>
      </w:r>
      <w:r>
        <w:rPr>
          <w:i/>
          <w:iCs/>
        </w:rPr>
        <w:t xml:space="preserve">p</w:t>
      </w:r>
      <w:r>
        <w:t xml:space="preserve">-values of 0.10, 0.05, 0.01, and 0.001, respectively (approximately</w:t>
      </w:r>
      <w:r>
        <w:t xml:space="preserve"> </w:t>
      </w:r>
      <m:oMath>
        <m:r>
          <m:t>1</m:t>
        </m:r>
        <m:r>
          <m:rPr>
            <m:sty m:val="p"/>
          </m:rPr>
          <m:t>−</m:t>
        </m:r>
        <m:f>
          <m:fPr>
            <m:type m:val="bar"/>
          </m:fPr>
          <m:num>
            <m:r>
              <m:t>p</m:t>
            </m:r>
          </m:num>
          <m:den>
            <m:r>
              <m:t>2</m:t>
            </m:r>
          </m:den>
        </m:f>
      </m:oMath>
      <w:r>
        <w:t xml:space="preserve">). For directional hypotheses, the pd can be interpreted as roughly equivalent to one minus the</w:t>
      </w:r>
      <w:r>
        <w:t xml:space="preserve"> </w:t>
      </w:r>
      <w:r>
        <w:rPr>
          <w:i/>
          <w:iCs/>
        </w:rPr>
        <w:t xml:space="preserve">p</w:t>
      </w:r>
      <w:r>
        <w:t xml:space="preserve">-value</w:t>
      </w:r>
      <w:r>
        <w:t xml:space="preserve"> </w:t>
      </w:r>
      <w:r>
        <w:t xml:space="preserve">(</w:t>
      </w:r>
      <w:hyperlink w:anchor="ref-marsmanThreeInsightsBayesian2016">
        <w:r>
          <w:rPr>
            <w:rStyle w:val="Hyperlink"/>
          </w:rPr>
          <w:t xml:space="preserve">Marsman &amp; Wagenmakers, 2016</w:t>
        </w:r>
      </w:hyperlink>
      <w:r>
        <w:t xml:space="preserve">)</w:t>
      </w:r>
      <w:r>
        <w:t xml:space="preserve">.</w:t>
      </w:r>
    </w:p>
    <w:p>
      <w:pPr>
        <w:pStyle w:val="BodyText"/>
      </w:pPr>
      <w:r>
        <w:t xml:space="preserve">For reasons of space, we refer readers unfamiliar to Bayesian data analysis to several existing books on the topic</w:t>
      </w:r>
      <w:r>
        <w:t xml:space="preserve"> </w:t>
      </w:r>
      <w:r>
        <w:t xml:space="preserve">(</w:t>
      </w:r>
      <w:hyperlink w:anchor="ref-gelman2013bayesian">
        <w:r>
          <w:rPr>
            <w:rStyle w:val="Hyperlink"/>
          </w:rPr>
          <w:t xml:space="preserve">Gelman et al., 2013</w:t>
        </w:r>
      </w:hyperlink>
      <w:r>
        <w:t xml:space="preserve">;</w:t>
      </w:r>
      <w:r>
        <w:t xml:space="preserve"> </w:t>
      </w:r>
      <w:hyperlink w:anchor="ref-kruschke2015doing">
        <w:r>
          <w:rPr>
            <w:rStyle w:val="Hyperlink"/>
          </w:rPr>
          <w:t xml:space="preserve">Kruschke, 2015</w:t>
        </w:r>
      </w:hyperlink>
      <w:r>
        <w:t xml:space="preserve">;</w:t>
      </w:r>
      <w:r>
        <w:t xml:space="preserve"> </w:t>
      </w:r>
      <w:hyperlink w:anchor="ref-mcelreath2020statistical">
        <w:r>
          <w:rPr>
            <w:rStyle w:val="Hyperlink"/>
          </w:rPr>
          <w:t xml:space="preserve">McElreath, 2020</w:t>
        </w:r>
      </w:hyperlink>
      <w:r>
        <w:t xml:space="preserve">)</w:t>
      </w:r>
      <w:r>
        <w:t xml:space="preserve">. In addition, we assume readers are familiar with R, but those in need of a refresher should find</w:t>
      </w:r>
      <w:r>
        <w:t xml:space="preserve"> </w:t>
      </w:r>
      <w:r>
        <w:t xml:space="preserve">Wickham et al. (</w:t>
      </w:r>
      <w:hyperlink w:anchor="ref-wickhamDataScienceImport2023">
        <w:r>
          <w:rPr>
            <w:rStyle w:val="Hyperlink"/>
          </w:rPr>
          <w:t xml:space="preserve">2023</w:t>
        </w:r>
      </w:hyperlink>
      <w:r>
        <w:t xml:space="preserve">)</w:t>
      </w:r>
      <w:r>
        <w:t xml:space="preserve"> </w:t>
      </w:r>
      <w:r>
        <w:t xml:space="preserve">useful.</w:t>
      </w:r>
    </w:p>
    <w:bookmarkEnd w:id="54"/>
    <w:bookmarkEnd w:id="55"/>
    <w:bookmarkStart w:id="149" w:name="beta-regression-tutorial"/>
    <w:p>
      <w:pPr>
        <w:pStyle w:val="Heading1"/>
      </w:pPr>
      <w:r>
        <w:t xml:space="preserve">Beta Regression Tutorial</w:t>
      </w:r>
    </w:p>
    <w:bookmarkStart w:id="58"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t>
      </w:r>
      <w:hyperlink w:anchor="ref-wilford2020">
        <w:r>
          <w:rPr>
            <w:rStyle w:val="Hyperlink"/>
          </w:rPr>
          <w:t xml:space="preserve">Wilford et al., 2020</w:t>
        </w:r>
      </w:hyperlink>
      <w:r>
        <w:t xml:space="preserve">,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w:t>
      </w:r>
      <w:hyperlink w:anchor="ref-carpenter2013">
        <w:r>
          <w:rPr>
            <w:rStyle w:val="Hyperlink"/>
          </w:rPr>
          <w:t xml:space="preserve">Carpenter et al., 2013</w:t>
        </w:r>
      </w:hyperlink>
      <w:r>
        <w:t xml:space="preserve">)</w:t>
      </w:r>
      <w:r>
        <w:t xml:space="preserve">. However, previous research suggests that these impressions do not reliably translate into improved memory performance</w:t>
      </w:r>
      <w:r>
        <w:t xml:space="preserve"> </w:t>
      </w:r>
      <w:r>
        <w:t xml:space="preserve">(e.g.,</w:t>
      </w:r>
      <w:r>
        <w:t xml:space="preserve"> </w:t>
      </w:r>
      <w:hyperlink w:anchor="ref-carpenter2013">
        <w:r>
          <w:rPr>
            <w:rStyle w:val="Hyperlink"/>
          </w:rPr>
          <w:t xml:space="preserve">Carpenter et al., 2013</w:t>
        </w:r>
      </w:hyperlink>
      <w:r>
        <w:t xml:space="preserve">;</w:t>
      </w:r>
      <w:r>
        <w:t xml:space="preserve"> </w:t>
      </w:r>
      <w:hyperlink w:anchor="ref-toftness2017">
        <w:r>
          <w:rPr>
            <w:rStyle w:val="Hyperlink"/>
          </w:rPr>
          <w:t xml:space="preserve">Toftness et al., 2017</w:t>
        </w:r>
      </w:hyperlink>
      <w:r>
        <w:t xml:space="preserve">;</w:t>
      </w:r>
      <w:r>
        <w:t xml:space="preserve"> </w:t>
      </w:r>
      <w:hyperlink w:anchor="ref-witherby2022">
        <w:r>
          <w:rPr>
            <w:rStyle w:val="Hyperlink"/>
          </w:rPr>
          <w:t xml:space="preserve">Witherby &amp; Carpenter, 2022</w:t>
        </w:r>
      </w:hyperlink>
      <w:r>
        <w:t xml:space="preserve">)</w:t>
      </w:r>
      <w:r>
        <w:t xml:space="preserve">. In contrast,</w:t>
      </w:r>
      <w:r>
        <w:t xml:space="preserve"> </w:t>
      </w:r>
      <w:r>
        <w:t xml:space="preserve">Wilford et al. (</w:t>
      </w:r>
      <w:hyperlink w:anchor="ref-wilford2020">
        <w:r>
          <w:rPr>
            <w:rStyle w:val="Hyperlink"/>
          </w:rPr>
          <w:t xml:space="preserve">2020</w:t>
        </w:r>
      </w:hyperlink>
      <w:r>
        <w:t xml:space="preserve">)</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56"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fluency_data &lt;- read_csv(</w:t>
            </w:r>
            <w:r>
              <w:br/>
            </w:r>
            <w:r>
              <w:rPr>
                <w:rStyle w:val="VerbatimChar"/>
              </w:rPr>
              <w:t xml:space="preserve">  "https://raw.githubusercontent.com/jgeller112/beta_regression_tutorial/refs/heads/main/manuscript/data/fluency_data.csv"</w:t>
            </w:r>
            <w:r>
              <w:br/>
            </w:r>
            <w:r>
              <w:rPr>
                <w:rStyle w:val="VerbatimChar"/>
              </w:rPr>
              <w:t xml:space="preserve">)</w:t>
            </w:r>
          </w:p>
          <w:bookmarkEnd w:id="56"/>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 Wilford et al.’s analysis and then re-analyze the data using Beta regression and highlight how it can improve our inferences.</w:t>
      </w:r>
    </w:p>
    <w:bookmarkStart w:id="57" w:name="tbl-dataset"/>
    <w:p>
      <w:pPr>
        <w:pStyle w:val="FigureTitle"/>
      </w:pPr>
      <w:r>
        <w:t xml:space="preserve">Table 1</w:t>
      </w:r>
    </w:p>
    <w:p>
      <w:pPr>
        <w:pStyle w:val="Caption"/>
      </w:pPr>
      <w:r>
        <w:t xml:space="preserve">Four observations from</w:t>
      </w:r>
      <w:r>
        <w:t xml:space="preserve"> </w:t>
      </w:r>
      <w:r>
        <w:t xml:space="preserve">Wilford et al. (</w:t>
      </w:r>
      <w:hyperlink w:anchor="ref-wilford2020">
        <w:r>
          <w:rPr>
            <w:rStyle w:val="Hyperlink"/>
          </w:rPr>
          <w:t xml:space="preserve">2020</w:t>
        </w:r>
      </w:hyperlink>
      <w:r>
        <w:t xml:space="preserve">)</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57"/>
    <w:bookmarkEnd w:id="58"/>
    <w:bookmarkStart w:id="71"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w:t>
      </w:r>
      <w:hyperlink w:anchor="ref-wilford2020">
        <w:r>
          <w:rPr>
            <w:rStyle w:val="Hyperlink"/>
          </w:rPr>
          <w:t xml:space="preserve">2020</w:t>
        </w:r>
      </w:hyperlink>
      <w:r>
        <w:t xml:space="preserve">)</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2</w:t>
        </w:r>
      </w:hyperlink>
      <w:r>
        <w:t xml:space="preserve">).</w:t>
      </w:r>
    </w:p>
    <w:bookmarkStart w:id="62" w:name="fig-flu1"/>
    <w:p>
      <w:pPr>
        <w:pStyle w:val="FigureTitle"/>
      </w:pPr>
      <w:r>
        <w:t xml:space="preserve">Figure 2</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60" name="Picture"/>
            <a:graphic>
              <a:graphicData uri="http://schemas.openxmlformats.org/drawingml/2006/picture">
                <pic:pic>
                  <pic:nvPicPr>
                    <pic:cNvPr descr="ms_files/figure-docx/fig-flu1-1.png" id="61" name="Picture"/>
                    <pic:cNvPicPr>
                      <a:picLocks noChangeArrowheads="1" noChangeAspect="1"/>
                    </pic:cNvPicPr>
                  </pic:nvPicPr>
                  <pic:blipFill>
                    <a:blip r:embed="rId59"/>
                    <a:stretch>
                      <a:fillRect/>
                    </a:stretch>
                  </pic:blipFill>
                  <pic:spPr bwMode="auto">
                    <a:xfrm>
                      <a:off x="0" y="0"/>
                      <a:ext cx="5504749" cy="3400711"/>
                    </a:xfrm>
                    <a:prstGeom prst="rect">
                      <a:avLst/>
                    </a:prstGeom>
                    <a:noFill/>
                    <a:ln w="9525">
                      <a:noFill/>
                      <a:headEnd/>
                      <a:tailEnd/>
                    </a:ln>
                  </pic:spPr>
                </pic:pic>
              </a:graphicData>
            </a:graphic>
          </wp:inline>
        </w:drawing>
      </w:r>
    </w:p>
    <w:bookmarkEnd w:id="62"/>
    <w:p>
      <w:pPr>
        <w:pStyle w:val="AfterWithoutNote"/>
      </w:pPr>
      <w:r>
        <w:t xml:space="preserve">We first replicate this analysis in a regression framework using brms. We model final test accuracy–the proprtion of correctly recalled idea units across the two items–as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66" w:name="tbl-all"/>
    <w:p>
      <w:pPr>
        <w:pStyle w:val="FigureTitle"/>
      </w:pPr>
      <w:r>
        <w:t xml:space="preserve">Table 2</w:t>
      </w:r>
    </w:p>
    <w:p>
      <w:pPr>
        <w:pStyle w:val="Caption"/>
      </w:pPr>
      <w:r>
        <w:t xml:space="preserve">Bayesian regression summaries for each model</w:t>
      </w:r>
    </w:p>
    <w:p>
      <w:pPr>
        <w:pStyle w:val="FigureWithNote"/>
      </w:pPr>
      <w:r>
        <w:drawing>
          <wp:inline>
            <wp:extent cx="5943600" cy="5092700"/>
            <wp:effectExtent b="0" l="0" r="0" t="0"/>
            <wp:docPr descr="" title="" id="64" name="Picture"/>
            <a:graphic>
              <a:graphicData uri="http://schemas.openxmlformats.org/drawingml/2006/picture">
                <pic:pic>
                  <pic:nvPicPr>
                    <pic:cNvPr descr="Figures/combined_table.png" id="65" name="Picture"/>
                    <pic:cNvPicPr>
                      <a:picLocks noChangeArrowheads="1" noChangeAspect="1"/>
                    </pic:cNvPicPr>
                  </pic:nvPicPr>
                  <pic:blipFill>
                    <a:blip r:embed="rId63"/>
                    <a:stretch>
                      <a:fillRect/>
                    </a:stretch>
                  </pic:blipFill>
                  <pic:spPr bwMode="auto">
                    <a:xfrm>
                      <a:off x="0" y="0"/>
                      <a:ext cx="5943600" cy="5092700"/>
                    </a:xfrm>
                    <a:prstGeom prst="rect">
                      <a:avLst/>
                    </a:prstGeom>
                    <a:noFill/>
                    <a:ln w="9525">
                      <a:noFill/>
                      <a:headEnd/>
                      <a:tailEnd/>
                    </a:ln>
                  </pic:spPr>
                </pic:pic>
              </a:graphicData>
            </a:graphic>
          </wp:inline>
        </w:drawing>
      </w:r>
    </w:p>
    <w:bookmarkEnd w:id="66"/>
    <w:p>
      <w:pPr>
        <w:pStyle w:val="FigureNote"/>
      </w:pPr>
      <w:r>
        <w:rPr>
          <w:i/>
          <w:iCs/>
        </w:rPr>
        <w:t xml:space="preserve">Note</w:t>
      </w:r>
      <w:r>
        <w:t xml:space="preserve">. Reported as: Mean [95% CrI] (pd). Link functions: b_mean = logit; b_phi = logit; b_zoi (zero-one inflation) = logit; b_coi (conditional one-inflation) = logit.</w:t>
      </w:r>
    </w:p>
    <w:bookmarkStart w:id="70"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and</w:t>
      </w:r>
      <w:r>
        <w:t xml:space="preserve"> </w:t>
      </w:r>
      <w:r>
        <w:rPr>
          <w:rStyle w:val="VerbatimChar"/>
        </w:rPr>
        <w:t xml:space="preserve">cmdstanr</w:t>
      </w:r>
      <w:r>
        <w:t xml:space="preserve"> </w:t>
      </w:r>
      <w:r>
        <w:t xml:space="preserve">(</w:t>
      </w:r>
      <w:hyperlink w:anchor="ref-cmdstanr">
        <w:r>
          <w:rPr>
            <w:rStyle w:val="Hyperlink"/>
          </w:rPr>
          <w:t xml:space="preserve">Gabry et al., 2024</w:t>
        </w:r>
      </w:hyperlink>
      <w:r>
        <w:t xml:space="preserve">)</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w:t>
      </w:r>
      <w:hyperlink w:anchor="ref-stan2023">
        <w:r>
          <w:rPr>
            <w:rStyle w:val="Hyperlink"/>
          </w:rPr>
          <w:t xml:space="preserve">Team, 2023</w:t>
        </w:r>
      </w:hyperlink>
      <w:r>
        <w:t xml:space="preserve">)</w:t>
      </w:r>
      <w:r>
        <w:t xml:space="preserve"> </w:t>
      </w:r>
      <w:r>
        <w:t xml:space="preserve">because it’s faster than the default used to run models (i.e.,</w:t>
      </w:r>
      <w:r>
        <w:t xml:space="preserve"> </w:t>
      </w:r>
      <w:r>
        <w:rPr>
          <w:rStyle w:val="VerbatimChar"/>
        </w:rPr>
        <w:t xml:space="preserve">rstan</w:t>
      </w:r>
      <w:r>
        <w:t xml:space="preserve">),</w:t>
      </w:r>
      <w:r>
        <w:rPr>
          <w:rStyle w:val="FootnoteReference"/>
        </w:rPr>
        <w:footnoteReference w:id="67"/>
      </w:r>
      <w:r>
        <w:t xml:space="preserve"> </w:t>
      </w:r>
      <w:r>
        <w:t xml:space="preserve">though all of these models can also be fit with</w:t>
      </w:r>
      <w:r>
        <w:t xml:space="preserve"> </w:t>
      </w:r>
      <w:r>
        <w:rPr>
          <w:rStyle w:val="VerbatimChar"/>
        </w:rPr>
        <w:t xml:space="preserve">brms</w:t>
      </w:r>
      <w:r>
        <w:t xml:space="preserve"> </w:t>
      </w:r>
      <w:r>
        <w:t xml:space="preserve">defaults.</w:t>
      </w:r>
    </w:p>
    <w:tbl>
      <w:tblPr>
        <w:tblStyle w:val="Table"/>
        <w:tblW w:type="pct" w:w="5000"/>
        <w:tblLayout w:type="fixed"/>
        <w:tblLook w:firstRow="0" w:lastRow="0" w:firstColumn="0" w:lastColumn="0" w:noHBand="0" w:noVBand="0" w:val="0000"/>
      </w:tblPr>
      <w:tblGrid>
        <w:gridCol w:w="7920"/>
      </w:tblGrid>
      <w:tr>
        <w:tc>
          <w:tcPr/>
          <w:bookmarkStart w:id="68"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p>
          <w:p>
            <w:pPr>
              <w:pStyle w:val="SourceCode"/>
              <w:jc w:val="center"/>
            </w:pPr>
            <w:r>
              <w:rPr>
                <w:rStyle w:val="VerbatimChar"/>
              </w:rPr>
              <w:t xml:space="preserve">library(brms)</w:t>
            </w:r>
            <w:r>
              <w:br/>
            </w:r>
            <w:r>
              <w:rPr>
                <w:rStyle w:val="VerbatimChar"/>
              </w:rPr>
              <w:t xml:space="preserve">library(cmdstanr)</w:t>
            </w:r>
          </w:p>
          <w:bookmarkEnd w:id="68"/>
        </w:tc>
      </w:tr>
    </w:tbl>
    <w:tbl>
      <w:tblPr>
        <w:tblStyle w:val="Table"/>
        <w:tblW w:type="pct" w:w="5000"/>
        <w:tblLayout w:type="fixed"/>
        <w:tblLook w:firstRow="0" w:lastRow="0" w:firstColumn="0" w:lastColumn="0" w:noHBand="0" w:noVBand="0" w:val="0000"/>
      </w:tblPr>
      <w:tblGrid>
        <w:gridCol w:w="7920"/>
      </w:tblGrid>
      <w:tr>
        <w:tc>
          <w:tcPr/>
          <w:bookmarkStart w:id="69"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69"/>
        </w:tc>
      </w:tr>
    </w:tbl>
    <w:p>
      <w:pPr>
        <w:pStyle w:val="FirstParagraph"/>
      </w:pPr>
      <w:r>
        <w:t xml:space="preserve">We fit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t>
      </w:r>
      <w:hyperlink w:anchor="lst-gauss">
        <w:r>
          <w:rPr>
            <w:rStyle w:val="Hyperlink"/>
          </w:rPr>
          <w:t xml:space="preserve">Listing 3</w:t>
        </w:r>
      </w:hyperlink>
      <w:r>
        <w:t xml:space="preserve">). Although not shown here, we ran the models using four chains (the default), executed in parallel across four cores. When the model is run in</w:t>
      </w:r>
      <w:r>
        <w:t xml:space="preserve"> </w:t>
      </w:r>
      <w:hyperlink w:anchor="lst-gauss">
        <w:r>
          <w:rPr>
            <w:rStyle w:val="Hyperlink"/>
          </w:rPr>
          <w:t xml:space="preserve">Listing 3</w:t>
        </w:r>
      </w:hyperlink>
      <w:r>
        <w:t xml:space="preserve">, the model summary output will appear in the R console. The output from</w:t>
      </w:r>
      <w:r>
        <w:t xml:space="preserve"> </w:t>
      </w:r>
      <w:r>
        <w:rPr>
          <w:rStyle w:val="VerbatimChar"/>
        </w:rPr>
        <w:t xml:space="preserve">bayes_reg_model</w:t>
      </w:r>
      <w:r>
        <w:t xml:space="preserve"> </w:t>
      </w:r>
      <w:r>
        <w:t xml:space="preserve">shows each parameter’s posterior summary: The posterior distribution’s mean and standard deviation (analogous to the frequentist standard error) and its 95% credible interval, which indicate the 95% of the most credible parameter values. In</w:t>
      </w:r>
      <w:r>
        <w:t xml:space="preserve"> </w:t>
      </w:r>
      <w:r>
        <w:rPr>
          <w:rStyle w:val="VerbatimChar"/>
        </w:rPr>
        <w:t xml:space="preserve">brms</w:t>
      </w:r>
      <w:r>
        <w:t xml:space="preserve">, the reported Cr.I is an equal-tailed interval, meaning that the probability mass excluded from the interval is split equally between the lower and upper tails.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recommended</w:t>
      </w:r>
      <w:r>
        <w:t xml:space="preserve"> </w:t>
      </w:r>
      <w:r>
        <w:t xml:space="preserve">(</w:t>
      </w:r>
      <w:hyperlink w:anchor="ref-brms">
        <w:r>
          <w:rPr>
            <w:rStyle w:val="Hyperlink"/>
          </w:rPr>
          <w:t xml:space="preserve">Bürkner, 2017</w:t>
        </w:r>
      </w:hyperlink>
      <w:r>
        <w:t xml:space="preserve">)</w:t>
      </w:r>
      <w:r>
        <w:t xml:space="preserve">. For the models we present in this paper, convergence is trivial with standard linear mixed models, though we note that these metrics are still important to pay attention to in case of model mis-fit.</w:t>
      </w:r>
    </w:p>
    <w:p>
      <w:pPr>
        <w:pStyle w:val="BodyText"/>
      </w:pPr>
      <w:r>
        <w:t xml:space="preserve">Looking at the output, the</w:t>
      </w:r>
      <w:r>
        <w:t xml:space="preserve"> </w:t>
      </w:r>
      <w:r>
        <w:rPr>
          <w:rStyle w:val="VerbatimChar"/>
        </w:rPr>
        <w:t xml:space="preserve">Intercept</w:t>
      </w:r>
      <w:r>
        <w:t xml:space="preserve"> </w:t>
      </w:r>
      <w:r>
        <w:t xml:space="preserve">refers to the mean accuracy in the</w:t>
      </w:r>
      <w:r>
        <w:t xml:space="preserve"> </w:t>
      </w:r>
      <w:r>
        <w:rPr>
          <w:i/>
          <w:iCs/>
        </w:rPr>
        <w:t xml:space="preserve">disfluent</w:t>
      </w:r>
      <w:r>
        <w:t xml:space="preserve"> </w:t>
      </w:r>
      <w:r>
        <w:t xml:space="preserve">condition, as fluency was dummy-coded. The fluency coefficient (</w:t>
      </w:r>
      <w:r>
        <w:rPr>
          <w:rStyle w:val="VerbatimChar"/>
        </w:rPr>
        <w:t xml:space="preserve">FluencyFluent</w:t>
      </w:r>
      <w:r>
        <w:t xml:space="preserve">) reflects the mean difference in recall accuracy between the fluent and disfluent conditions:</w:t>
      </w:r>
      <w:r>
        <w:t xml:space="preserve"> </w:t>
      </w:r>
      <w:r>
        <w:rPr>
          <w:i/>
          <w:iCs/>
        </w:rPr>
        <w:t xml:space="preserve">b</w:t>
      </w:r>
      <w:r>
        <w:t xml:space="preserve"> </w:t>
      </w:r>
      <w:r>
        <w:t xml:space="preserve">= 0.085. The 95% credible interval for this estimate spans from 0.001 to 0.171.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w:t>
      </w:r>
      <w:hyperlink w:anchor="ref-wilford2020">
        <w:r>
          <w:rPr>
            <w:rStyle w:val="Hyperlink"/>
          </w:rPr>
          <w:t xml:space="preserve">2020</w:t>
        </w:r>
      </w:hyperlink>
      <w:r>
        <w:t xml:space="preserve">)</w:t>
      </w:r>
      <w:r>
        <w:t xml:space="preserve"> </w:t>
      </w:r>
      <w:r>
        <w:t xml:space="preserve">(Experiment 1A).</w:t>
      </w:r>
    </w:p>
    <w:p>
      <w:pPr>
        <w:pStyle w:val="BodyText"/>
      </w:pPr>
      <w:r>
        <w:t xml:space="preserve">The output also includes the ESS and Rhat values, both of which are within acceptable ranges, indicating good model convergence. Throughout the tutorial, we focus on the posterior mean estimates and their 95% credible intervals. In addition, we also include pd measure in the main summary table (</w:t>
      </w:r>
      <w:hyperlink w:anchor="tbl-all">
        <w:r>
          <w:rPr>
            <w:rStyle w:val="Hyperlink"/>
          </w:rPr>
          <w:t xml:space="preserve">Table 2</w:t>
        </w:r>
      </w:hyperlink>
      <w:r>
        <w:t xml:space="preserve">) which are provided by the</w:t>
      </w:r>
      <w:r>
        <w:t xml:space="preserve"> </w:t>
      </w:r>
      <w:r>
        <w:rPr>
          <w:rStyle w:val="VerbatimChar"/>
        </w:rPr>
        <w:t xml:space="preserve">easystats</w:t>
      </w:r>
      <w:r>
        <w:t xml:space="preserve"> </w:t>
      </w:r>
      <w:r>
        <w:rPr>
          <w:rStyle w:val="VerbatimChar"/>
        </w:rPr>
        <w:t xml:space="preserve">bayestestr</w:t>
      </w:r>
      <w:r>
        <w:t xml:space="preserve"> </w:t>
      </w:r>
      <w:r>
        <w:t xml:space="preserve">package</w:t>
      </w:r>
      <w:r>
        <w:t xml:space="preserve"> </w:t>
      </w:r>
      <w:r>
        <w:t xml:space="preserve">Makowski, Ben-Shachar, &amp; Lüdecke (</w:t>
      </w:r>
      <w:hyperlink w:anchor="ref-makowski2019">
        <w:r>
          <w:rPr>
            <w:rStyle w:val="Hyperlink"/>
          </w:rPr>
          <w:t xml:space="preserve">2019</w:t>
        </w:r>
      </w:hyperlink>
      <w:r>
        <w:t xml:space="preserve">)</w:t>
      </w:r>
      <w:r>
        <w:t xml:space="preserve"> </w:t>
      </w:r>
      <w:r>
        <w:t xml:space="preserve">and provides a parallel to</w:t>
      </w:r>
      <w:r>
        <w:t xml:space="preserve"> </w:t>
      </w:r>
      <w:r>
        <w:rPr>
          <w:i/>
          <w:iCs/>
        </w:rPr>
        <w:t xml:space="preserve">p</w:t>
      </w:r>
      <w:r>
        <w:t xml:space="preserve">-values most readers are probably familiar with.</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0.31 1.00     3734     3011</w:t>
      </w:r>
      <w:r>
        <w:br/>
      </w:r>
      <w:r>
        <w:rPr>
          <w:rStyle w:val="VerbatimChar"/>
        </w:rPr>
        <w:t xml:space="preserve">FluencyFluent     0.08      0.04     0.00     0.17 1.00     3882     2652</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0.02     0.18     0.24 1.00     3297     2585</w:t>
      </w:r>
    </w:p>
    <w:bookmarkEnd w:id="70"/>
    <w:bookmarkEnd w:id="71"/>
    <w:bookmarkStart w:id="106" w:name="beta-regression"/>
    <w:p>
      <w:pPr>
        <w:pStyle w:val="Heading2"/>
      </w:pPr>
      <w:r>
        <w:t xml:space="preserve">Beta Regression</w:t>
      </w:r>
    </w:p>
    <w:p>
      <w:pPr>
        <w:pStyle w:val="FirstParagraph"/>
      </w:pPr>
      <w:r>
        <w:t xml:space="preserve">Wilford et al. (</w:t>
      </w:r>
      <w:hyperlink w:anchor="ref-wilford2020">
        <w:r>
          <w:rPr>
            <w:rStyle w:val="Hyperlink"/>
          </w:rPr>
          <w:t xml:space="preserve">2020</w:t>
        </w:r>
      </w:hyperlink>
      <w:r>
        <w:t xml:space="preserve">)</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w:t>
      </w:r>
      <w:hyperlink w:anchor="ref-sladekova2024unicorns">
        <w:r>
          <w:rPr>
            <w:rStyle w:val="Hyperlink"/>
          </w:rPr>
          <w:t xml:space="preserve">Sladekova &amp; Field, 2024</w:t>
        </w:r>
      </w:hyperlink>
      <w:r>
        <w:t xml:space="preserve">)</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w:t>
      </w:r>
      <w:hyperlink w:anchor="ref-easystats">
        <w:r>
          <w:rPr>
            <w:rStyle w:val="Hyperlink"/>
          </w:rPr>
          <w:t xml:space="preserve">Lüdecke et al., 2022</w:t>
        </w:r>
      </w:hyperlink>
      <w:r>
        <w:t xml:space="preserve">)</w:t>
      </w:r>
      <w:r>
        <w:t xml:space="preserve"> </w:t>
      </w:r>
      <w:r>
        <w:t xml:space="preserve">to check our assumptions easily. The code in</w:t>
      </w:r>
      <w:r>
        <w:t xml:space="preserve"> </w:t>
      </w:r>
      <w:hyperlink w:anchor="lst-check1">
        <w:r>
          <w:rPr>
            <w:rStyle w:val="Hyperlink"/>
          </w:rPr>
          <w:t xml:space="preserve">Listing 4</w:t>
        </w:r>
      </w:hyperlink>
      <w:r>
        <w:t xml:space="preserve"> </w:t>
      </w:r>
      <w:r>
        <w:t xml:space="preserve">automatically produces</w:t>
      </w:r>
      <w:r>
        <w:t xml:space="preserve"> </w:t>
      </w:r>
      <w:hyperlink w:anchor="fig-reg-assump">
        <w:r>
          <w:rPr>
            <w:rStyle w:val="Hyperlink"/>
          </w:rPr>
          <w:t xml:space="preserve">Figure 3</w:t>
        </w:r>
      </w:hyperlink>
      <w:r>
        <w:t xml:space="preserve">. We can see some issues with our data. Specifically, there appears to be violations of constant variance across the values of the scale (homoskedasticity). In plain terms, this type of model mis-specfication means that a standard OLS model can predict non-sensical values outside the bounds of the scale.</w:t>
      </w:r>
    </w:p>
    <w:tbl>
      <w:tblPr>
        <w:tblStyle w:val="Table"/>
        <w:tblW w:type="pct" w:w="5000"/>
        <w:tblLayout w:type="fixed"/>
        <w:tblLook w:firstRow="0" w:lastRow="0" w:firstColumn="0" w:lastColumn="0" w:noHBand="0" w:noVBand="0" w:val="0000"/>
      </w:tblPr>
      <w:tblGrid>
        <w:gridCol w:w="7920"/>
      </w:tblGrid>
      <w:tr>
        <w:tc>
          <w:tcPr/>
          <w:bookmarkStart w:id="72" w:name="lst-check1"/>
          <w:p>
            <w:pPr>
              <w:pStyle w:val="FigureWithoutNote"/>
              <w:jc w:val="center"/>
            </w:pPr>
            <w:pPr>
              <w:jc w:val="start"/>
              <w:spacing w:before="200"/>
              <w:pStyle w:val="ImageCaption"/>
            </w:pPr>
            <w:r>
              <w:t xml:space="preserve">Listing 4: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72"/>
        </w:tc>
      </w:tr>
    </w:tbl>
    <w:bookmarkStart w:id="76" w:name="fig-reg-assump"/>
    <w:p>
      <w:pPr>
        <w:pStyle w:val="FigureTitle"/>
      </w:pPr>
      <w:r>
        <w:t xml:space="preserve">Figure 3</w:t>
      </w:r>
    </w:p>
    <w:p>
      <w:pPr>
        <w:pStyle w:val="Caption"/>
      </w:pPr>
      <w:r>
        <w:t xml:space="preserve">Two assumption checks for our OLS model: Normality (left) and Homogeneity (right)</w:t>
      </w:r>
    </w:p>
    <w:p>
      <w:pPr>
        <w:pStyle w:val="FigureWithoutNote"/>
      </w:pPr>
      <w:r>
        <w:drawing>
          <wp:inline>
            <wp:extent cx="5504749" cy="3400711"/>
            <wp:effectExtent b="0" l="0" r="0" t="0"/>
            <wp:docPr descr="" title="" id="74" name="Picture"/>
            <a:graphic>
              <a:graphicData uri="http://schemas.openxmlformats.org/drawingml/2006/picture">
                <pic:pic>
                  <pic:nvPicPr>
                    <pic:cNvPr descr="ms_files/figure-docx/fig-reg-assump-1.png" id="75" name="Picture"/>
                    <pic:cNvPicPr>
                      <a:picLocks noChangeArrowheads="1" noChangeAspect="1"/>
                    </pic:cNvPicPr>
                  </pic:nvPicPr>
                  <pic:blipFill>
                    <a:blip r:embed="rId73"/>
                    <a:stretch>
                      <a:fillRect/>
                    </a:stretch>
                  </pic:blipFill>
                  <pic:spPr bwMode="auto">
                    <a:xfrm>
                      <a:off x="0" y="0"/>
                      <a:ext cx="5504749" cy="3400711"/>
                    </a:xfrm>
                    <a:prstGeom prst="rect">
                      <a:avLst/>
                    </a:prstGeom>
                    <a:noFill/>
                    <a:ln w="9525">
                      <a:noFill/>
                      <a:headEnd/>
                      <a:tailEnd/>
                    </a:ln>
                  </pic:spPr>
                </pic:pic>
              </a:graphicData>
            </a:graphic>
          </wp:inline>
        </w:drawing>
      </w:r>
    </w:p>
    <w:bookmarkEnd w:id="76"/>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4</w:t>
        </w:r>
      </w:hyperlink>
      <w:r>
        <w:t xml:space="preserve"> </w:t>
      </w:r>
      <w:r>
        <w:t xml:space="preserve">(A)) the model-predicted density is slightly too peaked and narrow compared to the data. In addition, some of the draws extend into negative accuracy values.</w:t>
      </w:r>
    </w:p>
    <w:bookmarkStart w:id="80" w:name="fig-ppcheckall"/>
    <w:p>
      <w:pPr>
        <w:pStyle w:val="FigureTitle"/>
      </w:pPr>
      <w:r>
        <w:t xml:space="preserve">Figure 4</w:t>
      </w:r>
    </w:p>
    <w:p>
      <w:pPr>
        <w:pStyle w:val="Caption"/>
      </w:pPr>
      <w:r>
        <w:t xml:space="preserve">Posterior predictive checks for regular regression (A), Beta regression (B), and ZIB (C) models</w:t>
      </w:r>
    </w:p>
    <w:p>
      <w:pPr>
        <w:pStyle w:val="FigureWithoutNote"/>
      </w:pPr>
      <w:r>
        <w:drawing>
          <wp:inline>
            <wp:extent cx="5943600" cy="3672649"/>
            <wp:effectExtent b="0" l="0" r="0" t="0"/>
            <wp:docPr descr="" title="" id="78" name="Picture"/>
            <a:graphic>
              <a:graphicData uri="http://schemas.openxmlformats.org/drawingml/2006/picture">
                <pic:pic>
                  <pic:nvPicPr>
                    <pic:cNvPr descr="ms_files/figure-docx/fig-ppcheckall-1.png" id="79" name="Picture"/>
                    <pic:cNvPicPr>
                      <a:picLocks noChangeArrowheads="1" noChangeAspect="1"/>
                    </pic:cNvPicPr>
                  </pic:nvPicPr>
                  <pic:blipFill>
                    <a:blip r:embed="rId77"/>
                    <a:stretch>
                      <a:fillRect/>
                    </a:stretch>
                  </pic:blipFill>
                  <pic:spPr bwMode="auto">
                    <a:xfrm>
                      <a:off x="0" y="0"/>
                      <a:ext cx="5943600" cy="3672649"/>
                    </a:xfrm>
                    <a:prstGeom prst="rect">
                      <a:avLst/>
                    </a:prstGeom>
                    <a:noFill/>
                    <a:ln w="9525">
                      <a:noFill/>
                      <a:headEnd/>
                      <a:tailEnd/>
                    </a:ln>
                  </pic:spPr>
                </pic:pic>
              </a:graphicData>
            </a:graphic>
          </wp:inline>
        </w:drawing>
      </w:r>
    </w:p>
    <w:bookmarkEnd w:id="80"/>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5</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To run our Beta regression model, we need to exlcude 0s and 1s in our data set. If we try to run a model with our data</w:t>
      </w:r>
      <w:r>
        <w:t xml:space="preserve"> </w:t>
      </w:r>
      <w:r>
        <w:rPr>
          <w:rStyle w:val="VerbatimChar"/>
        </w:rPr>
        <w:t xml:space="preserve">data_fluency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0s and 1s</w:t>
      </w:r>
      <w:r>
        <w:t xml:space="preserve">. We need make sure there are no 0s and 1s in our dataset.</w:t>
      </w:r>
    </w:p>
    <w:p>
      <w:pPr>
        <w:pStyle w:val="BodyText"/>
      </w:pPr>
      <w:r>
        <w:t xml:space="preserve">The dataset contains nine 0s and one 1. One approach is to nudge our 0s towards .01 and our 1s to .99, or apply a special formula</w:t>
      </w:r>
      <w:r>
        <w:t xml:space="preserve"> </w:t>
      </w:r>
      <w:r>
        <w:t xml:space="preserve">(</w:t>
      </w:r>
      <w:hyperlink w:anchor="ref-smithson2006">
        <w:r>
          <w:rPr>
            <w:rStyle w:val="Hyperlink"/>
          </w:rPr>
          <w:t xml:space="preserve">Smithson &amp; Verkuilen, 2006</w:t>
        </w:r>
      </w:hyperlink>
      <w:r>
        <w:t xml:space="preserve">)</w:t>
      </w:r>
      <w:r>
        <w:t xml:space="preserve"> </w:t>
      </w:r>
      <w:r>
        <w:t xml:space="preserve">so values fall within the [0, 1] interval. We implore readers not engage in this practice.</w:t>
      </w:r>
      <w:r>
        <w:t xml:space="preserve"> </w:t>
      </w:r>
      <w:r>
        <w:t xml:space="preserve">Kubinec (</w:t>
      </w:r>
      <w:hyperlink w:anchor="ref-kubinec2022">
        <w:r>
          <w:rPr>
            <w:rStyle w:val="Hyperlink"/>
          </w:rPr>
          <w:t xml:space="preserve">2022</w:t>
        </w:r>
      </w:hyperlink>
      <w:r>
        <w:t xml:space="preserve">)</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outliers.To run this Beta model we will remove the 0s and 1s, and later in this article we will show how to jointly model these scale end points with the rest of the data. The model from</w:t>
      </w:r>
      <w:r>
        <w:t xml:space="preserve"> </w:t>
      </w:r>
      <w:hyperlink w:anchor="lst-beta01">
        <w:r>
          <w:rPr>
            <w:rStyle w:val="Hyperlink"/>
          </w:rPr>
          <w:t xml:space="preserve">Listing 5</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removed. When we run it we should not get no error.</w:t>
      </w:r>
    </w:p>
    <w:tbl>
      <w:tblPr>
        <w:tblStyle w:val="Table"/>
        <w:tblW w:type="pct" w:w="5000"/>
        <w:tblLayout w:type="fixed"/>
        <w:tblLook w:firstRow="0" w:lastRow="0" w:firstColumn="0" w:lastColumn="0" w:noHBand="0" w:noVBand="0" w:val="0000"/>
      </w:tblPr>
      <w:tblGrid>
        <w:gridCol w:w="7920"/>
      </w:tblGrid>
      <w:tr>
        <w:tc>
          <w:tcPr/>
          <w:bookmarkStart w:id="81" w:name="lst-beta01"/>
          <w:p>
            <w:pPr>
              <w:jc w:val="center"/>
            </w:pPr>
            <w:pPr>
              <w:jc w:val="start"/>
              <w:spacing w:before="200"/>
              <w:pStyle w:val="ImageCaption"/>
            </w:pPr>
            <w:r>
              <w:t xml:space="preserve">Listing 5: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filter(</w:t>
            </w:r>
            <w:r>
              <w:br/>
            </w:r>
            <w:r>
              <w:rPr>
                <w:rStyle w:val="VerbatimChar"/>
              </w:rPr>
              <w:t xml:space="preserve">    Accuracy != 0,</w:t>
            </w:r>
            <w:r>
              <w:br/>
            </w:r>
            <w:r>
              <w:rPr>
                <w:rStyle w:val="VerbatimChar"/>
              </w:rPr>
              <w:t xml:space="preserve">    Accuracy != 1</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"model_beta_bayes_reg_01"</w:t>
            </w:r>
            <w:r>
              <w:br/>
            </w:r>
            <w:r>
              <w:rPr>
                <w:rStyle w:val="VerbatimChar"/>
              </w:rPr>
              <w:t xml:space="preserve">)</w:t>
            </w:r>
          </w:p>
          <w:bookmarkEnd w:id="81"/>
        </w:tc>
      </w:tr>
    </w:tbl>
    <w:bookmarkStart w:id="89"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2" w:name="lst-betadis"/>
          <w:p>
            <w:pPr>
              <w:jc w:val="center"/>
            </w:pPr>
            <w:pPr>
              <w:jc w:val="start"/>
              <w:spacing w:before="200"/>
              <w:pStyle w:val="ImageCaption"/>
            </w:pPr>
            <w:r>
              <w:t xml:space="preserve">Listing 6: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"model_beta_bayes_dis_run01"</w:t>
            </w:r>
            <w:r>
              <w:br/>
            </w:r>
            <w:r>
              <w:rPr>
                <w:rStyle w:val="VerbatimChar"/>
              </w:rPr>
              <w:t xml:space="preserve">)</w:t>
            </w:r>
          </w:p>
          <w:bookmarkEnd w:id="82"/>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83" w:name="tbl-phi-beta-exp"/>
    <w:p>
      <w:pPr>
        <w:pStyle w:val="FigureTitle"/>
      </w:pPr>
      <w:r>
        <w:t xml:space="preserve">Table 3</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750"/>
        <w:tblLayout w:type="fixed"/>
        <w:tblLook w:firstRow="1" w:lastRow="0" w:firstColumn="0" w:lastColumn="0" w:noHBand="0" w:noVBand="0" w:val="0020"/>
      </w:tblPr>
      <w:tblGrid>
        <w:gridCol w:w="2420"/>
        <w:gridCol w:w="770"/>
        <w:gridCol w:w="1870"/>
        <w:gridCol w:w="88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4.97</w:t>
            </w:r>
          </w:p>
        </w:tc>
        <w:tc>
          <w:tcPr/>
          <w:p>
            <w:pPr>
              <w:pStyle w:val="Compact"/>
            </w:pPr>
            <w:r>
              <w:t xml:space="preserve">[3.28, 7.19]</w:t>
            </w:r>
          </w:p>
        </w:tc>
        <w:tc>
          <w:tcPr/>
          <w:p>
            <w:pPr>
              <w:pStyle w:val="Compact"/>
            </w:pPr>
            <w:r>
              <w:t xml:space="preserve">1</w:t>
            </w:r>
          </w:p>
        </w:tc>
      </w:tr>
      <w:tr>
        <w:tc>
          <w:tcPr/>
          <w:p>
            <w:pPr>
              <w:pStyle w:val="Compact"/>
            </w:pPr>
            <w:r>
              <w:t xml:space="preserve">b_phi_FluencyFluent</w:t>
            </w:r>
          </w:p>
        </w:tc>
        <w:tc>
          <w:tcPr/>
          <w:p>
            <w:pPr>
              <w:pStyle w:val="Compact"/>
            </w:pPr>
            <w:r>
              <w:t xml:space="preserve">1.53</w:t>
            </w:r>
          </w:p>
        </w:tc>
        <w:tc>
          <w:tcPr/>
          <w:p>
            <w:pPr>
              <w:pStyle w:val="Compact"/>
            </w:pPr>
            <w:r>
              <w:t xml:space="preserve">[0.836, 2.698]</w:t>
            </w:r>
          </w:p>
        </w:tc>
        <w:tc>
          <w:tcPr/>
          <w:p>
            <w:pPr>
              <w:pStyle w:val="Compact"/>
            </w:pPr>
            <w:r>
              <w:t xml:space="preserve">0.924</w:t>
            </w:r>
          </w:p>
        </w:tc>
      </w:tr>
    </w:tbl>
    <w:bookmarkEnd w:id="83"/>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credible interval does not include 0, meaning that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WIth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5</w:t>
        </w:r>
      </w:hyperlink>
      <w:r>
        <w:t xml:space="preserve">).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It is only necessary to model the dispersion with covariates when there is reason to believe that this variation is substantively relevant to the research question. In case there is uncertainty about the best model, a relatively agnostic approach would be to compare models, for example with leave one out (loo) cross validation, to examine if a dispersion parameter should be considered in our model.</w:t>
      </w:r>
      <w:r>
        <w:rPr>
          <w:rStyle w:val="FootnoteReference"/>
        </w:rPr>
        <w:footnoteReference w:id="84"/>
      </w:r>
    </w:p>
    <w:bookmarkStart w:id="88" w:name="fig-plt-diff"/>
    <w:p>
      <w:pPr>
        <w:pStyle w:val="FigureTitle"/>
      </w:pPr>
      <w:r>
        <w:t xml:space="preserve">Figure 5</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86" name="Picture"/>
            <a:graphic>
              <a:graphicData uri="http://schemas.openxmlformats.org/drawingml/2006/picture">
                <pic:pic>
                  <pic:nvPicPr>
                    <pic:cNvPr descr="ms_files/figure-docx/fig-plt-diff-1.png" id="87" name="Picture"/>
                    <pic:cNvPicPr>
                      <a:picLocks noChangeArrowheads="1" noChangeAspect="1"/>
                    </pic:cNvPicPr>
                  </pic:nvPicPr>
                  <pic:blipFill>
                    <a:blip r:embed="rId85"/>
                    <a:stretch>
                      <a:fillRect/>
                    </a:stretch>
                  </pic:blipFill>
                  <pic:spPr bwMode="auto">
                    <a:xfrm>
                      <a:off x="0" y="0"/>
                      <a:ext cx="5504749" cy="3400711"/>
                    </a:xfrm>
                    <a:prstGeom prst="rect">
                      <a:avLst/>
                    </a:prstGeom>
                    <a:noFill/>
                    <a:ln w="9525">
                      <a:noFill/>
                      <a:headEnd/>
                      <a:tailEnd/>
                    </a:ln>
                  </pic:spPr>
                </pic:pic>
              </a:graphicData>
            </a:graphic>
          </wp:inline>
        </w:drawing>
      </w:r>
    </w:p>
    <w:bookmarkEnd w:id="88"/>
    <w:bookmarkEnd w:id="89"/>
    <w:bookmarkStart w:id="99" w:name="predicted-probabilities"/>
    <w:p>
      <w:pPr>
        <w:pStyle w:val="Heading3"/>
      </w:pPr>
      <w:r>
        <w:t xml:space="preserve">Predicted Probabilities</w:t>
      </w:r>
    </w:p>
    <w:p>
      <w:pPr>
        <w:pStyle w:val="FirstParagraph"/>
      </w:pPr>
      <w:r>
        <w:t xml:space="preserve">Parameter estimates are usually difficult to interpret on their own. We argue that researchers should not spend too much time interpreting raw coefficients from non-linear models.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-0.83 + 0.20 = -0.63</w:t>
      </w:r>
      <w:r>
        <w:t xml:space="preserve">. We then use</w:t>
      </w:r>
      <w:r>
        <w:t xml:space="preserve"> </w:t>
      </w:r>
      <w:r>
        <w:rPr>
          <w:rStyle w:val="VerbatimChar"/>
        </w:rPr>
        <w:t xml:space="preserve">plogis()</w:t>
      </w:r>
      <w:r>
        <w:t xml:space="preserve"> </w:t>
      </w:r>
      <w:r>
        <w:t xml:space="preserve">to convert both log-odds values to probabilities (Fluent = 35%, Disfluency = 30%).</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w:t>
      </w:r>
      <w:hyperlink w:anchor="ref-margeffects2024">
        <w:r>
          <w:rPr>
            <w:rStyle w:val="Hyperlink"/>
          </w:rPr>
          <w:t xml:space="preserve">Arel-Bundock et al., 2024</w:t>
        </w:r>
      </w:hyperlink>
      <w:r>
        <w:t xml:space="preserve">)</w:t>
      </w:r>
      <w:r>
        <w:t xml:space="preserve"> </w:t>
      </w:r>
      <w:r>
        <w:t xml:space="preserve">(see</w:t>
      </w:r>
      <w:r>
        <w:t xml:space="preserve"> </w:t>
      </w:r>
      <w:hyperlink w:anchor="lst-me">
        <w:r>
          <w:rPr>
            <w:rStyle w:val="Hyperlink"/>
          </w:rPr>
          <w:t xml:space="preserve">Listing 7</w:t>
        </w:r>
      </w:hyperlink>
      <w:r>
        <w:t xml:space="preserve">). To get the proportions for each of our categorical predictors on the mu 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4</w:t>
        </w:r>
      </w:hyperlink>
      <w:r>
        <w:t xml:space="preserve">. These probablities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90" w:name="lst-me"/>
          <w:p>
            <w:pPr>
              <w:jc w:val="center"/>
            </w:pPr>
            <w:pPr>
              <w:jc w:val="start"/>
              <w:spacing w:before="200"/>
              <w:pStyle w:val="ImageCaption"/>
            </w:pPr>
            <w:r>
              <w:t xml:space="preserve">Listing 7: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90"/>
        </w:tc>
      </w:tr>
    </w:tbl>
    <w:tbl>
      <w:tblPr>
        <w:tblStyle w:val="Table"/>
        <w:tblW w:type="pct" w:w="5000"/>
        <w:tblLayout w:type="fixed"/>
        <w:tblLook w:firstRow="0" w:lastRow="0" w:firstColumn="0" w:lastColumn="0" w:noHBand="0" w:noVBand="0" w:val="0000"/>
      </w:tblPr>
      <w:tblGrid>
        <w:gridCol w:w="7920"/>
      </w:tblGrid>
      <w:tr>
        <w:tc>
          <w:tcPr/>
          <w:bookmarkStart w:id="91" w:name="lst-pred"/>
          <w:p>
            <w:pPr>
              <w:jc w:val="center"/>
            </w:pPr>
            <w:pPr>
              <w:jc w:val="start"/>
              <w:spacing w:before="200"/>
              <w:pStyle w:val="ImageCaption"/>
            </w:pPr>
            <w:r>
              <w:t xml:space="preserve">Listing 8: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91"/>
        </w:tc>
      </w:tr>
    </w:tbl>
    <w:bookmarkStart w:id="92" w:name="tbl-predict-prob"/>
    <w:p>
      <w:pPr>
        <w:pStyle w:val="FigureTitle"/>
      </w:pPr>
      <w:r>
        <w:t xml:space="preserve">Table 4</w:t>
      </w:r>
    </w:p>
    <w:p>
      <w:pPr>
        <w:pStyle w:val="Caption"/>
      </w:pPr>
      <w:r>
        <w:t xml:space="preserve">Predicted probablities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0.298</w:t>
            </w:r>
          </w:p>
        </w:tc>
        <w:tc>
          <w:tcPr/>
          <w:p>
            <w:pPr>
              <w:pStyle w:val="Compact"/>
            </w:pPr>
            <w:r>
              <w:t xml:space="preserve">[0.25, 0.349]</w:t>
            </w:r>
          </w:p>
        </w:tc>
      </w:tr>
      <w:tr>
        <w:tc>
          <w:tcPr/>
          <w:p>
            <w:pPr>
              <w:pStyle w:val="Compact"/>
            </w:pPr>
            <w:r>
              <w:t xml:space="preserve">Fluent</w:t>
            </w:r>
          </w:p>
        </w:tc>
        <w:tc>
          <w:tcPr/>
          <w:p>
            <w:pPr>
              <w:pStyle w:val="Compact"/>
            </w:pPr>
            <w:r>
              <w:t xml:space="preserve">0.353</w:t>
            </w:r>
          </w:p>
        </w:tc>
        <w:tc>
          <w:tcPr/>
          <w:p>
            <w:pPr>
              <w:pStyle w:val="Compact"/>
            </w:pPr>
            <w:r>
              <w:t xml:space="preserve">[0.302, 0.408]</w:t>
            </w:r>
          </w:p>
        </w:tc>
      </w:tr>
    </w:tbl>
    <w:bookmarkEnd w:id="92"/>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35% on the final exam compared to 30%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3" w:name="lst-plotbeta"/>
          <w:p>
            <w:pPr>
              <w:jc w:val="center"/>
            </w:pPr>
            <w:pPr>
              <w:jc w:val="start"/>
              <w:spacing w:before="200"/>
              <w:pStyle w:val="ImageCaption"/>
            </w:pPr>
            <w:r>
              <w:t xml:space="preserve">Listing 9: Plot predicted probablities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by = "Fluency")</w:t>
            </w:r>
          </w:p>
          <w:bookmarkEnd w:id="93"/>
        </w:tc>
      </w:tr>
    </w:tbl>
    <w:p>
      <w:pPr>
        <w:pStyle w:val="FirstParagraph"/>
      </w:pPr>
      <w:r>
        <w:t xml:space="preserve">The</w:t>
      </w:r>
      <w:r>
        <w:t xml:space="preserve"> </w:t>
      </w:r>
      <w:r>
        <w:rPr>
          <w:rStyle w:val="VerbatimChar"/>
        </w:rPr>
        <w:t xml:space="preserve">plot_predictions()</w:t>
      </w:r>
      <w:r>
        <w:t xml:space="preserve"> </w:t>
      </w:r>
      <w:r>
        <w:t xml:space="preserve">fucntuon will only display the point estimate with the 95% credible intervals.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10</w:t>
        </w:r>
      </w:hyperlink>
      <w:r>
        <w:t xml:space="preserve">). We can then plot these results to illustrate the range of plausible values for our estimates at different levels of uncertainty (e.g., 80% or 95%; see</w:t>
      </w:r>
      <w:r>
        <w:t xml:space="preserve"> </w:t>
      </w:r>
      <w:hyperlink w:anchor="fig-draws-fluency">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4" w:name="lst-posdraws"/>
          <w:p>
            <w:pPr>
              <w:jc w:val="center"/>
            </w:pPr>
            <w:pPr>
              <w:jc w:val="start"/>
              <w:spacing w:before="200"/>
              <w:pStyle w:val="ImageCaption"/>
            </w:pPr>
            <w:r>
              <w:t xml:space="preserve">Listing 10: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94"/>
        </w:tc>
      </w:tr>
    </w:tbl>
    <w:bookmarkStart w:id="98" w:name="fig-draws-fluency"/>
    <w:p>
      <w:pPr>
        <w:pStyle w:val="FigureTitle"/>
      </w:pPr>
      <w:r>
        <w:t xml:space="preserve">Figure 6</w:t>
      </w:r>
    </w:p>
    <w:p>
      <w:pPr>
        <w:pStyle w:val="Caption"/>
      </w:pPr>
      <w:r>
        <w:t xml:space="preserve">Predicted probablity posterior distributions by fluency</w:t>
      </w:r>
    </w:p>
    <w:p>
      <w:pPr>
        <w:pStyle w:val="FigureWithoutNote"/>
      </w:pPr>
      <w:r>
        <w:drawing>
          <wp:inline>
            <wp:extent cx="5504749" cy="3400711"/>
            <wp:effectExtent b="0" l="0" r="0" t="0"/>
            <wp:docPr descr="" title="" id="96" name="Picture"/>
            <a:graphic>
              <a:graphicData uri="http://schemas.openxmlformats.org/drawingml/2006/picture">
                <pic:pic>
                  <pic:nvPicPr>
                    <pic:cNvPr descr="ms_files/figure-docx/fig-draws-fluency-1.png" id="97" name="Picture"/>
                    <pic:cNvPicPr>
                      <a:picLocks noChangeArrowheads="1" noChangeAspect="1"/>
                    </pic:cNvPicPr>
                  </pic:nvPicPr>
                  <pic:blipFill>
                    <a:blip r:embed="rId95"/>
                    <a:stretch>
                      <a:fillRect/>
                    </a:stretch>
                  </pic:blipFill>
                  <pic:spPr bwMode="auto">
                    <a:xfrm>
                      <a:off x="0" y="0"/>
                      <a:ext cx="5504749" cy="3400711"/>
                    </a:xfrm>
                    <a:prstGeom prst="rect">
                      <a:avLst/>
                    </a:prstGeom>
                    <a:noFill/>
                    <a:ln w="9525">
                      <a:noFill/>
                      <a:headEnd/>
                      <a:tailEnd/>
                    </a:ln>
                  </pic:spPr>
                </pic:pic>
              </a:graphicData>
            </a:graphic>
          </wp:inline>
        </w:drawing>
      </w:r>
    </w:p>
    <w:bookmarkEnd w:id="98"/>
    <w:bookmarkEnd w:id="99"/>
    <w:bookmarkStart w:id="104" w:name="marginal-effects"/>
    <w:p>
      <w:pPr>
        <w:pStyle w:val="Heading3"/>
      </w:pPr>
      <w:r>
        <w:t xml:space="preserve">Marginal Effects</w:t>
      </w:r>
    </w:p>
    <w:p>
      <w:pPr>
        <w:pStyle w:val="FirstParagraph"/>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procedures translate raw regression coefficients back into effects that represent changes in the bounded outcome, such as an</w:t>
      </w:r>
      <w:r>
        <w:t xml:space="preserve"> </w:t>
      </w:r>
      <m:oMath>
        <m:r>
          <m:t>x</m:t>
        </m:r>
      </m:oMath>
      <w:r>
        <w:t xml:space="preserve">% change in the value of a proportion.</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w:t>
      </w:r>
      <w:hyperlink w:anchor="ref-emmeans">
        <w:r>
          <w:rPr>
            <w:rStyle w:val="Hyperlink"/>
          </w:rPr>
          <w:t xml:space="preserve">Lenth, 2025</w:t>
        </w:r>
      </w:hyperlink>
      <w:r>
        <w:t xml:space="preserve">)</w:t>
      </w:r>
      <w:r>
        <w:t xml:space="preserve"> </w:t>
      </w:r>
      <w:r>
        <w:t xml:space="preserve">computes marginal effects by holding all predictors at their means. In this tutorial, we will use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11</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100" w:name="lst-avgcomp"/>
          <w:p>
            <w:pPr>
              <w:jc w:val="center"/>
            </w:pPr>
            <w:pPr>
              <w:jc w:val="start"/>
              <w:spacing w:before="200"/>
              <w:pStyle w:val="ImageCaption"/>
            </w:pPr>
            <w:r>
              <w:t xml:space="preserve">Listing 11: Calculating the difference between probablities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100"/>
        </w:tc>
      </w:tr>
    </w:tbl>
    <w:bookmarkStart w:id="101" w:name="tbl-ame1"/>
    <w:p>
      <w:pPr>
        <w:pStyle w:val="FigureTitle"/>
      </w:pPr>
      <w:r>
        <w:t xml:space="preserve">Table 5</w:t>
      </w:r>
    </w:p>
    <w:p>
      <w:pPr>
        <w:pStyle w:val="Caption"/>
      </w:pPr>
      <w:r>
        <w:t xml:space="preserve">Probability fluency difference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0.056</w:t>
            </w:r>
          </w:p>
        </w:tc>
        <w:tc>
          <w:tcPr/>
          <w:p>
            <w:pPr>
              <w:pStyle w:val="Compact"/>
            </w:pPr>
            <w:r>
              <w:t xml:space="preserve">[-0.015, 0.128]</w:t>
            </w:r>
          </w:p>
        </w:tc>
      </w:tr>
    </w:tbl>
    <w:bookmarkEnd w:id="101"/>
    <w:p>
      <w:pPr>
        <w:pStyle w:val="AfterWithoutNote"/>
      </w:pPr>
      <w:hyperlink w:anchor="tbl-ame1">
        <w:r>
          <w:rPr>
            <w:rStyle w:val="Hyperlink"/>
          </w:rPr>
          <w:t xml:space="preserve">Table 5</w:t>
        </w:r>
      </w:hyperlink>
      <w:r>
        <w:t xml:space="preserve"> </w:t>
      </w:r>
      <w:r>
        <w:t xml:space="preserve">displays the difference for the fluency factor (</w:t>
      </w:r>
      <w:r>
        <w:rPr>
          <w:rStyle w:val="VerbatimChar"/>
        </w:rPr>
        <w:t xml:space="preserve">Mean</w:t>
      </w:r>
      <w:r>
        <w:t xml:space="preserve"> </w:t>
      </w:r>
      <w:r>
        <w:t xml:space="preserve">column). The difference between the fluent and disfluent conditions is .06. That is, participants who watched a fluent instructor scored 6% higher on the final recall test than participants who watched the disfluent instructor. Our Cr.I contains 0 as one of the 95% most credible values, meaning we can’t rule out a null (0) or weakly negative effect. However, the probability of a positive effect (pd = 88%).</w:t>
      </w:r>
    </w:p>
    <w:bookmarkStart w:id="102" w:name="tbl-or"/>
    <w:p>
      <w:pPr>
        <w:pStyle w:val="FigureTitle"/>
      </w:pPr>
      <w:r>
        <w:t xml:space="preserve">Table 6</w:t>
      </w:r>
    </w:p>
    <w:p>
      <w:pPr>
        <w:pStyle w:val="Caption"/>
      </w:pPr>
      <w:r>
        <w:t xml:space="preserve">Odds ratio for fluency factor</w:t>
      </w:r>
    </w:p>
    <w:tbl>
      <w:tblPr>
        <w:tblStyle w:val="Table"/>
        <w:tblW w:type="pct" w:w="4863"/>
        <w:tblLayout w:type="fixed"/>
        <w:tblLook w:firstRow="1" w:lastRow="0" w:firstColumn="0" w:lastColumn="0" w:noHBand="0" w:noVBand="0" w:val="0020"/>
      </w:tblPr>
      <w:tblGrid>
        <w:gridCol w:w="1084"/>
        <w:gridCol w:w="4014"/>
        <w:gridCol w:w="759"/>
        <w:gridCol w:w="1844"/>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ln(odds(Fluent) / odds(Disfluent))</w:t>
            </w:r>
          </w:p>
        </w:tc>
        <w:tc>
          <w:tcPr/>
          <w:p>
            <w:pPr>
              <w:pStyle w:val="Compact"/>
            </w:pPr>
            <w:r>
              <w:t xml:space="preserve">1.29</w:t>
            </w:r>
          </w:p>
        </w:tc>
        <w:tc>
          <w:tcPr/>
          <w:p>
            <w:pPr>
              <w:pStyle w:val="Compact"/>
            </w:pPr>
            <w:r>
              <w:t xml:space="preserve">[0.933, 1.793]</w:t>
            </w:r>
          </w:p>
        </w:tc>
      </w:tr>
    </w:tbl>
    <w:bookmarkEnd w:id="102"/>
    <w:p>
      <w:pPr>
        <w:pStyle w:val="AfterWithoutNote"/>
      </w:pPr>
      <w:r>
        <w:t xml:space="preserve">In psychology, it is common to report effect size measures like Cohen’s</w:t>
      </w:r>
      <w:r>
        <w:t xml:space="preserve"> </w:t>
      </w:r>
      <w:r>
        <w:rPr>
          <w:i/>
          <w:iCs/>
        </w:rPr>
        <w:t xml:space="preserve">d</w:t>
      </w:r>
      <w:r>
        <w:t xml:space="preserve"> </w:t>
      </w:r>
      <w:r>
        <w:t xml:space="preserve">(</w:t>
      </w:r>
      <w:hyperlink w:anchor="ref-cohen1977">
        <w:r>
          <w:rPr>
            <w:rStyle w:val="Hyperlink"/>
          </w:rPr>
          <w:t xml:space="preserve">Cohen, 1977</w:t>
        </w:r>
      </w:hyperlink>
      <w:r>
        <w:t xml:space="preserve">)</w:t>
      </w:r>
      <w:r>
        <w:t xml:space="preserve">. When working with proportions we can calculate something similar called Cohen’s</w:t>
      </w:r>
      <w:r>
        <w:t xml:space="preserve"> </w:t>
      </w:r>
      <w:r>
        <w:rPr>
          <w:i/>
          <w:iCs/>
        </w:rPr>
        <w:t xml:space="preserve">h</w:t>
      </w:r>
      <w:r>
        <w:t xml:space="preserve">. Taking our proportions, we can use the below equation (</w:t>
      </w:r>
      <w:hyperlink w:anchor="eq-cohenh">
        <w:r>
          <w:rPr>
            <w:rStyle w:val="Hyperlink"/>
          </w:rPr>
          <w:t xml:space="preserve">Equation 2</w:t>
        </w:r>
      </w:hyperlink>
      <w:r>
        <w:t xml:space="preserve">) to calculate Cohen’s</w:t>
      </w:r>
      <w:r>
        <w:t xml:space="preserve"> </w:t>
      </w:r>
      <w:r>
        <w:rPr>
          <w:i/>
          <w:iCs/>
        </w:rPr>
        <w:t xml:space="preserve">h</w:t>
      </w:r>
      <w:r>
        <w:t xml:space="preserve"> </w:t>
      </w:r>
      <w:r>
        <w:t xml:space="preserve">along with the 95% CIs around it. Using this metric we see the effect size is small (0.107), 95% credible interval [-0.002, 0.361].</w:t>
      </w:r>
    </w:p>
    <w:p>
      <w:pPr>
        <w:pStyle w:val="BodyText"/>
      </w:pPr>
      <w:bookmarkStart w:id="103" w:name="eq-cohenh"/>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r>
            <m:t>  </m:t>
          </m:r>
          <m:d>
            <m:dPr>
              <m:begChr m:val="("/>
              <m:sepChr m:val=""/>
              <m:endChr m:val=")"/>
              <m:grow/>
            </m:dPr>
            <m:e>
              <m:r>
                <m:t>2</m:t>
              </m:r>
            </m:e>
          </m:d>
        </m:oMath>
      </m:oMathPara>
      <w:bookmarkEnd w:id="103"/>
    </w:p>
    <w:bookmarkEnd w:id="104"/>
    <w:bookmarkStart w:id="105" w:name="posterior-predictive-check"/>
    <w:p>
      <w:pPr>
        <w:pStyle w:val="Heading3"/>
      </w:pPr>
      <w:r>
        <w:t xml:space="preserve">Posterior Predictive Check</w:t>
      </w:r>
    </w:p>
    <w:p>
      <w:pPr>
        <w:pStyle w:val="FirstParagraph"/>
      </w:pPr>
      <w:hyperlink w:anchor="fig-ppcheckall">
        <w:r>
          <w:rPr>
            <w:rStyle w:val="Hyperlink"/>
          </w:rPr>
          <w:t xml:space="preserve">Figure 4</w:t>
        </w:r>
      </w:hyperlink>
      <w:r>
        <w:t xml:space="preserve"> </w:t>
      </w:r>
      <w:r>
        <w:t xml:space="preserve">(B) shows the predictive check for our beta model. The model does a pretty good job at capturing the data (The draws are now between 0-1) and the the model predicted values follow the observed data. However, it could be better.</w:t>
      </w:r>
    </w:p>
    <w:bookmarkEnd w:id="105"/>
    <w:bookmarkEnd w:id="106"/>
    <w:bookmarkStart w:id="118"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regression model, we removed these values, but we have left out potentially valuable information from our model–especially if the end points of the scale are distinctive in some way. In our case, these 0s may be structural—that is, they represent real, systematic instances where participants failed to answer correctly (rather than random noise or measurement error). For example, the fluency of the instructor might be a key factor in predicting these zero responses. We will discuss two approaches for jointly modeling these end points with the continuous data. First, we can use a zero-inflated Beta (ZIB) model.</w:t>
      </w:r>
      <w:r>
        <w:rPr>
          <w:rStyle w:val="FootnoteReference"/>
        </w:rPr>
        <w:footnoteReference w:id="107"/>
      </w:r>
      <w:r>
        <w:t xml:space="preserve"> </w:t>
      </w:r>
      <w:r>
        <w:t xml:space="preserve">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0s.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of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nudge [YIKES - LET’S BE CONSISTENT HERE–WE SHOULD USE THE ZOIB IF RATHER THAN NUDGE] our 1s to .99–we can keep our 0s.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8" w:name="lst-zib"/>
          <w:p>
            <w:pPr>
              <w:jc w:val="center"/>
            </w:pPr>
            <w:pPr>
              <w:jc w:val="start"/>
              <w:spacing w:before="200"/>
              <w:pStyle w:val="ImageCaption"/>
            </w:pPr>
            <w:r>
              <w:t xml:space="preserve">Listing 12: Fitting zib model with</w:t>
            </w:r>
            <w:r>
              <w:t xml:space="preserve"> </w:t>
            </w:r>
            <w:r>
              <w:rPr>
                <w:rStyle w:val="VerbatimChar"/>
              </w:rPr>
              <w:t xml:space="preserve">brm()</w:t>
            </w:r>
          </w:p>
          <w:p>
            <w:pPr>
              <w:pStyle w:val="SourceCode"/>
              <w:jc w:val="center"/>
            </w:pPr>
            <w:r>
              <w:rPr>
                <w:rStyle w:val="VerbatimChar"/>
              </w:rPr>
              <w:t xml:space="preserve"># keep 0 but remove 1</w:t>
            </w:r>
            <w:r>
              <w:br/>
            </w:r>
            <w:r>
              <w:rPr>
                <w:rStyle w:val="VerbatimChar"/>
              </w:rPr>
              <w:t xml:space="preserve">data_beta_0 &lt;- fluency_data |&gt;</w:t>
            </w:r>
            <w:r>
              <w:br/>
            </w:r>
            <w:r>
              <w:rPr>
                <w:rStyle w:val="VerbatimChar"/>
              </w:rPr>
              <w:t xml:space="preserve">  filter(Accuracy != 1)</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"bayes_zib_model0not1"</w:t>
            </w:r>
            <w:r>
              <w:br/>
            </w:r>
            <w:r>
              <w:rPr>
                <w:rStyle w:val="VerbatimChar"/>
              </w:rPr>
              <w:t xml:space="preserve">)</w:t>
            </w:r>
          </w:p>
          <w:bookmarkEnd w:id="108"/>
        </w:tc>
      </w:tr>
    </w:tbl>
    <w:bookmarkStart w:id="109" w:name="posterior-predictive-check-1"/>
    <w:p>
      <w:pPr>
        <w:pStyle w:val="Heading3"/>
      </w:pPr>
      <w:r>
        <w:t xml:space="preserve">Posterior Predictive Check</w:t>
      </w:r>
    </w:p>
    <w:p>
      <w:pPr>
        <w:pStyle w:val="FirstParagraph"/>
      </w:pPr>
      <w:r>
        <w:t xml:space="preserve">The ZIB model does a bit better at capturing the sturture of the data then the Beta regression model (see</w:t>
      </w:r>
      <w:r>
        <w:t xml:space="preserve"> </w:t>
      </w:r>
      <w:hyperlink w:anchor="fig-ppcheckall">
        <w:r>
          <w:rPr>
            <w:rStyle w:val="Hyperlink"/>
          </w:rPr>
          <w:t xml:space="preserve">Figure 4</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0s (or near-zero values) via its inflation component, allowing it to better account for features in the data that a standard Beta distribution cannot accommodate.</w:t>
      </w:r>
    </w:p>
    <w:bookmarkEnd w:id="109"/>
    <w:bookmarkStart w:id="112"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w:t>
      </w:r>
      <w:hyperlink w:anchor="ref-marginaleffects">
        <w:r>
          <w:rPr>
            <w:rStyle w:val="Hyperlink"/>
          </w:rPr>
          <w:t xml:space="preserve">Arel-Bundock, 2024</w:t>
        </w:r>
      </w:hyperlink>
      <w:r>
        <w:t xml:space="preserve">)</w:t>
      </w:r>
      <w:r>
        <w:t xml:space="preserve"> </w:t>
      </w:r>
      <w:r>
        <w:t xml:space="preserve">to get predicted probablities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7</w:t>
        </w:r>
      </w:hyperlink>
      <w:r>
        <w:t xml:space="preserve">, there is little evidence for an effect of Fluency – the 95% CI includes zero, suggesting substantial uncertainty about the direction and magnitude of the effect.</w:t>
      </w:r>
    </w:p>
    <w:bookmarkStart w:id="110" w:name="tbl-marg-mu-brms"/>
    <w:p>
      <w:pPr>
        <w:pStyle w:val="FigureTitle"/>
      </w:pPr>
      <w:r>
        <w:t xml:space="preserve">Table 7</w:t>
      </w:r>
    </w:p>
    <w:p>
      <w:pPr>
        <w:pStyle w:val="Caption"/>
      </w:pPr>
      <w:r>
        <w:t xml:space="preserve">Probablity fluency difference (</w:t>
      </w:r>
      <m:oMath>
        <m:r>
          <m:t>μ</m:t>
        </m:r>
      </m:oMath>
      <w:r>
        <w:t xml:space="preserv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0.044</w:t>
            </w:r>
          </w:p>
        </w:tc>
        <w:tc>
          <w:tcPr/>
          <w:p>
            <w:pPr>
              <w:pStyle w:val="Compact"/>
            </w:pPr>
            <w:r>
              <w:t xml:space="preserve">[-0.032, 0.117]</w:t>
            </w:r>
          </w:p>
        </w:tc>
      </w:tr>
    </w:tbl>
    <w:bookmarkEnd w:id="110"/>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8</w:t>
        </w:r>
      </w:hyperlink>
      <w:r>
        <w:t xml:space="preserve">, the posterior estimates suggest a credible effect of Fluency on dispersion (</w:t>
      </w:r>
      <m:oMath>
        <m:r>
          <m:t>ϕ</m:t>
        </m:r>
      </m:oMath>
      <w:r>
        <w:t xml:space="preserve">), with disfluent responses showing greater variability. The 95% CI for the fluency contrast does not include zero, indicating meaningful differences in precision.</w:t>
      </w:r>
    </w:p>
    <w:bookmarkStart w:id="111" w:name="tbl-marg-phi-brms"/>
    <w:p>
      <w:pPr>
        <w:pStyle w:val="FigureTitle"/>
      </w:pPr>
      <w:r>
        <w:t xml:space="preserve">Table 8</w:t>
      </w:r>
    </w:p>
    <w:p>
      <w:pPr>
        <w:pStyle w:val="Caption"/>
      </w:pPr>
      <w:r>
        <w:t xml:space="preserve">Probablity fluency difference (</w:t>
      </w:r>
      <m:oMath>
        <m:r>
          <m:t>ϕ</m:t>
        </m:r>
      </m:oMath>
      <w:r>
        <w:t xml:space="preserve">)</w:t>
      </w:r>
    </w:p>
    <w:tbl>
      <w:tblPr>
        <w:tblStyle w:val="Table"/>
        <w:tblW w:type="pct" w:w="3750"/>
        <w:tblLayout w:type="fixed"/>
        <w:tblLook w:firstRow="1" w:lastRow="0" w:firstColumn="0" w:lastColumn="0" w:noHBand="0" w:noVBand="0" w:val="0020"/>
      </w:tblPr>
      <w:tblGrid>
        <w:gridCol w:w="1100"/>
        <w:gridCol w:w="2310"/>
        <w:gridCol w:w="770"/>
        <w:gridCol w:w="176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2.67</w:t>
            </w:r>
          </w:p>
        </w:tc>
        <w:tc>
          <w:tcPr/>
          <w:p>
            <w:pPr>
              <w:pStyle w:val="Compact"/>
            </w:pPr>
            <w:r>
              <w:t xml:space="preserve">[-0.928, 6.4]</w:t>
            </w:r>
          </w:p>
        </w:tc>
      </w:tr>
    </w:tbl>
    <w:bookmarkEnd w:id="111"/>
    <w:bookmarkEnd w:id="112"/>
    <w:bookmarkStart w:id="117" w:name="zero-inflation"/>
    <w:p>
      <w:pPr>
        <w:pStyle w:val="Heading3"/>
      </w:pPr>
      <w:r>
        <w:t xml:space="preserve">Zero-Inflation</w:t>
      </w:r>
    </w:p>
    <w:p>
      <w:pPr>
        <w:pStyle w:val="FirstParagraph"/>
      </w:pPr>
      <w:r>
        <w:t xml:space="preserve">We can harness the power of</w:t>
      </w:r>
      <w:r>
        <w:t xml:space="preserve"> </w:t>
      </w:r>
      <w:r>
        <w:rPr>
          <w:rStyle w:val="VerbatimChar"/>
        </w:rPr>
        <w:t xml:space="preserve">marginaleffects</w:t>
      </w:r>
      <w:r>
        <w:t xml:space="preserve"> </w:t>
      </w:r>
      <w:r>
        <w:t xml:space="preserve">again and plot the posterior difference between the fluent and disfluent conditions (see</w:t>
      </w:r>
      <w:r>
        <w:t xml:space="preserve"> </w:t>
      </w:r>
      <w:hyperlink w:anchor="fig-zi-plot">
        <w:r>
          <w:rPr>
            <w:rStyle w:val="Hyperlink"/>
          </w:rPr>
          <w:t xml:space="preserve">Figure 7</w:t>
        </w:r>
      </w:hyperlink>
      <w:r>
        <w:t xml:space="preserve">). In</w:t>
      </w:r>
      <w:r>
        <w:t xml:space="preserve"> </w:t>
      </w:r>
      <w:hyperlink w:anchor="fig-zi-plot">
        <w:r>
          <w:rPr>
            <w:rStyle w:val="Hyperlink"/>
          </w:rPr>
          <w:t xml:space="preserve">Figure 7</w:t>
        </w:r>
      </w:hyperlink>
      <w:r>
        <w:t xml:space="preserve">, there is evidence that watching a lecture video with a fluent instructor reduces the probability of a zero response by approximately 13%. The 95% CI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probablity of each level (see</w:t>
      </w:r>
      <w:r>
        <w:t xml:space="preserve"> </w:t>
      </w:r>
      <w:hyperlink w:anchor="fig-zi-plot">
        <w:r>
          <w:rPr>
            <w:rStyle w:val="Hyperlink"/>
          </w:rPr>
          <w:t xml:space="preserve">Figure 7</w:t>
        </w:r>
      </w:hyperlink>
      <w:r>
        <w:t xml:space="preserve">).</w:t>
      </w:r>
    </w:p>
    <w:bookmarkStart w:id="116" w:name="fig-zi-plot"/>
    <w:p>
      <w:pPr>
        <w:pStyle w:val="FigureTitle"/>
      </w:pPr>
      <w:r>
        <w:t xml:space="preserve">Figure 7</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14" name="Picture"/>
            <a:graphic>
              <a:graphicData uri="http://schemas.openxmlformats.org/drawingml/2006/picture">
                <pic:pic>
                  <pic:nvPicPr>
                    <pic:cNvPr descr="ms_files/figure-docx/fig-zi-plot-1.png" id="115" name="Picture"/>
                    <pic:cNvPicPr>
                      <a:picLocks noChangeArrowheads="1" noChangeAspect="1"/>
                    </pic:cNvPicPr>
                  </pic:nvPicPr>
                  <pic:blipFill>
                    <a:blip r:embed="rId113"/>
                    <a:stretch>
                      <a:fillRect/>
                    </a:stretch>
                  </pic:blipFill>
                  <pic:spPr bwMode="auto">
                    <a:xfrm>
                      <a:off x="0" y="0"/>
                      <a:ext cx="5504749" cy="3400711"/>
                    </a:xfrm>
                    <a:prstGeom prst="rect">
                      <a:avLst/>
                    </a:prstGeom>
                    <a:noFill/>
                    <a:ln w="9525">
                      <a:noFill/>
                      <a:headEnd/>
                      <a:tailEnd/>
                    </a:ln>
                  </pic:spPr>
                </pic:pic>
              </a:graphicData>
            </a:graphic>
          </wp:inline>
        </w:drawing>
      </w:r>
    </w:p>
    <w:bookmarkEnd w:id="116"/>
    <w:bookmarkEnd w:id="117"/>
    <w:bookmarkEnd w:id="118"/>
    <w:bookmarkStart w:id="128"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19"/>
      </w:r>
      <w:r>
        <w:t xml:space="preserve"> </w:t>
      </w:r>
      <w:r>
        <w:t xml:space="preserve">In our previous examples we either got rid of both 0s and 1s (Beta regression), or removed the 1s (ZIB). Sometimes it is theoretically useful to model both 0s and 1s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w:t>
      </w:r>
      <w:hyperlink w:anchor="ref-kong2016">
        <w:r>
          <w:rPr>
            <w:rStyle w:val="Hyperlink"/>
          </w:rPr>
          <w:t xml:space="preserve">Kong &amp; Edwards, 2016</w:t>
        </w:r>
      </w:hyperlink>
      <w:r>
        <w:t xml:space="preserve">)</w:t>
      </w:r>
      <w:r>
        <w:t xml:space="preserve">, in JOL tasks</w:t>
      </w:r>
      <w:r>
        <w:t xml:space="preserve"> </w:t>
      </w:r>
      <w:r>
        <w:t xml:space="preserve">(</w:t>
      </w:r>
      <w:hyperlink w:anchor="ref-wilford2020">
        <w:r>
          <w:rPr>
            <w:rStyle w:val="Hyperlink"/>
          </w:rPr>
          <w:t xml:space="preserve">Wilford et al., 2020</w:t>
        </w:r>
      </w:hyperlink>
      <w:r>
        <w:t xml:space="preserve">)</w:t>
      </w:r>
      <w:r>
        <w:t xml:space="preserve">, or in a free-list task where individuals provide open responses to some question or topic which are then recoded to fall between 0-1</w:t>
      </w:r>
      <w:r>
        <w:t xml:space="preserve"> </w:t>
      </w:r>
      <w:r>
        <w:t xml:space="preserve">(</w:t>
      </w:r>
      <w:hyperlink w:anchor="ref-bendixen2023">
        <w:r>
          <w:rPr>
            <w:rStyle w:val="Hyperlink"/>
          </w:rPr>
          <w:t xml:space="preserve">Bendixen &amp; Purzycki, 2023</w:t>
        </w:r>
      </w:hyperlink>
      <w:r>
        <w:t xml:space="preserve">)</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8</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3" w:name="fig-zoib"/>
    <w:p>
      <w:pPr>
        <w:pStyle w:val="FigureTitle"/>
      </w:pPr>
      <w:r>
        <w:t xml:space="preserve">Figure 8</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21" name="Picture"/>
            <a:graphic>
              <a:graphicData uri="http://schemas.openxmlformats.org/drawingml/2006/picture">
                <pic:pic>
                  <pic:nvPicPr>
                    <pic:cNvPr descr="ms_files/figure-docx/fig-zoib-1.png" id="122" name="Picture"/>
                    <pic:cNvPicPr>
                      <a:picLocks noChangeArrowheads="1" noChangeAspect="1"/>
                    </pic:cNvPicPr>
                  </pic:nvPicPr>
                  <pic:blipFill>
                    <a:blip r:embed="rId120"/>
                    <a:stretch>
                      <a:fillRect/>
                    </a:stretch>
                  </pic:blipFill>
                  <pic:spPr bwMode="auto">
                    <a:xfrm>
                      <a:off x="0" y="0"/>
                      <a:ext cx="5943600" cy="3672649"/>
                    </a:xfrm>
                    <a:prstGeom prst="rect">
                      <a:avLst/>
                    </a:prstGeom>
                    <a:noFill/>
                    <a:ln w="9525">
                      <a:noFill/>
                      <a:headEnd/>
                      <a:tailEnd/>
                    </a:ln>
                  </pic:spPr>
                </pic:pic>
              </a:graphicData>
            </a:graphic>
          </wp:inline>
        </w:drawing>
      </w:r>
    </w:p>
    <w:bookmarkEnd w:id="123"/>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13</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24" w:name="lst-zoib"/>
          <w:p>
            <w:pPr>
              <w:jc w:val="center"/>
            </w:pPr>
            <w:pPr>
              <w:jc w:val="start"/>
              <w:spacing w:before="200"/>
              <w:pStyle w:val="ImageCaption"/>
            </w:pPr>
            <w:r>
              <w:t xml:space="preserve">Listing 13: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0s,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file = "bayes_zoib_model"</w:t>
            </w:r>
            <w:r>
              <w:br/>
            </w:r>
            <w:r>
              <w:rPr>
                <w:rStyle w:val="VerbatimChar"/>
              </w:rPr>
              <w:t xml:space="preserve">)</w:t>
            </w:r>
          </w:p>
          <w:bookmarkEnd w:id="124"/>
        </w:tc>
      </w:tr>
    </w:tbl>
    <w:bookmarkStart w:id="125" w:name="model-parameters-1"/>
    <w:p>
      <w:pPr>
        <w:pStyle w:val="Heading3"/>
      </w:pPr>
      <w:r>
        <w:t xml:space="preserve">Model Parameters</w:t>
      </w:r>
    </w:p>
    <w:p>
      <w:pPr>
        <w:pStyle w:val="FirstParagraph"/>
      </w:pPr>
      <w:r>
        <w:t xml:space="preserve">The output for the model is lengthy because we are estimating three distinct components,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5"/>
    <w:bookmarkStart w:id="127"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In addition, we show below how one can extract the predicted probabilities and marginal effects for</w:t>
      </w:r>
      <w:r>
        <w:t xml:space="preserve"> </w:t>
      </w:r>
      <m:oMath>
        <m:r>
          <m:t>γ</m:t>
        </m:r>
      </m:oMath>
      <w:r>
        <w:t xml:space="preserve"> </w:t>
      </w:r>
      <w:r>
        <w:t xml:space="preserve">(and a similar process for any other model component,</w:t>
      </w:r>
      <w:r>
        <w:t xml:space="preserve"> </w:t>
      </w:r>
      <w:r>
        <w:rPr>
          <w:rStyle w:val="VerbatimChar"/>
        </w:rPr>
        <w:t xml:space="preserve">zoi</w:t>
      </w:r>
      <w:r>
        <w:t xml:space="preserve">, etc.):</w:t>
      </w:r>
    </w:p>
    <w:tbl>
      <w:tblPr>
        <w:tblStyle w:val="Table"/>
        <w:tblW w:type="pct" w:w="5000"/>
        <w:tblLayout w:type="fixed"/>
        <w:tblLook w:firstRow="0" w:lastRow="0" w:firstColumn="0" w:lastColumn="0" w:noHBand="0" w:noVBand="0" w:val="0000"/>
      </w:tblPr>
      <w:tblGrid>
        <w:gridCol w:w="7920"/>
      </w:tblGrid>
      <w:tr>
        <w:tc>
          <w:tcPr/>
          <w:bookmarkStart w:id="126" w:name="lst-coi"/>
          <w:p>
            <w:pPr>
              <w:jc w:val="center"/>
            </w:pPr>
            <w:pPr>
              <w:jc w:val="start"/>
              <w:spacing w:before="200"/>
              <w:pStyle w:val="ImageCaption"/>
            </w:pPr>
            <w:r>
              <w:t xml:space="preserve">Listing 14: Extacting predicted probablities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26"/>
        </w:tc>
      </w:tr>
    </w:tbl>
    <w:bookmarkEnd w:id="127"/>
    <w:bookmarkEnd w:id="128"/>
    <w:bookmarkStart w:id="134"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fairly complex as it is fitting distinct sub-models for each component of the scale. The ability to consider 0s and 1s as distinct processes from continuous values comes at a price in terms of complexity and interpretability. A simplified version of the ZOIB was recently developed called ordered beta regression</w:t>
      </w:r>
      <w:r>
        <w:t xml:space="preserve"> </w:t>
      </w:r>
      <w:r>
        <w:t xml:space="preserve">(</w:t>
      </w:r>
      <w:hyperlink w:anchor="ref-kubinec2022">
        <w:r>
          <w:rPr>
            <w:rStyle w:val="Hyperlink"/>
          </w:rPr>
          <w:t xml:space="preserve">Kubinec, 2022</w:t>
        </w:r>
      </w:hyperlink>
      <w:r>
        <w:t xml:space="preserve">)</w:t>
      </w:r>
      <w:r>
        <w:t xml:space="preserve">. The ordered beta regression model exploits the fact that, for most analyses, the continuous values (between 0-1) and the discrete outcomes (e.g., 0 or 1) are</w:t>
      </w:r>
      <w:r>
        <w:t xml:space="preserve"> </w:t>
      </w:r>
      <w:r>
        <w:rPr>
          <w:i/>
          <w:iCs/>
        </w:rPr>
        <w:t xml:space="preserve">ordered</w:t>
      </w:r>
      <w:r>
        <w:t xml:space="preserve">. For example, as a covariate</w:t>
      </w:r>
      <w:r>
        <w:t xml:space="preserve"> </w:t>
      </w:r>
      <m:oMath>
        <m:r>
          <m:t>x</m:t>
        </m:r>
      </m:oMath>
      <w:r>
        <w:t xml:space="preserve"> </w:t>
      </w:r>
      <w:r>
        <w:t xml:space="preserve">increases or decreases, we should expect the bounded outcome</w:t>
      </w:r>
      <w:r>
        <w:t xml:space="preserve"> </w:t>
      </w:r>
      <m:oMath>
        <m:r>
          <m:t>y</m:t>
        </m:r>
      </m:oMath>
      <w:r>
        <w:t xml:space="preserve"> </w:t>
      </w:r>
      <w:r>
        <w:t xml:space="preserve">to increase or decrease monotonically as well from 0 to</w:t>
      </w:r>
      <w:r>
        <w:t xml:space="preserve"> </w:t>
      </w:r>
      <m:oMath>
        <m:d>
          <m:dPr>
            <m:begChr m:val="("/>
            <m:sepChr m:val=""/>
            <m:endChr m:val=")"/>
            <m:grow/>
          </m:dPr>
          <m:e>
            <m:r>
              <m:t>0</m:t>
            </m:r>
            <m:r>
              <m:rPr>
                <m:sty m:val="p"/>
              </m:rPr>
              <m:t>,</m:t>
            </m:r>
            <m:r>
              <m:t>1</m:t>
            </m:r>
          </m:e>
        </m:d>
      </m:oMath>
      <w:r>
        <w:t xml:space="preserve"> </w:t>
      </w:r>
      <w:r>
        <w:t xml:space="preserve">to 1. The ZOIB model does not impose this restriction; a covariate could increase and the response</w:t>
      </w:r>
      <w:r>
        <w:t xml:space="preserve"> </w:t>
      </w:r>
      <m:oMath>
        <m:r>
          <m:t>y</m:t>
        </m:r>
      </m:oMath>
      <w:r>
        <w:t xml:space="preserve"> </w:t>
      </w:r>
      <w:r>
        <w:t xml:space="preserve">could increase in its continuous values while</w:t>
      </w:r>
      <w:r>
        <w:t xml:space="preserve"> </w:t>
      </w:r>
      <w:r>
        <w:rPr>
          <w:i/>
          <w:iCs/>
        </w:rPr>
        <w:t xml:space="preserve">simultaneously</w:t>
      </w:r>
      <w:r>
        <w:t xml:space="preserve"> </w:t>
      </w:r>
      <w:r>
        <w:t xml:space="preserve">decreasing at</w:t>
      </w:r>
      <w:r>
        <w:t xml:space="preserve"> </w:t>
      </w:r>
      <w:r>
        <w:rPr>
          <w:i/>
          <w:iCs/>
        </w:rPr>
        <w:t xml:space="preserve">both</w:t>
      </w:r>
      <w:r>
        <w:t xml:space="preserve"> </w:t>
      </w:r>
      <w:r>
        <w:t xml:space="preserve">end points.</w:t>
      </w:r>
      <w:r>
        <w:rPr>
          <w:rStyle w:val="FootnoteReference"/>
        </w:rPr>
        <w:footnoteReference w:id="129"/>
      </w:r>
      <w:r>
        <w:t xml:space="preserve"> </w:t>
      </w:r>
      <w:r>
        <w:t xml:space="preserve">This complexity is not immediately obvious when fitting the ZOIB, nor is it a potential relationship that many scholars want to consider when examining how covariates influence a bounded scale.</w:t>
      </w:r>
    </w:p>
    <w:p>
      <w:pPr>
        <w:pStyle w:val="BodyText"/>
      </w:pPr>
      <w:r>
        <w:t xml:space="preserve">To make the response ordered, the ordered beta regression model estimates a weighted combination of a standard beta regression model for continuous responses and a logit model for the discrete values of the response. By doing so, the amount of distinctiveness between the continuous responses and the discrete end points is a function of the data (and any informative priors) rather than strictly defined as fully distinct processes as in the ZOIB. For some datasets, the continuous and discrete responses will be fairly distinct, and in others less so. The important condition is that while the different types of responses may be more or less qualitatively different, they remain similar</w:t>
      </w:r>
      <w:r>
        <w:t xml:space="preserve"> </w:t>
      </w:r>
      <w:r>
        <w:rPr>
          <w:i/>
          <w:iCs/>
        </w:rPr>
        <w:t xml:space="preserve">categorically.</w:t>
      </w:r>
      <w:r>
        <w:t xml:space="preserve"> </w:t>
      </w:r>
      <w:r>
        <w:t xml:space="preserve">To give a slightly absured example, if a value of 0 meant that the subject was a fish, and a value of 1 meant that the subject was now a trombone, then the ordered beta model would no longer be appropriate.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w:t>
      </w:r>
      <w:hyperlink w:anchor="ref-bürkner2019">
        <w:r>
          <w:rPr>
            <w:rStyle w:val="Hyperlink"/>
          </w:rPr>
          <w:t xml:space="preserve">Bürkner &amp; Vuorre, 2019</w:t>
        </w:r>
      </w:hyperlink>
      <w:r>
        <w:t xml:space="preserve">; but see</w:t>
      </w:r>
      <w:r>
        <w:t xml:space="preserve"> </w:t>
      </w:r>
      <w:hyperlink w:anchor="ref-Fullerton2023">
        <w:r>
          <w:rPr>
            <w:rStyle w:val="Hyperlink"/>
          </w:rPr>
          <w:t xml:space="preserve">Fullerton &amp; Anderson, 2021</w:t>
        </w:r>
      </w:hyperlink>
      <w:r>
        <w:t xml:space="preserve">)</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The continuous values in the middle, 0 to 1 (3), are modeled as a vanillla beta regression with parameters reflecting the mean response on the logit scale as we have described previously.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w:t>
      </w:r>
      <w:hyperlink w:anchor="ref-kubinec2022">
        <w:r>
          <w:rPr>
            <w:rStyle w:val="Hyperlink"/>
          </w:rPr>
          <w:t xml:space="preserve">Kubinec, 2022</w:t>
        </w:r>
      </w:hyperlink>
      <w:r>
        <w:t xml:space="preserve">)</w:t>
      </w:r>
      <w:r>
        <w:t xml:space="preserve"> </w:t>
      </w:r>
      <w:r>
        <w:t xml:space="preserve">herein and has seen increasing use across the biomedical and social sciences</w:t>
      </w:r>
      <w:r>
        <w:t xml:space="preserve"> </w:t>
      </w:r>
      <w:r>
        <w:t xml:space="preserve">(</w:t>
      </w:r>
      <w:hyperlink w:anchor="ref-martinVocalComplexitySocially2024">
        <w:r>
          <w:rPr>
            <w:rStyle w:val="Hyperlink"/>
          </w:rPr>
          <w:t xml:space="preserve">Martin et al., 2024</w:t>
        </w:r>
      </w:hyperlink>
      <w:r>
        <w:t xml:space="preserve">;</w:t>
      </w:r>
      <w:r>
        <w:t xml:space="preserve"> </w:t>
      </w:r>
      <w:hyperlink w:anchor="ref-nouvianGlyphosateImpairsAversive2023">
        <w:r>
          <w:rPr>
            <w:rStyle w:val="Hyperlink"/>
          </w:rPr>
          <w:t xml:space="preserve">Nouvian et al., 2023</w:t>
        </w:r>
      </w:hyperlink>
      <w:r>
        <w:t xml:space="preserve">;</w:t>
      </w:r>
      <w:r>
        <w:t xml:space="preserve"> </w:t>
      </w:r>
      <w:hyperlink w:anchor="ref-shresthaBigFiveTraits2024">
        <w:r>
          <w:rPr>
            <w:rStyle w:val="Hyperlink"/>
          </w:rPr>
          <w:t xml:space="preserve">Shrestha et al., 2024</w:t>
        </w:r>
      </w:hyperlink>
      <w:r>
        <w:t xml:space="preserve">;</w:t>
      </w:r>
      <w:r>
        <w:t xml:space="preserve"> </w:t>
      </w:r>
      <w:hyperlink w:anchor="X73e0fd26e5c8c052d5da51648b5fbc9fcbc8bf8">
        <w:r>
          <w:rPr>
            <w:rStyle w:val="Hyperlink"/>
          </w:rPr>
          <w:t xml:space="preserve">Smith et al., 2024</w:t>
        </w:r>
      </w:hyperlink>
      <w:r>
        <w:t xml:space="preserve">;</w:t>
      </w:r>
      <w:r>
        <w:t xml:space="preserve"> </w:t>
      </w:r>
      <w:hyperlink w:anchor="X7cd18eb73a2d92149a7ad2ca420611b508cf98b">
        <w:r>
          <w:rPr>
            <w:rStyle w:val="Hyperlink"/>
          </w:rPr>
          <w:t xml:space="preserve">Wilkes et al., 2024</w:t>
        </w:r>
      </w:hyperlink>
      <w:r>
        <w:t xml:space="preserve">)</w:t>
      </w:r>
      <w:r>
        <w:t xml:space="preserve"> </w:t>
      </w:r>
      <w:r>
        <w:t xml:space="preserve">because it produces only a single set of coefficient estimates in a similar manner to a standard beta regression or OLS.</w:t>
      </w:r>
    </w:p>
    <w:bookmarkStart w:id="133"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w:t>
      </w:r>
      <w:hyperlink w:anchor="ref-ordbetareg">
        <w:r>
          <w:rPr>
            <w:rStyle w:val="Hyperlink"/>
          </w:rPr>
          <w:t xml:space="preserve">Kubinec, 2023</w:t>
        </w:r>
      </w:hyperlink>
      <w:r>
        <w:t xml:space="preserve">)</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note that the</w:t>
      </w:r>
      <w:r>
        <w:t xml:space="preserve"> </w:t>
      </w:r>
      <w:r>
        <w:rPr>
          <w:rStyle w:val="VerbatimChar"/>
        </w:rPr>
        <w:t xml:space="preserve">ordbeta</w:t>
      </w:r>
      <w:r>
        <w:t xml:space="preserve"> </w:t>
      </w:r>
      <w:r>
        <w:t xml:space="preserve">model is also available as a maximum-likelihood variant in the R package</w:t>
      </w:r>
      <w:r>
        <w:t xml:space="preserve"> </w:t>
      </w:r>
      <w:r>
        <w:rPr>
          <w:rStyle w:val="VerbatimChar"/>
        </w:rPr>
        <w:t xml:space="preserve">glmmTMB</w:t>
      </w:r>
      <w:r>
        <w:t xml:space="preserve">.)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15</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0" w:name="lst-ordbeta"/>
          <w:p>
            <w:pPr>
              <w:jc w:val="center"/>
            </w:pPr>
            <w:pPr>
              <w:jc w:val="start"/>
              <w:spacing w:before="200"/>
              <w:pStyle w:val="ImageCaption"/>
            </w:pPr>
            <w:r>
              <w:t xml:space="preserve">Listing 15: Load</w:t>
            </w:r>
            <w:r>
              <w:t xml:space="preserve"> </w:t>
            </w:r>
            <w:r>
              <w:rPr>
                <w:rStyle w:val="VerbatimChar"/>
              </w:rPr>
              <w:t xml:space="preserve">ordbetareg</w:t>
            </w:r>
          </w:p>
          <w:p>
            <w:pPr>
              <w:pStyle w:val="SourceCode"/>
              <w:jc w:val="center"/>
            </w:pPr>
            <w:r>
              <w:rPr>
                <w:rStyle w:val="VerbatimChar"/>
              </w:rPr>
              <w:t xml:space="preserve">library(ordbetareg)</w:t>
            </w:r>
          </w:p>
          <w:bookmarkEnd w:id="130"/>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1" w:name="lst-fitordbeta"/>
          <w:p>
            <w:pPr>
              <w:jc w:val="center"/>
            </w:pPr>
            <w:pPr>
              <w:jc w:val="start"/>
              <w:spacing w:before="200"/>
              <w:pStyle w:val="ImageCaption"/>
            </w:pPr>
            <w:r>
              <w:t xml:space="preserve">Listing 16: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31"/>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17</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32" w:name="lst-ordbetadisp"/>
          <w:p>
            <w:pPr>
              <w:jc w:val="center"/>
            </w:pPr>
            <w:pPr>
              <w:jc w:val="start"/>
              <w:spacing w:before="200"/>
              <w:pStyle w:val="ImageCaption"/>
            </w:pPr>
            <w:r>
              <w:t xml:space="preserve">Listing 17: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32"/>
        </w:tc>
      </w:tr>
    </w:tbl>
    <w:bookmarkEnd w:id="133"/>
    <w:bookmarkEnd w:id="134"/>
    <w:bookmarkStart w:id="148"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35" w:name="tbl-ordbeta"/>
    <w:p>
      <w:pPr>
        <w:pStyle w:val="FigureTitle"/>
      </w:pPr>
      <w:r>
        <w:t xml:space="preserve">Table 10</w:t>
      </w:r>
    </w:p>
    <w:p>
      <w:pPr>
        <w:pStyle w:val="Caption"/>
      </w:pPr>
      <w:r>
        <w:t xml:space="preserve">Marginal effect for fluency factor in ordered Beta model</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0.061</w:t>
            </w:r>
          </w:p>
        </w:tc>
        <w:tc>
          <w:tcPr/>
          <w:p>
            <w:pPr>
              <w:pStyle w:val="Compact"/>
            </w:pPr>
            <w:r>
              <w:t xml:space="preserve">[-0.016, 0.135]</w:t>
            </w:r>
          </w:p>
        </w:tc>
      </w:tr>
    </w:tbl>
    <w:bookmarkEnd w:id="135"/>
    <w:p>
      <w:pPr>
        <w:pStyle w:val="AfterWithoutNote"/>
      </w:pPr>
      <w:r>
        <w:t xml:space="preserve">In</w:t>
      </w:r>
      <w:r>
        <w:t xml:space="preserve"> </w:t>
      </w:r>
      <w:hyperlink w:anchor="tbl-ordbeta">
        <w:r>
          <w:rPr>
            <w:rStyle w:val="Hyperlink"/>
          </w:rPr>
          <w:t xml:space="preserve">Table 10</w:t>
        </w:r>
      </w:hyperlink>
      <w:r>
        <w:t xml:space="preserve"> </w:t>
      </w:r>
      <w:r>
        <w:t xml:space="preserve">the credible interval is close enough to zero relative to its uncertainty that we can conclude there likely aren’t substantial differences between the conditions after taking dispersion and the 0s and 1s in our data into account.</w:t>
      </w:r>
    </w:p>
    <w:bookmarkStart w:id="137"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w:t>
      </w:r>
      <w:hyperlink w:anchor="ref-posterior2025a">
        <w:r>
          <w:rPr>
            <w:rStyle w:val="Hyperlink"/>
          </w:rPr>
          <w:t xml:space="preserve">Bürkner et al., 2025</w:t>
        </w:r>
      </w:hyperlink>
      <w:r>
        <w:t xml:space="preserve">)</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36" w:name="tbl-cutpoints"/>
    <w:p>
      <w:pPr>
        <w:pStyle w:val="FigureTitle"/>
      </w:pPr>
      <w:r>
        <w:t xml:space="preserve">Table 11</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-2.97</w:t>
            </w:r>
          </w:p>
        </w:tc>
        <w:tc>
          <w:tcPr/>
          <w:p>
            <w:pPr>
              <w:pStyle w:val="Compact"/>
            </w:pPr>
            <w:r>
              <w:t xml:space="preserve">[-3.55, -2.41]</w:t>
            </w:r>
          </w:p>
        </w:tc>
      </w:tr>
      <w:tr>
        <w:tc>
          <w:tcPr/>
          <w:p>
            <w:pPr>
              <w:pStyle w:val="Compact"/>
            </w:pPr>
            <w:r>
              <w:t xml:space="preserve">cutone</w:t>
            </w:r>
          </w:p>
        </w:tc>
        <w:tc>
          <w:tcPr/>
          <w:p>
            <w:pPr>
              <w:pStyle w:val="Compact"/>
            </w:pPr>
            <w:r>
              <w:t xml:space="preserve">1.85</w:t>
            </w:r>
          </w:p>
        </w:tc>
        <w:tc>
          <w:tcPr/>
          <w:p>
            <w:pPr>
              <w:pStyle w:val="Compact"/>
            </w:pPr>
            <w:r>
              <w:t xml:space="preserve">[1.64, 2.07]</w:t>
            </w:r>
          </w:p>
        </w:tc>
      </w:tr>
    </w:tbl>
    <w:bookmarkEnd w:id="136"/>
    <w:p>
      <w:pPr>
        <w:pStyle w:val="AfterWithoutNote"/>
      </w:pPr>
      <w:r>
        <w:t xml:space="preserve">In</w:t>
      </w:r>
      <w:r>
        <w:t xml:space="preserve"> </w:t>
      </w:r>
      <w:hyperlink w:anchor="tbl-cutpoints">
        <w:r>
          <w:rPr>
            <w:rStyle w:val="Hyperlink"/>
          </w:rPr>
          <w:t xml:space="preserve">Table 11</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 It is possible, though beyond the scope of this article, to model the location of the cutpoints with hierarchical (non-linear) covariates in</w:t>
      </w:r>
      <w:r>
        <w:t xml:space="preserve"> </w:t>
      </w:r>
      <w:r>
        <w:rPr>
          <w:rStyle w:val="VerbatimChar"/>
        </w:rPr>
        <w:t xml:space="preserve">brms</w:t>
      </w:r>
      <w:r>
        <w:t xml:space="preserve">.</w:t>
      </w:r>
    </w:p>
    <w:bookmarkEnd w:id="137"/>
    <w:bookmarkStart w:id="146"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9</w:t>
        </w:r>
      </w:hyperlink>
      <w:r>
        <w:t xml:space="preserve">).</w:t>
      </w:r>
    </w:p>
    <w:bookmarkStart w:id="141" w:name="fig-ppcheckord"/>
    <w:p>
      <w:pPr>
        <w:pStyle w:val="FigureTitle"/>
      </w:pPr>
      <w:r>
        <w:t xml:space="preserve">Figure 9</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39" name="Picture"/>
            <a:graphic>
              <a:graphicData uri="http://schemas.openxmlformats.org/drawingml/2006/picture">
                <pic:pic>
                  <pic:nvPicPr>
                    <pic:cNvPr descr="ms_files/figure-docx/fig-ppcheckord-1.png" id="140" name="Picture"/>
                    <pic:cNvPicPr>
                      <a:picLocks noChangeArrowheads="1" noChangeAspect="1"/>
                    </pic:cNvPicPr>
                  </pic:nvPicPr>
                  <pic:blipFill>
                    <a:blip r:embed="rId138"/>
                    <a:stretch>
                      <a:fillRect/>
                    </a:stretch>
                  </pic:blipFill>
                  <pic:spPr bwMode="auto">
                    <a:xfrm>
                      <a:off x="0" y="0"/>
                      <a:ext cx="5943600" cy="3671823"/>
                    </a:xfrm>
                    <a:prstGeom prst="rect">
                      <a:avLst/>
                    </a:prstGeom>
                    <a:noFill/>
                    <a:ln w="9525">
                      <a:noFill/>
                      <a:headEnd/>
                      <a:tailEnd/>
                    </a:ln>
                  </pic:spPr>
                </pic:pic>
              </a:graphicData>
            </a:graphic>
          </wp:inline>
        </w:drawing>
      </w:r>
    </w:p>
    <w:bookmarkEnd w:id="141"/>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neat visualization function called</w:t>
      </w:r>
      <w:r>
        <w:t xml:space="preserve"> </w:t>
      </w:r>
      <w:r>
        <w:rPr>
          <w:rStyle w:val="VerbatimChar"/>
        </w:rPr>
        <w:t xml:space="preserve">plot_heiss()</w:t>
      </w:r>
      <w:r>
        <w:t xml:space="preserve"> </w:t>
      </w:r>
      <w:r>
        <w:t xml:space="preserve">(</w:t>
      </w:r>
      <w:hyperlink w:anchor="ref-yeEnforcingBoundariesChinas2023">
        <w:r>
          <w:rPr>
            <w:rStyle w:val="Hyperlink"/>
          </w:rPr>
          <w:t xml:space="preserve">Ye &amp; Heiss, 2023</w:t>
        </w:r>
      </w:hyperlink>
      <w:r>
        <w:t xml:space="preserve">)</w:t>
      </w:r>
      <w:r>
        <w:t xml:space="preserve"> </w:t>
      </w:r>
      <w:r>
        <w:t xml:space="preserve">that can represent dispersion in the entire outcome as a function of discrete covariates.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10</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45" w:name="fig-heiss"/>
    <w:p>
      <w:pPr>
        <w:pStyle w:val="FigureTitle"/>
      </w:pPr>
      <w:r>
        <w:t xml:space="preserve">Figure 10</w:t>
      </w:r>
    </w:p>
    <w:p>
      <w:pPr>
        <w:pStyle w:val="Caption"/>
      </w:pPr>
      <w:r>
        <w:t xml:space="preserve">Heiss Plot of Predicted Probablities across the scale (0-100)</w:t>
      </w:r>
    </w:p>
    <w:p>
      <w:pPr>
        <w:pStyle w:val="FigureWithoutNote"/>
      </w:pPr>
      <w:r>
        <w:drawing>
          <wp:inline>
            <wp:extent cx="5504749" cy="3400711"/>
            <wp:effectExtent b="0" l="0" r="0" t="0"/>
            <wp:docPr descr="" title="" id="143" name="Picture"/>
            <a:graphic>
              <a:graphicData uri="http://schemas.openxmlformats.org/drawingml/2006/picture">
                <pic:pic>
                  <pic:nvPicPr>
                    <pic:cNvPr descr="ms_files/figure-docx/fig-heiss-1.png" id="144" name="Picture"/>
                    <pic:cNvPicPr>
                      <a:picLocks noChangeArrowheads="1" noChangeAspect="1"/>
                    </pic:cNvPicPr>
                  </pic:nvPicPr>
                  <pic:blipFill>
                    <a:blip r:embed="rId142"/>
                    <a:stretch>
                      <a:fillRect/>
                    </a:stretch>
                  </pic:blipFill>
                  <pic:spPr bwMode="auto">
                    <a:xfrm>
                      <a:off x="0" y="0"/>
                      <a:ext cx="5504749" cy="3400711"/>
                    </a:xfrm>
                    <a:prstGeom prst="rect">
                      <a:avLst/>
                    </a:prstGeom>
                    <a:noFill/>
                    <a:ln w="9525">
                      <a:noFill/>
                      <a:headEnd/>
                      <a:tailEnd/>
                    </a:ln>
                  </pic:spPr>
                </pic:pic>
              </a:graphicData>
            </a:graphic>
          </wp:inline>
        </w:drawing>
      </w:r>
    </w:p>
    <w:bookmarkEnd w:id="145"/>
    <w:bookmarkEnd w:id="146"/>
    <w:bookmarkStart w:id="147"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 and</w:t>
      </w:r>
      <w:r>
        <w:t xml:space="preserve"> </w:t>
      </w:r>
      <w:r>
        <w:rPr>
          <w:rStyle w:val="VerbatimChar"/>
        </w:rPr>
        <w:t xml:space="preserve">ordbetareg</w:t>
      </w:r>
      <w:r>
        <w:t xml:space="preserve"> </w:t>
      </w:r>
      <w:r>
        <w:t xml:space="preserve">will convert the model predictions back to the true bounds after estimation.</w:t>
      </w:r>
    </w:p>
    <w:bookmarkEnd w:id="147"/>
    <w:bookmarkEnd w:id="148"/>
    <w:bookmarkEnd w:id="149"/>
    <w:bookmarkStart w:id="151"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w:t>
      </w:r>
      <w:hyperlink w:anchor="ref-wilford2020">
        <w:r>
          <w:rPr>
            <w:rStyle w:val="Hyperlink"/>
          </w:rPr>
          <w:t xml:space="preserve">2020</w:t>
        </w:r>
      </w:hyperlink>
      <w:r>
        <w:t xml:space="preserve">)</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w:t>
      </w:r>
      <w:hyperlink w:anchor="ref-wilford2020">
        <w:r>
          <w:rPr>
            <w:rStyle w:val="Hyperlink"/>
          </w:rPr>
          <w:t xml:space="preserve">2020</w:t>
        </w:r>
      </w:hyperlink>
      <w:r>
        <w:t xml:space="preserve">)</w:t>
      </w:r>
      <w:r>
        <w:t xml:space="preserve">, we demonstrated that using traditional approaches (e.g.,</w:t>
      </w:r>
      <w:r>
        <w:t xml:space="preserve"> </w:t>
      </w:r>
      <w:r>
        <w:rPr>
          <w:i/>
          <w:iCs/>
        </w:rPr>
        <w:t xml:space="preserve">t</w:t>
      </w:r>
      <w:r>
        <w:t xml:space="preserve">-tests)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0s,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w:t>
      </w:r>
      <w:hyperlink w:anchor="ref-kubinec2022">
        <w:r>
          <w:rPr>
            <w:rStyle w:val="Hyperlink"/>
          </w:rPr>
          <w:t xml:space="preserve">Kubinec, 2022</w:t>
        </w:r>
      </w:hyperlink>
      <w:r>
        <w:t xml:space="preserve">)</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0s and/or 1s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0s and 1s might be appropriate.</w:t>
      </w:r>
    </w:p>
    <w:p>
      <w:pPr>
        <w:pStyle w:val="BodyText"/>
      </w:pPr>
      <w:r>
        <w:t xml:space="preserve">In the discussion section of</w:t>
      </w:r>
      <w:r>
        <w:t xml:space="preserve"> </w:t>
      </w:r>
      <w:r>
        <w:t xml:space="preserve">Wilford et al. (</w:t>
      </w:r>
      <w:hyperlink w:anchor="ref-wilford2020">
        <w:r>
          <w:rPr>
            <w:rStyle w:val="Hyperlink"/>
          </w:rPr>
          <w:t xml:space="preserve">2020</w:t>
        </w:r>
      </w:hyperlink>
      <w:r>
        <w:t xml:space="preserve">)</w:t>
      </w:r>
      <w:r>
        <w:t xml:space="preserve">, they were unable to offer a tenable explanation for performance differences based on instructor fluency. A model that accounts for the excess 0s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0s, you might fit two models: a traditional OLS regression excluding the 0s, and a logistic model to account for the zero versus non-zero distinction. If your data contain both 0s and 1s, you could fit separate models for the 0s and 1s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w:t>
      </w:r>
      <w:hyperlink w:anchor="ref-betareg">
        <w:r>
          <w:rPr>
            <w:rStyle w:val="Hyperlink"/>
          </w:rPr>
          <w:t xml:space="preserve">Cribari-Neto &amp; Zeileis, 2010</w:t>
        </w:r>
      </w:hyperlink>
      <w:r>
        <w:t xml:space="preserve">)</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w:t>
      </w:r>
      <w:hyperlink w:anchor="ref-glmmTMB">
        <w:r>
          <w:rPr>
            <w:rStyle w:val="Hyperlink"/>
          </w:rPr>
          <w:t xml:space="preserve">Brooks et al., 2017</w:t>
        </w:r>
      </w:hyperlink>
      <w:r>
        <w:t xml:space="preserve">)</w:t>
      </w:r>
      <w:r>
        <w:t xml:space="preserve">. For fitting zero-one models, there is a new implementation in</w:t>
      </w:r>
      <w:r>
        <w:t xml:space="preserve"> </w:t>
      </w:r>
      <w:r>
        <w:t xml:space="preserve">Cribari-Neto and Zeileis (</w:t>
      </w:r>
      <w:hyperlink w:anchor="ref-betareg">
        <w:r>
          <w:rPr>
            <w:rStyle w:val="Hyperlink"/>
          </w:rPr>
          <w:t xml:space="preserve">2010</w:t>
        </w:r>
      </w:hyperlink>
      <w:r>
        <w:t xml:space="preserve">)</w:t>
      </w:r>
      <w:r>
        <w:t xml:space="preserve">, that allows you to model these types of data.</w:t>
      </w:r>
    </w:p>
    <w:bookmarkStart w:id="150"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50"/>
    <w:bookmarkEnd w:id="151"/>
    <w:bookmarkStart w:id="252" w:name="references"/>
    <w:p>
      <w:pPr>
        <w:pStyle w:val="Heading1"/>
      </w:pPr>
      <w:r>
        <w:t xml:space="preserve">References</w:t>
      </w:r>
    </w:p>
    <w:bookmarkStart w:id="251" w:name="refs"/>
    <w:bookmarkStart w:id="153"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52">
        <w:r>
          <w:rPr>
            <w:rStyle w:val="Hyperlink"/>
          </w:rPr>
          <w:t xml:space="preserve">https://CRAN.R-project.org/package=marginaleffects</w:t>
        </w:r>
      </w:hyperlink>
    </w:p>
    <w:bookmarkEnd w:id="153"/>
    <w:bookmarkStart w:id="155"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54">
        <w:r>
          <w:rPr>
            <w:rStyle w:val="Hyperlink"/>
          </w:rPr>
          <w:t xml:space="preserve">https://doi.org/10.18637/jss.v111.i09</w:t>
        </w:r>
      </w:hyperlink>
    </w:p>
    <w:bookmarkEnd w:id="155"/>
    <w:bookmarkStart w:id="157"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56">
        <w:r>
          <w:rPr>
            <w:rStyle w:val="Hyperlink"/>
          </w:rPr>
          <w:t xml:space="preserve">https://doi.org/10.2307/2983678</w:t>
        </w:r>
      </w:hyperlink>
    </w:p>
    <w:bookmarkEnd w:id="157"/>
    <w:bookmarkStart w:id="159"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58">
        <w:r>
          <w:rPr>
            <w:rStyle w:val="Hyperlink"/>
          </w:rPr>
          <w:t xml:space="preserve">https://doi.org/10.1037/met0000553</w:t>
        </w:r>
      </w:hyperlink>
    </w:p>
    <w:bookmarkEnd w:id="159"/>
    <w:bookmarkStart w:id="161"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60">
        <w:r>
          <w:rPr>
            <w:rStyle w:val="Hyperlink"/>
          </w:rPr>
          <w:t xml:space="preserve">https://doi.org/10.32614/RJ-2017-066</w:t>
        </w:r>
      </w:hyperlink>
    </w:p>
    <w:bookmarkEnd w:id="161"/>
    <w:bookmarkStart w:id="163"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62">
        <w:r>
          <w:rPr>
            <w:rStyle w:val="Hyperlink"/>
          </w:rPr>
          <w:t xml:space="preserve">https://doi.org/10.18637/jss.v080.i01</w:t>
        </w:r>
      </w:hyperlink>
    </w:p>
    <w:bookmarkEnd w:id="163"/>
    <w:bookmarkStart w:id="165"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64">
        <w:r>
          <w:rPr>
            <w:rStyle w:val="Hyperlink"/>
          </w:rPr>
          <w:t xml:space="preserve">https://mc-stan.org/posterior/</w:t>
        </w:r>
      </w:hyperlink>
    </w:p>
    <w:bookmarkEnd w:id="165"/>
    <w:bookmarkStart w:id="167"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66">
        <w:r>
          <w:rPr>
            <w:rStyle w:val="Hyperlink"/>
          </w:rPr>
          <w:t xml:space="preserve">https://doi.org/10.1177/2515245918823199</w:t>
        </w:r>
      </w:hyperlink>
    </w:p>
    <w:bookmarkEnd w:id="167"/>
    <w:bookmarkStart w:id="169"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68">
        <w:r>
          <w:rPr>
            <w:rStyle w:val="Hyperlink"/>
          </w:rPr>
          <w:t xml:space="preserve">https://doi.org/10.3758/s13423-013-0442-z</w:t>
        </w:r>
      </w:hyperlink>
    </w:p>
    <w:bookmarkEnd w:id="169"/>
    <w:bookmarkStart w:id="170"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70"/>
    <w:bookmarkStart w:id="172"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71">
        <w:r>
          <w:rPr>
            <w:rStyle w:val="Hyperlink"/>
          </w:rPr>
          <w:t xml:space="preserve">https://doi.org/10.31219/osf.io/f9rqg_v1</w:t>
        </w:r>
      </w:hyperlink>
      <w:r>
        <w:t xml:space="preserve">.</w:t>
      </w:r>
    </w:p>
    <w:bookmarkEnd w:id="172"/>
    <w:bookmarkStart w:id="174" w:name="ref-Costello2024"/>
    <w:p>
      <w:pPr>
        <w:pStyle w:val="Bibliography"/>
      </w:pPr>
      <w:r>
        <w:t xml:space="preserve">Costello, T. H. et al. (2024). Durably reducing conspiracy beliefs through dialogues with AI.</w:t>
      </w:r>
      <w:r>
        <w:t xml:space="preserve"> </w:t>
      </w:r>
      <w:r>
        <w:rPr>
          <w:i/>
          <w:iCs/>
        </w:rPr>
        <w:t xml:space="preserve">Science</w:t>
      </w:r>
      <w:r>
        <w:t xml:space="preserve">,</w:t>
      </w:r>
      <w:r>
        <w:t xml:space="preserve"> </w:t>
      </w:r>
      <w:r>
        <w:rPr>
          <w:i/>
          <w:iCs/>
        </w:rPr>
        <w:t xml:space="preserve">385</w:t>
      </w:r>
      <w:r>
        <w:t xml:space="preserve">, eadq1814.</w:t>
      </w:r>
      <w:r>
        <w:t xml:space="preserve"> </w:t>
      </w:r>
      <w:hyperlink r:id="rId173">
        <w:r>
          <w:rPr>
            <w:rStyle w:val="Hyperlink"/>
          </w:rPr>
          <w:t xml:space="preserve">https://doi.org/10.1126/science.adq1814</w:t>
        </w:r>
      </w:hyperlink>
    </w:p>
    <w:bookmarkEnd w:id="174"/>
    <w:bookmarkStart w:id="176"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75">
        <w:r>
          <w:rPr>
            <w:rStyle w:val="Hyperlink"/>
          </w:rPr>
          <w:t xml:space="preserve">https://doi.org/10.18637/jss.v034.i02</w:t>
        </w:r>
      </w:hyperlink>
    </w:p>
    <w:bookmarkEnd w:id="176"/>
    <w:bookmarkStart w:id="178"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77">
        <w:r>
          <w:rPr>
            <w:rStyle w:val="Hyperlink"/>
          </w:rPr>
          <w:t xml:space="preserve">https://nixos.org/</w:t>
        </w:r>
      </w:hyperlink>
    </w:p>
    <w:bookmarkEnd w:id="178"/>
    <w:bookmarkStart w:id="180"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79">
        <w:r>
          <w:rPr>
            <w:rStyle w:val="Hyperlink"/>
          </w:rPr>
          <w:t xml:space="preserve">https://doi.org/10.1080/0266476042000214501</w:t>
        </w:r>
      </w:hyperlink>
    </w:p>
    <w:bookmarkEnd w:id="180"/>
    <w:bookmarkStart w:id="182"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81">
        <w:r>
          <w:rPr>
            <w:rStyle w:val="Hyperlink"/>
          </w:rPr>
          <w:t xml:space="preserve">https://doi.org/10.1007/s11121-021-01302-y</w:t>
        </w:r>
      </w:hyperlink>
    </w:p>
    <w:bookmarkEnd w:id="182"/>
    <w:bookmarkStart w:id="184"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83">
        <w:r>
          <w:rPr>
            <w:rStyle w:val="Hyperlink"/>
          </w:rPr>
          <w:t xml:space="preserve">https://mc-stan.org/cmdstanr/</w:t>
        </w:r>
      </w:hyperlink>
    </w:p>
    <w:bookmarkEnd w:id="184"/>
    <w:bookmarkStart w:id="186"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85">
        <w:r>
          <w:rPr>
            <w:rStyle w:val="Hyperlink"/>
          </w:rPr>
          <w:t xml:space="preserve">https://stat.columbia.edu/~gelman/book/</w:t>
        </w:r>
      </w:hyperlink>
    </w:p>
    <w:bookmarkEnd w:id="186"/>
    <w:bookmarkStart w:id="188"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87">
        <w:r>
          <w:rPr>
            <w:rStyle w:val="Hyperlink"/>
          </w:rPr>
          <w:t xml:space="preserve">http://dx.doi.org/10.59350/7p1a4-0tw75</w:t>
        </w:r>
      </w:hyperlink>
    </w:p>
    <w:bookmarkEnd w:id="188"/>
    <w:bookmarkStart w:id="190" w:name="ref-james2025"/>
    <w:p>
      <w:pPr>
        <w:pStyle w:val="Bibliography"/>
      </w:pPr>
      <w:r>
        <w:t xml:space="preserve">James, A. N., Ryskin, R., Hartshorne, J. K., Backs, H., Bala, N., Barcenas-Meade, L., Bhattarai, S., Charles, T., Copoulos, G., Coss, C., Eisert, A., Furuhashi, E., Ginell, K., Guttman-McCabe, A., Harrison, E. (Chaz)., Hoban, L., Hwang, W. A., Iannetta, C., Koenig, K. M., … Leeuw, J. R. de. (2025). What Paradigms Can Webcam Eye-Tracking Be Used For? Attempted Replications of Five Cognitive Science Experiments.</w:t>
      </w:r>
      <w:r>
        <w:t xml:space="preserve"> </w:t>
      </w:r>
      <w:r>
        <w:rPr>
          <w:i/>
          <w:iCs/>
        </w:rPr>
        <w:t xml:space="preserve">Collabra: Psychology</w:t>
      </w:r>
      <w:r>
        <w:t xml:space="preserve">,</w:t>
      </w:r>
      <w:r>
        <w:t xml:space="preserve"> </w:t>
      </w:r>
      <w:r>
        <w:rPr>
          <w:i/>
          <w:iCs/>
        </w:rPr>
        <w:t xml:space="preserve">11</w:t>
      </w:r>
      <w:r>
        <w:t xml:space="preserve">(1).</w:t>
      </w:r>
      <w:r>
        <w:t xml:space="preserve"> </w:t>
      </w:r>
      <w:hyperlink r:id="rId189">
        <w:r>
          <w:rPr>
            <w:rStyle w:val="Hyperlink"/>
          </w:rPr>
          <w:t xml:space="preserve">https://doi.org/10.1525/collabra.140755</w:t>
        </w:r>
      </w:hyperlink>
    </w:p>
    <w:bookmarkEnd w:id="190"/>
    <w:bookmarkStart w:id="191"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91"/>
    <w:bookmarkStart w:id="193"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92">
        <w:r>
          <w:rPr>
            <w:rStyle w:val="Hyperlink"/>
          </w:rPr>
          <w:t xml:space="preserve">https://doi.org/10.1016/j.wocn.2016.08.006</w:t>
        </w:r>
      </w:hyperlink>
    </w:p>
    <w:bookmarkEnd w:id="193"/>
    <w:bookmarkStart w:id="195" w:name="ref-kornell2008"/>
    <w:p>
      <w:pPr>
        <w:pStyle w:val="Bibliography"/>
      </w:pPr>
      <w:r>
        <w:t xml:space="preserve">Kornell, N., &amp; Bjork, R. A. (2008). Learning Concepts and Categories.</w:t>
      </w:r>
      <w:r>
        <w:t xml:space="preserve"> </w:t>
      </w:r>
      <w:r>
        <w:rPr>
          <w:i/>
          <w:iCs/>
        </w:rPr>
        <w:t xml:space="preserve">Psychological Science</w:t>
      </w:r>
      <w:r>
        <w:t xml:space="preserve">,</w:t>
      </w:r>
      <w:r>
        <w:t xml:space="preserve"> </w:t>
      </w:r>
      <w:r>
        <w:rPr>
          <w:i/>
          <w:iCs/>
        </w:rPr>
        <w:t xml:space="preserve">19</w:t>
      </w:r>
      <w:r>
        <w:t xml:space="preserve">(6), 585–592.</w:t>
      </w:r>
      <w:r>
        <w:t xml:space="preserve"> </w:t>
      </w:r>
      <w:hyperlink r:id="rId194">
        <w:r>
          <w:rPr>
            <w:rStyle w:val="Hyperlink"/>
          </w:rPr>
          <w:t xml:space="preserve">https://doi.org/10.1111/j.1467-9280.2008.02127.x</w:t>
        </w:r>
      </w:hyperlink>
    </w:p>
    <w:bookmarkEnd w:id="195"/>
    <w:bookmarkStart w:id="196"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196"/>
    <w:bookmarkStart w:id="198"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197">
        <w:r>
          <w:rPr>
            <w:rStyle w:val="Hyperlink"/>
          </w:rPr>
          <w:t xml:space="preserve">https://doi.org/10.1017/pan.2022.20</w:t>
        </w:r>
      </w:hyperlink>
    </w:p>
    <w:bookmarkEnd w:id="198"/>
    <w:bookmarkStart w:id="200"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199">
        <w:r>
          <w:rPr>
            <w:rStyle w:val="Hyperlink"/>
          </w:rPr>
          <w:t xml:space="preserve">https://CRAN.R-project.org/package=ordbetareg</w:t>
        </w:r>
      </w:hyperlink>
    </w:p>
    <w:bookmarkEnd w:id="200"/>
    <w:bookmarkStart w:id="202"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201">
        <w:r>
          <w:rPr>
            <w:rStyle w:val="Hyperlink"/>
          </w:rPr>
          <w:t xml:space="preserve">https://doi.org/10.32614/CRAN.package.emmeans</w:t>
        </w:r>
      </w:hyperlink>
    </w:p>
    <w:bookmarkEnd w:id="202"/>
    <w:bookmarkStart w:id="204"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203">
        <w:r>
          <w:rPr>
            <w:rStyle w:val="Hyperlink"/>
          </w:rPr>
          <w:t xml:space="preserve">https://doi.org/10.32614/rj-2015-019</w:t>
        </w:r>
      </w:hyperlink>
    </w:p>
    <w:bookmarkEnd w:id="204"/>
    <w:bookmarkStart w:id="206"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205">
        <w:r>
          <w:rPr>
            <w:rStyle w:val="Hyperlink"/>
          </w:rPr>
          <w:t xml:space="preserve">https://easystats.github.io/easystats/</w:t>
        </w:r>
      </w:hyperlink>
    </w:p>
    <w:bookmarkEnd w:id="206"/>
    <w:bookmarkStart w:id="208"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207">
        <w:r>
          <w:rPr>
            <w:rStyle w:val="Hyperlink"/>
          </w:rPr>
          <w:t xml:space="preserve">https://doi.org/10.3389/fpsyg.2019.02767</w:t>
        </w:r>
      </w:hyperlink>
    </w:p>
    <w:bookmarkEnd w:id="208"/>
    <w:bookmarkStart w:id="210"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09">
        <w:r>
          <w:rPr>
            <w:rStyle w:val="Hyperlink"/>
          </w:rPr>
          <w:t xml:space="preserve">https://doi.org/10.21105/joss.01541</w:t>
        </w:r>
      </w:hyperlink>
    </w:p>
    <w:bookmarkEnd w:id="210"/>
    <w:bookmarkStart w:id="212"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211">
        <w:r>
          <w:rPr>
            <w:rStyle w:val="Hyperlink"/>
          </w:rPr>
          <w:t xml:space="preserve">https://doi.org/10.1177/0013164416669201</w:t>
        </w:r>
      </w:hyperlink>
    </w:p>
    <w:bookmarkEnd w:id="212"/>
    <w:bookmarkStart w:id="214"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13">
        <w:r>
          <w:rPr>
            <w:rStyle w:val="Hyperlink"/>
          </w:rPr>
          <w:t xml:space="preserve">https://doi.org/10.1098/rsos.231713</w:t>
        </w:r>
      </w:hyperlink>
    </w:p>
    <w:bookmarkEnd w:id="214"/>
    <w:bookmarkStart w:id="216"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15">
        <w:r>
          <w:rPr>
            <w:rStyle w:val="Hyperlink"/>
          </w:rPr>
          <w:t xml:space="preserve">https://doi.org/10.1201/9780429029608</w:t>
        </w:r>
      </w:hyperlink>
    </w:p>
    <w:bookmarkEnd w:id="216"/>
    <w:bookmarkStart w:id="218"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17">
        <w:r>
          <w:rPr>
            <w:rStyle w:val="Hyperlink"/>
          </w:rPr>
          <w:t xml:space="preserve">https://doi.org/10.2307/2344614</w:t>
        </w:r>
      </w:hyperlink>
    </w:p>
    <w:bookmarkEnd w:id="218"/>
    <w:bookmarkStart w:id="220"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19">
        <w:r>
          <w:rPr>
            <w:rStyle w:val="Hyperlink"/>
          </w:rPr>
          <w:t xml:space="preserve">https://www.sciencedirect.com/science/article/pii/S0048969723041505</w:t>
        </w:r>
      </w:hyperlink>
    </w:p>
    <w:bookmarkEnd w:id="220"/>
    <w:bookmarkStart w:id="222"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21">
        <w:r>
          <w:rPr>
            <w:rStyle w:val="Hyperlink"/>
          </w:rPr>
          <w:t xml:space="preserve">https://doi.org/10.1093/oxfordjournals.pan.a004873</w:t>
        </w:r>
      </w:hyperlink>
    </w:p>
    <w:bookmarkEnd w:id="222"/>
    <w:bookmarkStart w:id="224"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23">
        <w:r>
          <w:rPr>
            <w:rStyle w:val="Hyperlink"/>
          </w:rPr>
          <w:t xml:space="preserve">https://www.R-project.org/</w:t>
        </w:r>
      </w:hyperlink>
    </w:p>
    <w:bookmarkEnd w:id="224"/>
    <w:bookmarkStart w:id="226"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25">
        <w:r>
          <w:rPr>
            <w:rStyle w:val="Hyperlink"/>
          </w:rPr>
          <w:t xml:space="preserve">https://docs.ropensci.org/rix/</w:t>
        </w:r>
      </w:hyperlink>
    </w:p>
    <w:bookmarkEnd w:id="226"/>
    <w:bookmarkStart w:id="228"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27">
        <w:r>
          <w:rPr>
            <w:rStyle w:val="Hyperlink"/>
          </w:rPr>
          <w:t xml:space="preserve">https://doi.org/10.1177/08902070241239834</w:t>
        </w:r>
      </w:hyperlink>
    </w:p>
    <w:bookmarkEnd w:id="228"/>
    <w:bookmarkStart w:id="230"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29">
        <w:r>
          <w:rPr>
            <w:rStyle w:val="Hyperlink"/>
          </w:rPr>
          <w:t xml:space="preserve">https://doi.org/10.31234/osf.io/4rznt</w:t>
        </w:r>
      </w:hyperlink>
    </w:p>
    <w:bookmarkEnd w:id="230"/>
    <w:bookmarkStart w:id="232"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31">
        <w:r>
          <w:rPr>
            <w:rStyle w:val="Hyperlink"/>
          </w:rPr>
          <w:t xml:space="preserve">https://doi.org/10.1001/jamanetworkopen.2023.53401</w:t>
        </w:r>
      </w:hyperlink>
    </w:p>
    <w:bookmarkEnd w:id="232"/>
    <w:bookmarkStart w:id="234"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33">
        <w:r>
          <w:rPr>
            <w:rStyle w:val="Hyperlink"/>
          </w:rPr>
          <w:t xml:space="preserve">https://doi.org/10.1037/1082-989x.11.1.54</w:t>
        </w:r>
      </w:hyperlink>
    </w:p>
    <w:bookmarkEnd w:id="234"/>
    <w:bookmarkStart w:id="236"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35">
        <w:r>
          <w:rPr>
            <w:rStyle w:val="Hyperlink"/>
          </w:rPr>
          <w:t xml:space="preserve">https://mc-stan.org</w:t>
        </w:r>
      </w:hyperlink>
    </w:p>
    <w:bookmarkEnd w:id="236"/>
    <w:bookmarkStart w:id="238"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37">
        <w:r>
          <w:rPr>
            <w:rStyle w:val="Hyperlink"/>
          </w:rPr>
          <w:t xml:space="preserve">https://doi.org/10.1007/s11409-017-9175-0</w:t>
        </w:r>
      </w:hyperlink>
    </w:p>
    <w:bookmarkEnd w:id="238"/>
    <w:bookmarkStart w:id="240" w:name="ref-vuorre2019"/>
    <w:p>
      <w:pPr>
        <w:pStyle w:val="Bibliography"/>
      </w:pPr>
      <w:r>
        <w:t xml:space="preserve">Vuorre, M. (2019, February 18).</w:t>
      </w:r>
      <w:r>
        <w:t xml:space="preserve"> </w:t>
      </w:r>
      <w:r>
        <w:rPr>
          <w:i/>
          <w:iCs/>
        </w:rPr>
        <w:t xml:space="preserve">How to Analyze Visual Analog (Slider) Scale Data?</w:t>
      </w:r>
      <w:r>
        <w:t xml:space="preserve"> </w:t>
      </w:r>
      <w:hyperlink r:id="rId239">
        <w:r>
          <w:rPr>
            <w:rStyle w:val="Hyperlink"/>
          </w:rPr>
          <w:t xml:space="preserve">https://vuorre.com/posts/2019-02-18-analyze-analog-scale-ratings-with-zero-one-inflated-beta-models</w:t>
        </w:r>
      </w:hyperlink>
    </w:p>
    <w:bookmarkEnd w:id="240"/>
    <w:bookmarkStart w:id="242"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41">
        <w:r>
          <w:rPr>
            <w:rStyle w:val="Hyperlink"/>
          </w:rPr>
          <w:t xml:space="preserve">https://r4ds.hadley.nz/</w:t>
        </w:r>
      </w:hyperlink>
    </w:p>
    <w:bookmarkEnd w:id="242"/>
    <w:bookmarkStart w:id="244"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43">
        <w:r>
          <w:rPr>
            <w:rStyle w:val="Hyperlink"/>
          </w:rPr>
          <w:t xml:space="preserve">https://doi.org/10.1002/acp.3724</w:t>
        </w:r>
      </w:hyperlink>
    </w:p>
    <w:bookmarkEnd w:id="244"/>
    <w:bookmarkStart w:id="246"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45">
        <w:r>
          <w:rPr>
            <w:rStyle w:val="Hyperlink"/>
          </w:rPr>
          <w:t xml:space="preserve">https://doi.org/10.1111/gcb.17422</w:t>
        </w:r>
      </w:hyperlink>
    </w:p>
    <w:bookmarkEnd w:id="246"/>
    <w:bookmarkStart w:id="248"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47">
        <w:r>
          <w:rPr>
            <w:rStyle w:val="Hyperlink"/>
          </w:rPr>
          <w:t xml:space="preserve">https://doi.org/10.1037/mac0000003</w:t>
        </w:r>
      </w:hyperlink>
    </w:p>
    <w:bookmarkEnd w:id="248"/>
    <w:bookmarkStart w:id="250" w:name="ref-yeEnforcingBoundariesChinas2023"/>
    <w:p>
      <w:pPr>
        <w:pStyle w:val="Bibliography"/>
      </w:pPr>
      <w:r>
        <w:t xml:space="preserve">Ye, M., &amp; Heiss, A. (2023). Enforcing</w:t>
      </w:r>
      <w:r>
        <w:t xml:space="preserve"> </w:t>
      </w:r>
      <w:r>
        <w:t xml:space="preserve">Boundaries</w:t>
      </w:r>
      <w:r>
        <w:t xml:space="preserve">:</w:t>
      </w:r>
      <w:r>
        <w:t xml:space="preserve"> </w:t>
      </w:r>
      <w:r>
        <w:t xml:space="preserve">China</w:t>
      </w:r>
      <w:r>
        <w:t xml:space="preserve">’s</w:t>
      </w:r>
      <w:r>
        <w:t xml:space="preserve"> </w:t>
      </w:r>
      <w:r>
        <w:t xml:space="preserve">Overseas NGO Law</w:t>
      </w:r>
      <w:r>
        <w:t xml:space="preserve"> </w:t>
      </w:r>
      <w:r>
        <w:t xml:space="preserve">and</w:t>
      </w:r>
      <w:r>
        <w:t xml:space="preserve"> </w:t>
      </w:r>
      <w:r>
        <w:t xml:space="preserve">Operational Constraints</w:t>
      </w:r>
      <w:r>
        <w:t xml:space="preserve"> </w:t>
      </w:r>
      <w:r>
        <w:t xml:space="preserve">for</w:t>
      </w:r>
      <w:r>
        <w:t xml:space="preserve"> </w:t>
      </w:r>
      <w:r>
        <w:t xml:space="preserve">Global Civil Society</w:t>
      </w:r>
      <w:r>
        <w:t xml:space="preserve">.</w:t>
      </w:r>
      <w:r>
        <w:t xml:space="preserve"> </w:t>
      </w:r>
      <w:r>
        <w:rPr>
          <w:i/>
          <w:iCs/>
        </w:rPr>
        <w:t xml:space="preserve">Working Paper</w:t>
      </w:r>
      <w:r>
        <w:t xml:space="preserve">.</w:t>
      </w:r>
      <w:r>
        <w:t xml:space="preserve"> </w:t>
      </w:r>
      <w:hyperlink r:id="rId249">
        <w:r>
          <w:rPr>
            <w:rStyle w:val="Hyperlink"/>
          </w:rPr>
          <w:t xml:space="preserve">https://stats.andrewheiss.com/compassionate-clam/manuscript/output/manuscript.html</w:t>
        </w:r>
      </w:hyperlink>
    </w:p>
    <w:bookmarkEnd w:id="250"/>
    <w:bookmarkEnd w:id="251"/>
    <w:sectPr>
      <w:lnNumType w:countBy="1" w:restart="continuous"/>
    </w:sectPr>
    <w:bookmarkEnd w:id="252"/>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1">
    <w:p>
      <w:pPr>
        <w:pStyle w:val="FootnoteText"/>
      </w:pPr>
      <w:r>
        <w:rPr>
          <w:rStyle w:val="FootnoteReference"/>
        </w:rPr>
        <w:footnoteRef/>
      </w:r>
      <w:r>
        <w:t xml:space="preserve"> </w:t>
      </w:r>
      <w:r>
        <w:t xml:space="preserve">Specifically, for any continous bounded variable</w:t>
      </w:r>
      <w:r>
        <w:t xml:space="preserve"> </w:t>
      </w:r>
      <m:oMath>
        <m:r>
          <m:t>x</m:t>
        </m:r>
      </m:oMath>
      <w:r>
        <w:t xml:space="preserve">, we can rescale this variable to lie within 0 and 1 by using the formula</w:t>
      </w:r>
      <w:r>
        <w:t xml:space="preserve"> </w:t>
      </w:r>
      <m:oMath>
        <m:r>
          <m:t>x</m:t>
        </m:r>
        <m:r>
          <m:rPr>
            <m:sty m:val="p"/>
          </m:rPr>
          <m:t>′</m:t>
        </m:r>
        <m:r>
          <m:rPr>
            <m:sty m:val="p"/>
          </m:rPr>
          <m:t>=</m:t>
        </m:r>
        <m:f>
          <m:fPr>
            <m:type m:val="bar"/>
          </m:fPr>
          <m:num>
            <m:r>
              <m:t>x</m:t>
            </m:r>
            <m:r>
              <m:rPr>
                <m:sty m:val="p"/>
              </m:rPr>
              <m:t>−</m:t>
            </m:r>
            <m:r>
              <m:rPr>
                <m:sty m:val="p"/>
              </m:rPr>
              <m:t>min</m:t>
            </m:r>
            <m:d>
              <m:dPr>
                <m:begChr m:val="("/>
                <m:sepChr m:val=""/>
                <m:endChr m:val=")"/>
                <m:grow/>
              </m:dPr>
              <m:e>
                <m:r>
                  <m:t>x</m:t>
                </m:r>
              </m:e>
            </m:d>
          </m:num>
          <m:den>
            <m:r>
              <m:rPr>
                <m:sty m:val="p"/>
              </m:rPr>
              <m:t>max</m:t>
            </m:r>
            <m:d>
              <m:dPr>
                <m:begChr m:val="("/>
                <m:sepChr m:val=""/>
                <m:endChr m:val=")"/>
                <m:grow/>
              </m:dPr>
              <m:e>
                <m:r>
                  <m:t>x</m:t>
                </m:r>
              </m:e>
            </m:d>
            <m:r>
              <m:rPr>
                <m:sty m:val="p"/>
              </m:rPr>
              <m:t>−</m:t>
            </m:r>
            <m:r>
              <m:rPr>
                <m:sty m:val="p"/>
              </m:rPr>
              <m:t>min</m:t>
            </m:r>
            <m:d>
              <m:dPr>
                <m:begChr m:val="("/>
                <m:sepChr m:val=""/>
                <m:endChr m:val=")"/>
                <m:grow/>
              </m:dPr>
              <m:e>
                <m:r>
                  <m:t>x</m:t>
                </m:r>
              </m:e>
            </m:d>
          </m:den>
        </m:f>
      </m:oMath>
      <w:r>
        <w:t xml:space="preserve"> </w:t>
      </w:r>
      <w:r>
        <w:t xml:space="preserve">where</w:t>
      </w:r>
      <w:r>
        <w:t xml:space="preserve"> </w:t>
      </w:r>
      <m:oMath>
        <m:r>
          <m:t>0</m:t>
        </m:r>
        <m:r>
          <m:rPr>
            <m:sty m:val="p"/>
          </m:rPr>
          <m:t>≤</m:t>
        </m:r>
        <m:r>
          <m:t>x</m:t>
        </m:r>
        <m:r>
          <m:rPr>
            <m:sty m:val="p"/>
          </m:rPr>
          <m:t>′</m:t>
        </m:r>
        <m:r>
          <m:rPr>
            <m:sty m:val="p"/>
          </m:rPr>
          <m:t>≤</m:t>
        </m:r>
        <m:r>
          <m:t>1</m:t>
        </m:r>
      </m:oMath>
      <w:r>
        <w:t xml:space="preserve">.</w:t>
      </w:r>
    </w:p>
  </w:footnote>
  <w:footnote w:id="43">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reproduciblity, the tutorial was written in R version 4.4.3 (</w:t>
      </w:r>
      <w:r>
        <w:t xml:space="preserve">R Core Team (</w:t>
      </w:r>
      <w:hyperlink w:anchor="ref-R">
        <w:r>
          <w:rPr>
            <w:rStyle w:val="Hyperlink"/>
          </w:rPr>
          <w:t xml:space="preserve">2024</w:t>
        </w:r>
      </w:hyperlink>
      <w:r>
        <w:t xml:space="preserve">)</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w:t>
      </w:r>
      <w:hyperlink w:anchor="ref-rix">
        <w:r>
          <w:rPr>
            <w:rStyle w:val="Hyperlink"/>
          </w:rPr>
          <w:t xml:space="preserve">Rodrigues &amp; Baumann, 2025</w:t>
        </w:r>
      </w:hyperlink>
      <w:r>
        <w:t xml:space="preserve">)</w:t>
      </w:r>
      <w:r>
        <w:t xml:space="preserve"> </w:t>
      </w:r>
      <w:r>
        <w:t xml:space="preserve">R package which harnesses the power of the</w:t>
      </w:r>
      <w:r>
        <w:t xml:space="preserve"> </w:t>
      </w:r>
      <w:r>
        <w:rPr>
          <w:rStyle w:val="VerbatimChar"/>
        </w:rPr>
        <w:t xml:space="preserve">nix</w:t>
      </w:r>
      <w:r>
        <w:t xml:space="preserve"> </w:t>
      </w:r>
      <w:r>
        <w:t xml:space="preserve">(</w:t>
      </w:r>
      <w:hyperlink w:anchor="ref-nix">
        <w:r>
          <w:rPr>
            <w:rStyle w:val="Hyperlink"/>
          </w:rPr>
          <w:t xml:space="preserve">Dolstra &amp; contributors, 2006</w:t>
        </w:r>
      </w:hyperlink>
      <w:r>
        <w:t xml:space="preserve">)</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45">
    <w:p>
      <w:pPr>
        <w:pStyle w:val="FootnoteText"/>
      </w:pPr>
      <w:r>
        <w:rPr>
          <w:rStyle w:val="FootnoteReference"/>
        </w:rPr>
        <w:footnoteRef/>
      </w:r>
      <w:r>
        <w:t xml:space="preserve"> </w:t>
      </w:r>
      <w:r>
        <w:t xml:space="preserve">Technically, this maximum entropy condition is satisfied because the Beta(1,1) distribution is uniform over its support.</w:t>
      </w:r>
    </w:p>
  </w:footnote>
  <w:footnote w:id="53">
    <w:p>
      <w:pPr>
        <w:pStyle w:val="FootnoteText"/>
      </w:pPr>
      <w:r>
        <w:rPr>
          <w:rStyle w:val="FootnoteReference"/>
        </w:rPr>
        <w:footnoteRef/>
      </w:r>
      <w:r>
        <w:t xml:space="preserve"> </w:t>
      </w:r>
      <w:r>
        <w:t xml:space="preserve">The Stan team recommends 2,000 draws as a default, so this is a conservative standard. We note that Stan can converge in as few as 500 draws for less complex models, which may be an easier standard when engaging in model-building.</w:t>
      </w:r>
    </w:p>
  </w:footnote>
  <w:footnote w:id="67">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(see</w:t>
      </w:r>
      <w:r>
        <w:t xml:space="preserve"> </w:t>
      </w:r>
      <w:r>
        <w:rPr>
          <w:rStyle w:val="VerbatimChar"/>
        </w:rPr>
        <w:t xml:space="preserve">https://mc-stan.org/cmdstanr/</w:t>
      </w:r>
      <w:r>
        <w:t xml:space="preserve">) and also run</w:t>
      </w:r>
      <w:r>
        <w:t xml:space="preserve"> </w:t>
      </w:r>
      <w:r>
        <w:rPr>
          <w:rStyle w:val="VerbatimChar"/>
        </w:rPr>
        <w:t xml:space="preserve">cmdstanr::install_cmdstan()</w:t>
      </w:r>
      <w:r>
        <w:t xml:space="preserve"> </w:t>
      </w:r>
      <w:r>
        <w:t xml:space="preserve">if you have not done so already.</w:t>
      </w:r>
    </w:p>
  </w:footnote>
  <w:footnote w:id="84">
    <w:p>
      <w:pPr>
        <w:pStyle w:val="FootnoteText"/>
      </w:pPr>
      <w:r>
        <w:rPr>
          <w:rStyle w:val="FootnoteReference"/>
        </w:rPr>
        <w:footnoteRef/>
      </w:r>
      <w:r>
        <w:t xml:space="preserve"> </w:t>
      </w:r>
      <w:r>
        <w:t xml:space="preserve">The model fit statistic LOO-CV can be compared for any set of fitted</w:t>
      </w:r>
      <w:r>
        <w:t xml:space="preserve"> </w:t>
      </w:r>
      <w:r>
        <w:rPr>
          <w:rStyle w:val="VerbatimChar"/>
        </w:rPr>
        <w:t xml:space="preserve">brms</w:t>
      </w:r>
      <w:r>
        <w:t xml:space="preserve"> </w:t>
      </w:r>
      <w:r>
        <w:t xml:space="preserve">models with the function</w:t>
      </w:r>
      <w:r>
        <w:t xml:space="preserve"> </w:t>
      </w:r>
      <w:r>
        <w:rPr>
          <w:rStyle w:val="VerbatimChar"/>
        </w:rPr>
        <w:t xml:space="preserve">loo()</w:t>
      </w:r>
      <w:r>
        <w:t xml:space="preserve">.</w:t>
      </w:r>
    </w:p>
  </w:footnote>
  <w:footnote w:id="107">
    <w:p>
      <w:pPr>
        <w:pStyle w:val="FootnoteText"/>
      </w:pPr>
      <w:r>
        <w:rPr>
          <w:rStyle w:val="FootnoteReference"/>
        </w:rPr>
        <w:footnoteRef/>
      </w:r>
      <w:r>
        <w:t xml:space="preserve"> </w:t>
      </w:r>
      <w:r>
        <w:t xml:space="preserve">There is an additional version of this model, the zero-or-one-inflated Beta (ZOIB), which can accomodate discrete values at both the lower and upper limits of the scale with</w:t>
      </w:r>
      <w:r>
        <w:t xml:space="preserve"> </w:t>
      </w:r>
      <w:r>
        <w:rPr>
          <w:rStyle w:val="VerbatimChar"/>
        </w:rPr>
        <w:t xml:space="preserve">brms</w:t>
      </w:r>
      <w:r>
        <w:t xml:space="preserve">.</w:t>
      </w:r>
    </w:p>
  </w:footnote>
  <w:footnote w:id="119">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1s with a special type of model called the zero-one-inflated beta (ZOIB) model</w:t>
      </w:r>
      <w:r>
        <w:t xml:space="preserve"> </w:t>
      </w:r>
      <w:r>
        <w:t xml:space="preserve">(</w:t>
      </w:r>
      <w:hyperlink w:anchor="ref-liu2015">
        <w:r>
          <w:rPr>
            <w:rStyle w:val="Hyperlink"/>
          </w:rPr>
          <w:t xml:space="preserve">Liu &amp; Kong, 2015</w:t>
        </w:r>
      </w:hyperlink>
      <w:r>
        <w:t xml:space="preserve">)</w:t>
      </w:r>
      <w:r>
        <w:t xml:space="preserve"> </w:t>
      </w:r>
      <w:r>
        <w:t xml:space="preserve">if we believe that both 0s and 1s are distinct outcomes.</w:t>
      </w:r>
    </w:p>
  </w:footnote>
  <w:footnote w:id="129">
    <w:p>
      <w:pPr>
        <w:pStyle w:val="FootnoteText"/>
      </w:pPr>
      <w:r>
        <w:rPr>
          <w:rStyle w:val="FootnoteReference"/>
        </w:rPr>
        <w:footnoteRef/>
      </w:r>
      <w:r>
        <w:t xml:space="preserve"> </w:t>
      </w:r>
      <w:r>
        <w:t xml:space="preserve">For a more complete description of this issue, we refer the reader to</w:t>
      </w:r>
      <w:r>
        <w:t xml:space="preserve"> </w:t>
      </w:r>
      <w:r>
        <w:t xml:space="preserve">Kubinec (</w:t>
      </w:r>
      <w:hyperlink w:anchor="ref-kubinec2022">
        <w:r>
          <w:rPr>
            <w:rStyle w:val="Hyperlink"/>
          </w:rPr>
          <w:t xml:space="preserve">2022</w:t>
        </w:r>
      </w:hyperlink>
      <w:r>
        <w:t xml:space="preserve">)</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63" Target="media/rId63.png" /><Relationship Type="http://schemas.openxmlformats.org/officeDocument/2006/relationships/image" Id="rId21" Target="media/rId21.svg" /><Relationship Type="http://schemas.openxmlformats.org/officeDocument/2006/relationships/image" Id="rId46" Target="media/rId46.png" /><Relationship Type="http://schemas.openxmlformats.org/officeDocument/2006/relationships/image" Id="rId95" Target="media/rId95.png" /><Relationship Type="http://schemas.openxmlformats.org/officeDocument/2006/relationships/image" Id="rId59" Target="media/rId59.png" /><Relationship Type="http://schemas.openxmlformats.org/officeDocument/2006/relationships/image" Id="rId142" Target="media/rId142.png" /><Relationship Type="http://schemas.openxmlformats.org/officeDocument/2006/relationships/image" Id="rId85" Target="media/rId85.png" /><Relationship Type="http://schemas.openxmlformats.org/officeDocument/2006/relationships/image" Id="rId77" Target="media/rId77.png" /><Relationship Type="http://schemas.openxmlformats.org/officeDocument/2006/relationships/image" Id="rId138" Target="media/rId138.png" /><Relationship Type="http://schemas.openxmlformats.org/officeDocument/2006/relationships/image" Id="rId73" Target="media/rId73.png" /><Relationship Type="http://schemas.openxmlformats.org/officeDocument/2006/relationships/image" Id="rId113" Target="media/rId113.png" /><Relationship Type="http://schemas.openxmlformats.org/officeDocument/2006/relationships/image" Id="rId120" Target="media/rId120.png" /><Relationship Type="http://schemas.openxmlformats.org/officeDocument/2006/relationships/hyperlink" Id="rId187" Target="http://dx.doi.org/10.59350/7p1a4-0tw75" TargetMode="External" /><Relationship Type="http://schemas.openxmlformats.org/officeDocument/2006/relationships/hyperlink" Id="rId152" Target="https://CRAN.R-project.org/package=marginaleffects" TargetMode="External" /><Relationship Type="http://schemas.openxmlformats.org/officeDocument/2006/relationships/hyperlink" Id="rId199" Target="https://CRAN.R-project.org/package=ordbetareg" TargetMode="External" /><Relationship Type="http://schemas.openxmlformats.org/officeDocument/2006/relationships/hyperlink" Id="rId225" Target="https://docs.ropensci.org/rix/" TargetMode="External" /><Relationship Type="http://schemas.openxmlformats.org/officeDocument/2006/relationships/hyperlink" Id="rId231" Target="https://doi.org/10.1001/jamanetworkopen.2023.53401" TargetMode="External" /><Relationship Type="http://schemas.openxmlformats.org/officeDocument/2006/relationships/hyperlink" Id="rId243" Target="https://doi.org/10.1002/acp.3724" TargetMode="External" /><Relationship Type="http://schemas.openxmlformats.org/officeDocument/2006/relationships/hyperlink" Id="rId181" Target="https://doi.org/10.1007/s11121-021-01302-y" TargetMode="External" /><Relationship Type="http://schemas.openxmlformats.org/officeDocument/2006/relationships/hyperlink" Id="rId237" Target="https://doi.org/10.1007/s11409-017-9175-0" TargetMode="External" /><Relationship Type="http://schemas.openxmlformats.org/officeDocument/2006/relationships/hyperlink" Id="rId192" Target="https://doi.org/10.1016/j.wocn.2016.08.006" TargetMode="External" /><Relationship Type="http://schemas.openxmlformats.org/officeDocument/2006/relationships/hyperlink" Id="rId197" Target="https://doi.org/10.1017/pan.2022.20" TargetMode="External" /><Relationship Type="http://schemas.openxmlformats.org/officeDocument/2006/relationships/hyperlink" Id="rId233" Target="https://doi.org/10.1037/1082-989x.11.1.54" TargetMode="External" /><Relationship Type="http://schemas.openxmlformats.org/officeDocument/2006/relationships/hyperlink" Id="rId247" Target="https://doi.org/10.1037/mac0000003" TargetMode="External" /><Relationship Type="http://schemas.openxmlformats.org/officeDocument/2006/relationships/hyperlink" Id="rId158" Target="https://doi.org/10.1037/met0000553" TargetMode="External" /><Relationship Type="http://schemas.openxmlformats.org/officeDocument/2006/relationships/hyperlink" Id="rId179" Target="https://doi.org/10.1080/0266476042000214501" TargetMode="External" /><Relationship Type="http://schemas.openxmlformats.org/officeDocument/2006/relationships/hyperlink" Id="rId221" Target="https://doi.org/10.1093/oxfordjournals.pan.a004873" TargetMode="External" /><Relationship Type="http://schemas.openxmlformats.org/officeDocument/2006/relationships/hyperlink" Id="rId213" Target="https://doi.org/10.1098/rsos.231713" TargetMode="External" /><Relationship Type="http://schemas.openxmlformats.org/officeDocument/2006/relationships/hyperlink" Id="rId245" Target="https://doi.org/10.1111/gcb.17422" TargetMode="External" /><Relationship Type="http://schemas.openxmlformats.org/officeDocument/2006/relationships/hyperlink" Id="rId194" Target="https://doi.org/10.1111/j.1467-9280.2008.02127.x" TargetMode="External" /><Relationship Type="http://schemas.openxmlformats.org/officeDocument/2006/relationships/hyperlink" Id="rId173" Target="https://doi.org/10.1126/science.adq1814" TargetMode="External" /><Relationship Type="http://schemas.openxmlformats.org/officeDocument/2006/relationships/hyperlink" Id="rId211" Target="https://doi.org/10.1177/0013164416669201" TargetMode="External" /><Relationship Type="http://schemas.openxmlformats.org/officeDocument/2006/relationships/hyperlink" Id="rId227" Target="https://doi.org/10.1177/08902070241239834" TargetMode="External" /><Relationship Type="http://schemas.openxmlformats.org/officeDocument/2006/relationships/hyperlink" Id="rId166" Target="https://doi.org/10.1177/2515245918823199" TargetMode="External" /><Relationship Type="http://schemas.openxmlformats.org/officeDocument/2006/relationships/hyperlink" Id="rId215" Target="https://doi.org/10.1201/9780429029608" TargetMode="External" /><Relationship Type="http://schemas.openxmlformats.org/officeDocument/2006/relationships/hyperlink" Id="rId189" Target="https://doi.org/10.1525/collabra.140755" TargetMode="External" /><Relationship Type="http://schemas.openxmlformats.org/officeDocument/2006/relationships/hyperlink" Id="rId175" Target="https://doi.org/10.18637/jss.v034.i02" TargetMode="External" /><Relationship Type="http://schemas.openxmlformats.org/officeDocument/2006/relationships/hyperlink" Id="rId162" Target="https://doi.org/10.18637/jss.v080.i01" TargetMode="External" /><Relationship Type="http://schemas.openxmlformats.org/officeDocument/2006/relationships/hyperlink" Id="rId154" Target="https://doi.org/10.18637/jss.v111.i09" TargetMode="External" /><Relationship Type="http://schemas.openxmlformats.org/officeDocument/2006/relationships/hyperlink" Id="rId209" Target="https://doi.org/10.21105/joss.01541" TargetMode="External" /><Relationship Type="http://schemas.openxmlformats.org/officeDocument/2006/relationships/hyperlink" Id="rId217" Target="https://doi.org/10.2307/2344614" TargetMode="External" /><Relationship Type="http://schemas.openxmlformats.org/officeDocument/2006/relationships/hyperlink" Id="rId156" Target="https://doi.org/10.2307/2983678" TargetMode="External" /><Relationship Type="http://schemas.openxmlformats.org/officeDocument/2006/relationships/hyperlink" Id="rId171" Target="https://doi.org/10.31219/osf.io/f9rqg_v1" TargetMode="External" /><Relationship Type="http://schemas.openxmlformats.org/officeDocument/2006/relationships/hyperlink" Id="rId229" Target="https://doi.org/10.31234/osf.io/4rznt" TargetMode="External" /><Relationship Type="http://schemas.openxmlformats.org/officeDocument/2006/relationships/hyperlink" Id="rId201" Target="https://doi.org/10.32614/CRAN.package.emmeans" TargetMode="External" /><Relationship Type="http://schemas.openxmlformats.org/officeDocument/2006/relationships/hyperlink" Id="rId160" Target="https://doi.org/10.32614/RJ-2017-066" TargetMode="External" /><Relationship Type="http://schemas.openxmlformats.org/officeDocument/2006/relationships/hyperlink" Id="rId203" Target="https://doi.org/10.32614/rj-2015-019" TargetMode="External" /><Relationship Type="http://schemas.openxmlformats.org/officeDocument/2006/relationships/hyperlink" Id="rId207" Target="https://doi.org/10.3389/fpsyg.2019.02767" TargetMode="External" /><Relationship Type="http://schemas.openxmlformats.org/officeDocument/2006/relationships/hyperlink" Id="rId168" Target="https://doi.org/10.3758/s13423-013-0442-z" TargetMode="External" /><Relationship Type="http://schemas.openxmlformats.org/officeDocument/2006/relationships/hyperlink" Id="rId205"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35" Target="https://mc-stan.org" TargetMode="External" /><Relationship Type="http://schemas.openxmlformats.org/officeDocument/2006/relationships/hyperlink" Id="rId183" Target="https://mc-stan.org/cmdstanr/" TargetMode="External" /><Relationship Type="http://schemas.openxmlformats.org/officeDocument/2006/relationships/hyperlink" Id="rId164" Target="https://mc-stan.org/posterior/" TargetMode="External" /><Relationship Type="http://schemas.openxmlformats.org/officeDocument/2006/relationships/hyperlink" Id="rId177"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41" Target="https://r4ds.hadley.nz/" TargetMode="External" /><Relationship Type="http://schemas.openxmlformats.org/officeDocument/2006/relationships/hyperlink" Id="rId185" Target="https://stat.columbia.edu/~gelman/book/" TargetMode="External" /><Relationship Type="http://schemas.openxmlformats.org/officeDocument/2006/relationships/hyperlink" Id="rId249" Target="https://stats.andrewheiss.com/compassionate-clam/manuscript/output/manuscript.html" TargetMode="External" /><Relationship Type="http://schemas.openxmlformats.org/officeDocument/2006/relationships/hyperlink" Id="rId239" Target="https://vuorre.com/posts/2019-02-18-analyze-analog-scale-ratings-with-zero-one-inflated-beta-models" TargetMode="External" /><Relationship Type="http://schemas.openxmlformats.org/officeDocument/2006/relationships/hyperlink" Id="rId223" Target="https://www.R-project.org/" TargetMode="External" /><Relationship Type="http://schemas.openxmlformats.org/officeDocument/2006/relationships/hyperlink" Id="rId253" Target="https://www.routledge.com/Bayes-Rules-An-Introduction-to-Applied-Bayesian-Modeling/Johnson-Ott-Dogucu/p/book/9780367255398" TargetMode="External" /><Relationship Type="http://schemas.openxmlformats.org/officeDocument/2006/relationships/hyperlink" Id="rId219"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87" Target="http://dx.doi.org/10.59350/7p1a4-0tw75" TargetMode="External" /><Relationship Type="http://schemas.openxmlformats.org/officeDocument/2006/relationships/hyperlink" Id="rId152" Target="https://CRAN.R-project.org/package=marginaleffects" TargetMode="External" /><Relationship Type="http://schemas.openxmlformats.org/officeDocument/2006/relationships/hyperlink" Id="rId199" Target="https://CRAN.R-project.org/package=ordbetareg" TargetMode="External" /><Relationship Type="http://schemas.openxmlformats.org/officeDocument/2006/relationships/hyperlink" Id="rId225" Target="https://docs.ropensci.org/rix/" TargetMode="External" /><Relationship Type="http://schemas.openxmlformats.org/officeDocument/2006/relationships/hyperlink" Id="rId231" Target="https://doi.org/10.1001/jamanetworkopen.2023.53401" TargetMode="External" /><Relationship Type="http://schemas.openxmlformats.org/officeDocument/2006/relationships/hyperlink" Id="rId243" Target="https://doi.org/10.1002/acp.3724" TargetMode="External" /><Relationship Type="http://schemas.openxmlformats.org/officeDocument/2006/relationships/hyperlink" Id="rId181" Target="https://doi.org/10.1007/s11121-021-01302-y" TargetMode="External" /><Relationship Type="http://schemas.openxmlformats.org/officeDocument/2006/relationships/hyperlink" Id="rId237" Target="https://doi.org/10.1007/s11409-017-9175-0" TargetMode="External" /><Relationship Type="http://schemas.openxmlformats.org/officeDocument/2006/relationships/hyperlink" Id="rId192" Target="https://doi.org/10.1016/j.wocn.2016.08.006" TargetMode="External" /><Relationship Type="http://schemas.openxmlformats.org/officeDocument/2006/relationships/hyperlink" Id="rId197" Target="https://doi.org/10.1017/pan.2022.20" TargetMode="External" /><Relationship Type="http://schemas.openxmlformats.org/officeDocument/2006/relationships/hyperlink" Id="rId233" Target="https://doi.org/10.1037/1082-989x.11.1.54" TargetMode="External" /><Relationship Type="http://schemas.openxmlformats.org/officeDocument/2006/relationships/hyperlink" Id="rId247" Target="https://doi.org/10.1037/mac0000003" TargetMode="External" /><Relationship Type="http://schemas.openxmlformats.org/officeDocument/2006/relationships/hyperlink" Id="rId158" Target="https://doi.org/10.1037/met0000553" TargetMode="External" /><Relationship Type="http://schemas.openxmlformats.org/officeDocument/2006/relationships/hyperlink" Id="rId179" Target="https://doi.org/10.1080/0266476042000214501" TargetMode="External" /><Relationship Type="http://schemas.openxmlformats.org/officeDocument/2006/relationships/hyperlink" Id="rId221" Target="https://doi.org/10.1093/oxfordjournals.pan.a004873" TargetMode="External" /><Relationship Type="http://schemas.openxmlformats.org/officeDocument/2006/relationships/hyperlink" Id="rId213" Target="https://doi.org/10.1098/rsos.231713" TargetMode="External" /><Relationship Type="http://schemas.openxmlformats.org/officeDocument/2006/relationships/hyperlink" Id="rId245" Target="https://doi.org/10.1111/gcb.17422" TargetMode="External" /><Relationship Type="http://schemas.openxmlformats.org/officeDocument/2006/relationships/hyperlink" Id="rId194" Target="https://doi.org/10.1111/j.1467-9280.2008.02127.x" TargetMode="External" /><Relationship Type="http://schemas.openxmlformats.org/officeDocument/2006/relationships/hyperlink" Id="rId173" Target="https://doi.org/10.1126/science.adq1814" TargetMode="External" /><Relationship Type="http://schemas.openxmlformats.org/officeDocument/2006/relationships/hyperlink" Id="rId211" Target="https://doi.org/10.1177/0013164416669201" TargetMode="External" /><Relationship Type="http://schemas.openxmlformats.org/officeDocument/2006/relationships/hyperlink" Id="rId227" Target="https://doi.org/10.1177/08902070241239834" TargetMode="External" /><Relationship Type="http://schemas.openxmlformats.org/officeDocument/2006/relationships/hyperlink" Id="rId166" Target="https://doi.org/10.1177/2515245918823199" TargetMode="External" /><Relationship Type="http://schemas.openxmlformats.org/officeDocument/2006/relationships/hyperlink" Id="rId215" Target="https://doi.org/10.1201/9780429029608" TargetMode="External" /><Relationship Type="http://schemas.openxmlformats.org/officeDocument/2006/relationships/hyperlink" Id="rId189" Target="https://doi.org/10.1525/collabra.140755" TargetMode="External" /><Relationship Type="http://schemas.openxmlformats.org/officeDocument/2006/relationships/hyperlink" Id="rId175" Target="https://doi.org/10.18637/jss.v034.i02" TargetMode="External" /><Relationship Type="http://schemas.openxmlformats.org/officeDocument/2006/relationships/hyperlink" Id="rId162" Target="https://doi.org/10.18637/jss.v080.i01" TargetMode="External" /><Relationship Type="http://schemas.openxmlformats.org/officeDocument/2006/relationships/hyperlink" Id="rId154" Target="https://doi.org/10.18637/jss.v111.i09" TargetMode="External" /><Relationship Type="http://schemas.openxmlformats.org/officeDocument/2006/relationships/hyperlink" Id="rId209" Target="https://doi.org/10.21105/joss.01541" TargetMode="External" /><Relationship Type="http://schemas.openxmlformats.org/officeDocument/2006/relationships/hyperlink" Id="rId217" Target="https://doi.org/10.2307/2344614" TargetMode="External" /><Relationship Type="http://schemas.openxmlformats.org/officeDocument/2006/relationships/hyperlink" Id="rId156" Target="https://doi.org/10.2307/2983678" TargetMode="External" /><Relationship Type="http://schemas.openxmlformats.org/officeDocument/2006/relationships/hyperlink" Id="rId171" Target="https://doi.org/10.31219/osf.io/f9rqg_v1" TargetMode="External" /><Relationship Type="http://schemas.openxmlformats.org/officeDocument/2006/relationships/hyperlink" Id="rId229" Target="https://doi.org/10.31234/osf.io/4rznt" TargetMode="External" /><Relationship Type="http://schemas.openxmlformats.org/officeDocument/2006/relationships/hyperlink" Id="rId201" Target="https://doi.org/10.32614/CRAN.package.emmeans" TargetMode="External" /><Relationship Type="http://schemas.openxmlformats.org/officeDocument/2006/relationships/hyperlink" Id="rId160" Target="https://doi.org/10.32614/RJ-2017-066" TargetMode="External" /><Relationship Type="http://schemas.openxmlformats.org/officeDocument/2006/relationships/hyperlink" Id="rId203" Target="https://doi.org/10.32614/rj-2015-019" TargetMode="External" /><Relationship Type="http://schemas.openxmlformats.org/officeDocument/2006/relationships/hyperlink" Id="rId207" Target="https://doi.org/10.3389/fpsyg.2019.02767" TargetMode="External" /><Relationship Type="http://schemas.openxmlformats.org/officeDocument/2006/relationships/hyperlink" Id="rId168" Target="https://doi.org/10.3758/s13423-013-0442-z" TargetMode="External" /><Relationship Type="http://schemas.openxmlformats.org/officeDocument/2006/relationships/hyperlink" Id="rId205"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35" Target="https://mc-stan.org" TargetMode="External" /><Relationship Type="http://schemas.openxmlformats.org/officeDocument/2006/relationships/hyperlink" Id="rId183" Target="https://mc-stan.org/cmdstanr/" TargetMode="External" /><Relationship Type="http://schemas.openxmlformats.org/officeDocument/2006/relationships/hyperlink" Id="rId164" Target="https://mc-stan.org/posterior/" TargetMode="External" /><Relationship Type="http://schemas.openxmlformats.org/officeDocument/2006/relationships/hyperlink" Id="rId177"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41" Target="https://r4ds.hadley.nz/" TargetMode="External" /><Relationship Type="http://schemas.openxmlformats.org/officeDocument/2006/relationships/hyperlink" Id="rId185" Target="https://stat.columbia.edu/~gelman/book/" TargetMode="External" /><Relationship Type="http://schemas.openxmlformats.org/officeDocument/2006/relationships/hyperlink" Id="rId249" Target="https://stats.andrewheiss.com/compassionate-clam/manuscript/output/manuscript.html" TargetMode="External" /><Relationship Type="http://schemas.openxmlformats.org/officeDocument/2006/relationships/hyperlink" Id="rId239" Target="https://vuorre.com/posts/2019-02-18-analyze-analog-scale-ratings-with-zero-one-inflated-beta-models" TargetMode="External" /><Relationship Type="http://schemas.openxmlformats.org/officeDocument/2006/relationships/hyperlink" Id="rId223" Target="https://www.R-project.org/" TargetMode="External" /><Relationship Type="http://schemas.openxmlformats.org/officeDocument/2006/relationships/hyperlink" Id="rId253" Target="https://www.routledge.com/Bayes-Rules-An-Introduction-to-Applied-Bayesian-Modeling/Johnson-Ott-Dogucu/p/book/9780367255398" TargetMode="External" /><Relationship Type="http://schemas.openxmlformats.org/officeDocument/2006/relationships/hyperlink" Id="rId219"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_extensions/wjschne/apaquarto/apa.csl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ed-lines">
    <vt:lpwstr>True</vt:lpwstr>
  </property>
  <property fmtid="{D5CDD505-2E9C-101B-9397-08002B2CF9AE}" pid="30" name="oneaffiliation">
    <vt:lpwstr>False</vt:lpwstr>
  </property>
  <property fmtid="{D5CDD505-2E9C-101B-9397-08002B2CF9AE}" pid="31" name="oneauthor">
    <vt:lpwstr>False</vt:lpwstr>
  </property>
  <property fmtid="{D5CDD505-2E9C-101B-9397-08002B2CF9AE}" pid="32" name="references">
    <vt:lpwstr/>
  </property>
  <property fmtid="{D5CDD505-2E9C-101B-9397-08002B2CF9AE}" pid="33" name="revealjs-plugins">
    <vt:lpwstr/>
  </property>
  <property fmtid="{D5CDD505-2E9C-101B-9397-08002B2CF9AE}" pid="34" name="shorttitle">
    <vt:lpwstr>BETA REGRESSION TUTORIAL</vt:lpwstr>
  </property>
  <property fmtid="{D5CDD505-2E9C-101B-9397-08002B2CF9AE}" pid="35" name="suppress-abstract">
    <vt:lpwstr>False</vt:lpwstr>
  </property>
  <property fmtid="{D5CDD505-2E9C-101B-9397-08002B2CF9AE}" pid="36" name="suppress-affiliation">
    <vt:lpwstr>False</vt:lpwstr>
  </property>
  <property fmtid="{D5CDD505-2E9C-101B-9397-08002B2CF9AE}" pid="37" name="suppress-author">
    <vt:lpwstr>False</vt:lpwstr>
  </property>
  <property fmtid="{D5CDD505-2E9C-101B-9397-08002B2CF9AE}" pid="38" name="suppress-author-note">
    <vt:lpwstr>False</vt:lpwstr>
  </property>
  <property fmtid="{D5CDD505-2E9C-101B-9397-08002B2CF9AE}" pid="39" name="suppress-corresponding-address">
    <vt:lpwstr>False</vt:lpwstr>
  </property>
  <property fmtid="{D5CDD505-2E9C-101B-9397-08002B2CF9AE}" pid="40" name="suppress-corresponding-affiliation-name">
    <vt:lpwstr>False</vt:lpwstr>
  </property>
  <property fmtid="{D5CDD505-2E9C-101B-9397-08002B2CF9AE}" pid="41" name="suppress-corresponding-city">
    <vt:lpwstr>False</vt:lpwstr>
  </property>
  <property fmtid="{D5CDD505-2E9C-101B-9397-08002B2CF9AE}" pid="42" name="suppress-corresponding-department">
    <vt:lpwstr>False</vt:lpwstr>
  </property>
  <property fmtid="{D5CDD505-2E9C-101B-9397-08002B2CF9AE}" pid="43" name="suppress-corresponding-email">
    <vt:lpwstr>False</vt:lpwstr>
  </property>
  <property fmtid="{D5CDD505-2E9C-101B-9397-08002B2CF9AE}" pid="44" name="suppress-corresponding-group">
    <vt:lpwstr>False</vt:lpwstr>
  </property>
  <property fmtid="{D5CDD505-2E9C-101B-9397-08002B2CF9AE}" pid="45" name="suppress-corresponding-paragraph">
    <vt:lpwstr>False</vt:lpwstr>
  </property>
  <property fmtid="{D5CDD505-2E9C-101B-9397-08002B2CF9AE}" pid="46" name="suppress-corresponding-postal-code">
    <vt:lpwstr>False</vt:lpwstr>
  </property>
  <property fmtid="{D5CDD505-2E9C-101B-9397-08002B2CF9AE}" pid="47" name="suppress-corresponding-region">
    <vt:lpwstr>False</vt:lpwstr>
  </property>
  <property fmtid="{D5CDD505-2E9C-101B-9397-08002B2CF9AE}" pid="48" name="suppress-credit-statement">
    <vt:lpwstr>False</vt:lpwstr>
  </property>
  <property fmtid="{D5CDD505-2E9C-101B-9397-08002B2CF9AE}" pid="49" name="suppress-disclosures-paragraph">
    <vt:lpwstr>False</vt:lpwstr>
  </property>
  <property fmtid="{D5CDD505-2E9C-101B-9397-08002B2CF9AE}" pid="50" name="suppress-impact-statement">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word-count">
    <vt:lpwstr>True</vt:lpwstr>
  </property>
  <property fmtid="{D5CDD505-2E9C-101B-9397-08002B2CF9AE}" pid="62" name="wordn">
    <vt:lpwstr>10120</vt:lpwstr>
  </property>
  <property fmtid="{D5CDD505-2E9C-101B-9397-08002B2CF9AE}" pid="63" name="zerocitations">
    <vt:lpwstr>False</vt:lpwstr>
  </property>
</Properties>
</file>