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46.png" ContentType="image/png"/>
  <Override PartName="/word/media/rId98.png" ContentType="image/png"/>
  <Override PartName="/word/media/rId63.png" ContentType="image/png"/>
  <Override PartName="/word/media/rId146.png" ContentType="image/png"/>
  <Override PartName="/word/media/rId54.png" ContentType="image/png"/>
  <Override PartName="/word/media/rId88.png" ContentType="image/png"/>
  <Override PartName="/word/media/rId80.png" ContentType="image/png"/>
  <Override PartName="/word/media/rId142.png" ContentType="image/png"/>
  <Override PartName="/word/media/rId76.png" ContentType="image/png"/>
  <Override PartName="/word/media/rId117.png" ContentType="image/png"/>
  <Override PartName="/word/media/rId1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Cava</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data curation, formal analysis, project administration, resources, visualization, and writing – original draft. </w:t>
      </w:r>
      <w:r>
        <w:rPr>
          <w:i/>
          <w:iCs/>
        </w:rPr>
        <w:t xml:space="preserve">Robert Kubinec</w:t>
      </w:r>
      <w:r>
        <w:rPr>
          <w:b/>
          <w:bCs/>
        </w:rPr>
        <w:t xml:space="preserve">: </w:t>
      </w:r>
      <w:r>
        <w:t xml:space="preserve">formal analysis, validation, and Writing - review &amp; editing. </w:t>
      </w:r>
      <w:r>
        <w:rPr>
          <w:i/>
          <w:iCs/>
        </w:rPr>
        <w:t xml:space="preserve">Chelsea M. Parlett Pelleriti</w:t>
      </w:r>
      <w:r>
        <w:rPr>
          <w:b/>
          <w:bCs/>
        </w:rPr>
        <w:t xml:space="preserve">: </w:t>
      </w:r>
      <w:r>
        <w:t xml:space="preserve">formal analysis and Writing - review &amp; editing. </w:t>
      </w:r>
      <w:r>
        <w:rPr>
          <w:i/>
          <w:iCs/>
        </w:rPr>
        <w:t xml:space="preserve">Matti Vuorre</w:t>
      </w:r>
      <w:r>
        <w:rPr>
          <w:b/>
          <w:bCs/>
        </w:rPr>
        <w:t xml:space="preserve">: </w:t>
      </w:r>
      <w:r>
        <w:t xml:space="preserve">formal analysis, resources, supervision, validation, and Writing - review &amp; editing</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10515</w:t>
      </w:r>
    </w:p>
    <w:p>
      <w:r>
        <w:br w:type="page"/>
      </w:r>
    </w:p>
    <w:bookmarkEnd w:id="40"/>
    <w:bookmarkStart w:id="59"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percentages—for example, the proportion of correct responses on a test</w:t>
      </w:r>
      <w:r>
        <w:t xml:space="preserve"> </w:t>
      </w:r>
      <w:r>
        <w:t xml:space="preserve">(e.g.,</w:t>
      </w:r>
      <w:r>
        <w:t xml:space="preserve"> </w:t>
      </w:r>
      <w:hyperlink w:anchor="ref-kornell2008">
        <w:r>
          <w:rPr>
            <w:rStyle w:val="Hyperlink"/>
          </w:rPr>
          <w:t xml:space="preserve">Kornell &amp; Bjork, 2008</w:t>
        </w:r>
      </w:hyperlink>
      <w:r>
        <w:t xml:space="preserve">)</w:t>
      </w:r>
      <w:r>
        <w:t xml:space="preserve">, the proportion of looks directed at a particular stimulus in an eye-tracking task</w:t>
      </w:r>
      <w:r>
        <w:t xml:space="preserve"> </w:t>
      </w:r>
      <w:r>
        <w:t xml:space="preserve">(e.g.,</w:t>
      </w:r>
      <w:r>
        <w:t xml:space="preserve"> </w:t>
      </w:r>
      <w:hyperlink w:anchor="ref-james2025">
        <w:r>
          <w:rPr>
            <w:rStyle w:val="Hyperlink"/>
          </w:rPr>
          <w:t xml:space="preserve">James et al., 2025</w:t>
        </w:r>
      </w:hyperlink>
      <w:r>
        <w:t xml:space="preserve">)</w:t>
      </w:r>
      <w:r>
        <w:t xml:space="preserve">, or the percentage of agreement with a given statement or belief</w:t>
      </w:r>
      <w:r>
        <w:t xml:space="preserve"> </w:t>
      </w:r>
      <w:r>
        <w:t xml:space="preserve">(e.g.,</w:t>
      </w:r>
      <w:r>
        <w:t xml:space="preserve"> </w:t>
      </w:r>
      <w:hyperlink w:anchor="ref-Costello2024">
        <w:r>
          <w:rPr>
            <w:rStyle w:val="Hyperlink"/>
          </w:rPr>
          <w:t xml:space="preserve">Costello et al., 2024</w:t>
        </w:r>
      </w:hyperlink>
      <w:r>
        <w:t xml:space="preserve">)</w:t>
      </w:r>
      <w:r>
        <w:t xml:space="preserve">. In educational and cognitive research, one common way to assess learning is by measuring the proportion of correct responses on a test.</w:t>
      </w:r>
    </w:p>
    <w:p>
      <w:pPr>
        <w:pStyle w:val="BodyText"/>
      </w:pPr>
      <w:r>
        <w:t xml:space="preserve">Consider a memory experiment in which participants read a short passage, engage in a brief distractor task, and then complete a final memory test with 10 short-answer questions. Each question may have a different point value (e.g., question 1 is worth 4 points, question 2 is worth 1 point). A meaningful outcome measure could be the proportion of points earned on each question relative to its total possible value.</w:t>
      </w:r>
    </w:p>
    <w:p>
      <w:pPr>
        <w:pStyle w:val="BodyText"/>
      </w:pPr>
      <w:r>
        <w:t xml:space="preserve">A key question arises from this example: how should proportional outcomes be analyzed? Researchers frequently default to linear models that assume Gaussian (normal) distributions, such as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w:t>
      </w:r>
      <w:hyperlink w:anchor="ref-sladekova2024unicorns">
        <w:r>
          <w:rPr>
            <w:rStyle w:val="Hyperlink"/>
          </w:rPr>
          <w:t xml:space="preserve">Sladekova &amp; Field, 2024</w:t>
        </w:r>
      </w:hyperlink>
      <w:r>
        <w:t xml:space="preserve">)</w:t>
      </w:r>
      <w:r>
        <w:t xml:space="preserve">, and they are especially ill-suited for proportional outcomes, which are bounded between 0 and 1 and often exhibit heteroscedasticity—non-constant variance, particularly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Violating these assumptions can lead to biased estimates and spurious inferences, especially when many observations cluster near 0 or 1.</w:t>
      </w:r>
    </w:p>
    <w:p>
      <w:pPr>
        <w:pStyle w:val="BodyText"/>
      </w:pPr>
      <w:r>
        <w:t xml:space="preserve">In some cases, it is possible to use a generalized version of the linear model (GLM) that relaxes the assumption of normality. For instance, binomial and Bernoulli models—often referred to as logistic regression when paired with a logit link—are well-suited for binary outcomes (e.g., 0 or 1)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existing approaches address the limitations of commonly used models. One such approach is Beta regression, an extension of the generalized linear model that employs the Beta distribution</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directly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r>
        <w:t xml:space="preserve"> </w:t>
      </w:r>
      <w:r>
        <w:t xml:space="preserve">(</w:t>
      </w:r>
      <w:hyperlink w:anchor="ref-sladekova2024unicorns">
        <w:r>
          <w:rPr>
            <w:rStyle w:val="Hyperlink"/>
          </w:rPr>
          <w:t xml:space="preserve">Sladekova &amp; Field, 2024</w:t>
        </w:r>
      </w:hyperlink>
      <w:r>
        <w:t xml:space="preserve">)</w:t>
      </w:r>
      <w:r>
        <w:t xml:space="preserve">. In addition, the direct modeling of proportions allows comparability across tasks and scales, and can be particularly valuable when only the proportion is available, as is often the case with secondary data that lack item-level structure or point values.</w:t>
      </w:r>
    </w:p>
    <w:p>
      <w:pPr>
        <w:pStyle w:val="BodyText"/>
      </w:pPr>
      <w:r>
        <w:t xml:space="preserve">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1"/>
      </w:r>
      <w:r>
        <w:t xml:space="preserve"> </w:t>
      </w:r>
      <w:r>
        <w:t xml:space="preserve">Consequently, a scale that has natural end points of -1,234 and +8,451–or any other end points on the real number line short of infinity—can be modeled using the approaches we describe in this paper.</w:t>
      </w:r>
    </w:p>
    <w:bookmarkStart w:id="44"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2">
        <w:r>
          <w:rPr>
            <w:rStyle w:val="Hyperlink"/>
          </w:rPr>
          <w:t xml:space="preserve">https://github.com/jgeller112/beta_regression_tutorial</w:t>
        </w:r>
      </w:hyperlink>
      <w:r>
        <w:rPr>
          <w:rStyle w:val="FootnoteReference"/>
        </w:rPr>
        <w:footnoteReference w:id="43"/>
      </w:r>
      <w:r>
        <w:t xml:space="preserve">.</w:t>
      </w:r>
    </w:p>
    <w:bookmarkEnd w:id="44"/>
    <w:bookmarkStart w:id="50"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5"/>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9"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7" name="Picture"/>
            <a:graphic>
              <a:graphicData uri="http://schemas.openxmlformats.org/drawingml/2006/picture">
                <pic:pic>
                  <pic:nvPicPr>
                    <pic:cNvPr descr="ms_files/figure-docx/fig-curves-1.png" id="48" name="Picture"/>
                    <pic:cNvPicPr>
                      <a:picLocks noChangeArrowheads="1" noChangeAspect="1"/>
                    </pic:cNvPicPr>
                  </pic:nvPicPr>
                  <pic:blipFill>
                    <a:blip r:embed="rId46"/>
                    <a:stretch>
                      <a:fillRect/>
                    </a:stretch>
                  </pic:blipFill>
                  <pic:spPr bwMode="auto">
                    <a:xfrm>
                      <a:off x="0" y="0"/>
                      <a:ext cx="5504749" cy="2862469"/>
                    </a:xfrm>
                    <a:prstGeom prst="rect">
                      <a:avLst/>
                    </a:prstGeom>
                    <a:noFill/>
                    <a:ln w="9525">
                      <a:noFill/>
                      <a:headEnd/>
                      <a:tailEnd/>
                    </a:ln>
                  </pic:spPr>
                </pic:pic>
              </a:graphicData>
            </a:graphic>
          </wp:inline>
        </w:drawing>
      </w:r>
    </w:p>
    <w:bookmarkEnd w:id="49"/>
    <w:bookmarkEnd w:id="50"/>
    <w:bookmarkStart w:id="52"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1"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1"/>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2"/>
    <w:bookmarkStart w:id="58"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2022</w:t>
        </w:r>
      </w:hyperlink>
      <w:r>
        <w:t xml:space="preserve">;</w:t>
      </w:r>
      <w:r>
        <w:t xml:space="preserve"> </w:t>
      </w:r>
      <w:hyperlink w:anchor="ref-mcelreath2020statistical">
        <w:r>
          <w:rPr>
            <w:rStyle w:val="Hyperlink"/>
          </w:rPr>
          <w:t xml:space="preserve">McElreath, 2020</w:t>
        </w:r>
      </w:hyperlink>
      <w:r>
        <w:t xml:space="preserve">)</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a high-level interface to the probabilistic programming language Stan</w:t>
      </w:r>
      <w:r>
        <w:t xml:space="preserve"> </w:t>
      </w:r>
      <w:r>
        <w:t xml:space="preserve">(</w:t>
      </w:r>
      <w:hyperlink w:anchor="ref-stan2023">
        <w:r>
          <w:rPr>
            <w:rStyle w:val="Hyperlink"/>
          </w:rPr>
          <w:t xml:space="preserve">Team, 2023</w:t>
        </w:r>
      </w:hyperlink>
      <w:r>
        <w:t xml:space="preserve">)</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2,000 posterior draws,</w:t>
      </w:r>
      <w:r>
        <w:rPr>
          <w:rStyle w:val="FootnoteReference"/>
        </w:rPr>
        <w:footnoteReference w:id="53"/>
      </w:r>
      <w:r>
        <w:t xml:space="preserve"> </w:t>
      </w:r>
      <w:r>
        <w:t xml:space="preserve">which allow us to compute quantities such as the posterior mean (similar to a frequentist point estimate) and the 95% credible interval (Cr.I), which is often compared to a confidence interval.In addition, we report the</w:t>
      </w:r>
      <w:r>
        <w:t xml:space="preserve"> </w:t>
      </w:r>
      <w:r>
        <w:rPr>
          <w:i/>
          <w:iCs/>
        </w:rPr>
        <w:t xml:space="preserve">probability of direction</w:t>
      </w:r>
      <w:r>
        <w:t xml:space="preserve"> </w:t>
      </w:r>
      <w:r>
        <w:t xml:space="preserve">(pd), which reflects the probability that a parameter is strictly positive or negative. When a uniform prior is used (all values equally likely in the prior), a pd of 95%, 97.5%, 99.5%, and 99.95% corresponds approximately to a point estimate with two-sided</w:t>
      </w:r>
      <w:r>
        <w:t xml:space="preserve"> </w:t>
      </w:r>
      <w:r>
        <w:rPr>
          <w:i/>
          <w:iCs/>
        </w:rPr>
        <w:t xml:space="preserve">p</w:t>
      </w:r>
      <w:r>
        <w:t xml:space="preserve">-values of 0.10, 0.05, 0.01, and 0.001, respectively (approximately</w:t>
      </w:r>
      <w:r>
        <w:t xml:space="preserve"> </w:t>
      </w:r>
      <m:oMath>
        <m:r>
          <m:t>1</m:t>
        </m:r>
        <m:r>
          <m:rPr>
            <m:sty m:val="p"/>
          </m:rPr>
          <m:t>−</m:t>
        </m:r>
        <m:f>
          <m:fPr>
            <m:type m:val="bar"/>
          </m:fPr>
          <m:num>
            <m:r>
              <m:t>p</m:t>
            </m:r>
          </m:num>
          <m:den>
            <m:r>
              <m:t>2</m:t>
            </m:r>
          </m:den>
        </m:f>
      </m:oMath>
      <w:r>
        <w:t xml:space="preserve">)(see</w:t>
      </w:r>
      <w:r>
        <w:t xml:space="preserve"> </w:t>
      </w:r>
      <w:hyperlink w:anchor="fig-p-value-pd-comp">
        <w:r>
          <w:rPr>
            <w:rStyle w:val="Hyperlink"/>
          </w:rPr>
          <w:t xml:space="preserve">Figure 2</w:t>
        </w:r>
      </w:hyperlink>
      <w:r>
        <w:t xml:space="preserve"> </w:t>
      </w:r>
      <w:r>
        <w:t xml:space="preserve">for a visual description of how the</w:t>
      </w:r>
      <w:r>
        <w:t xml:space="preserve"> </w:t>
      </w:r>
      <w:r>
        <w:rPr>
          <w:i/>
          <w:iCs/>
        </w:rPr>
        <w:t xml:space="preserve">pd</w:t>
      </w:r>
      <w:r>
        <w:t xml:space="preserve"> </w:t>
      </w:r>
      <w:r>
        <w:t xml:space="preserve">and</w:t>
      </w:r>
      <w:r>
        <w:t xml:space="preserve"> </w:t>
      </w:r>
      <w:r>
        <w:rPr>
          <w:i/>
          <w:iCs/>
        </w:rPr>
        <w:t xml:space="preserve">p</w:t>
      </w:r>
      <w:r>
        <w:t xml:space="preserve">-value are related). For directional hypotheses, the pd can be interpreted as roughly equivalent to one minus the</w:t>
      </w:r>
      <w:r>
        <w:t xml:space="preserve"> </w:t>
      </w:r>
      <w:r>
        <w:rPr>
          <w:i/>
          <w:iCs/>
        </w:rPr>
        <w:t xml:space="preserve">p</w:t>
      </w:r>
      <w:r>
        <w:t xml:space="preserve">-value</w:t>
      </w:r>
      <w:r>
        <w:t xml:space="preserve"> </w:t>
      </w:r>
      <w:r>
        <w:t xml:space="preserve">(</w:t>
      </w:r>
      <w:hyperlink w:anchor="ref-marsmanThreeInsightsBayesian2016">
        <w:r>
          <w:rPr>
            <w:rStyle w:val="Hyperlink"/>
          </w:rPr>
          <w:t xml:space="preserve">Marsman &amp; Wagenmakers, 2016</w:t>
        </w:r>
      </w:hyperlink>
      <w:r>
        <w:t xml:space="preserve">)</w:t>
      </w:r>
      <w:r>
        <w:t xml:space="preserve">.</w:t>
      </w:r>
    </w:p>
    <w:bookmarkStart w:id="57" w:name="fig-p-value-pd-comp"/>
    <w:p>
      <w:pPr>
        <w:pStyle w:val="FigureTitle"/>
      </w:pPr>
      <w:r>
        <w:t xml:space="preserve">Figure 2</w:t>
      </w:r>
    </w:p>
    <w:p>
      <w:pPr>
        <w:pStyle w:val="Caption"/>
      </w:pPr>
      <w:r>
        <w:t xml:space="preserve">A Bayesian posterior distribution (assuming uniform prior) centered around the point estimate 1.645 and a Frequentist sampling distribution (under the null; centered at 0). In the Bayesian posterior distribution, the blue area represents the</w:t>
      </w:r>
      <w:r>
        <w:t xml:space="preserve"> </w:t>
      </w:r>
      <m:oMath>
        <m:r>
          <m:t>α</m:t>
        </m:r>
      </m:oMath>
      <w:r>
        <w:t xml:space="preserve"> </w:t>
      </w:r>
      <w:r>
        <w:t xml:space="preserve">probability of direction (pd), and the red area represents</w:t>
      </w:r>
      <w:r>
        <w:t xml:space="preserve"> </w:t>
      </w:r>
      <m:oMath>
        <m:r>
          <m:t>1</m:t>
        </m:r>
        <m:r>
          <m:rPr>
            <m:sty m:val="p"/>
          </m:rPr>
          <m:t>−</m:t>
        </m:r>
        <m:r>
          <m:t>α</m:t>
        </m:r>
      </m:oMath>
      <w:r>
        <w:t xml:space="preserve"> </w:t>
      </w:r>
      <w:r>
        <w:t xml:space="preserve">of the distribution. In the Frequentist sampling distribution, the red tail areas represent the rejection region at</w:t>
      </w:r>
      <w:r>
        <w:t xml:space="preserve"> </w:t>
      </w:r>
      <m:oMath>
        <m:r>
          <m:t>α</m:t>
        </m:r>
        <m:r>
          <m:rPr>
            <m:sty m:val="p"/>
          </m:rPr>
          <m:t>=</m:t>
        </m:r>
        <m:r>
          <m:t>0.1</m:t>
        </m:r>
      </m:oMath>
      <w:r>
        <w:t xml:space="preserve">. Note that the mean estimate for the Bayesian posterior distribution falls exactly at the</w:t>
      </w:r>
      <w:r>
        <w:t xml:space="preserve"> </w:t>
      </w:r>
      <m:oMath>
        <m:r>
          <m:t>1</m:t>
        </m:r>
        <m:r>
          <m:rPr>
            <m:sty m:val="p"/>
          </m:rPr>
          <m:t>−</m:t>
        </m:r>
        <m:f>
          <m:fPr>
            <m:type m:val="bar"/>
          </m:fPr>
          <m:num>
            <m:r>
              <m:t>α</m:t>
            </m:r>
          </m:num>
          <m:den>
            <m:r>
              <m:t>2</m:t>
            </m:r>
          </m:den>
        </m:f>
      </m:oMath>
      <w:r>
        <w:t xml:space="preserve"> </w:t>
      </w:r>
      <w:r>
        <w:t xml:space="preserve">cutoff in the Frequentist sampling distribution. In this sense, the pd is equivalent to the one-sided</w:t>
      </w:r>
      <w:r>
        <w:t xml:space="preserve"> </w:t>
      </w:r>
      <m:oMath>
        <m:r>
          <m:t>p</m:t>
        </m:r>
      </m:oMath>
      <w:r>
        <w:t xml:space="preserve">-value.</w:t>
      </w:r>
    </w:p>
    <w:p>
      <w:pPr>
        <w:pStyle w:val="FigureWithoutNote"/>
      </w:pPr>
      <w:r>
        <w:drawing>
          <wp:inline>
            <wp:extent cx="5504749" cy="3400711"/>
            <wp:effectExtent b="0" l="0" r="0" t="0"/>
            <wp:docPr descr="" title="" id="55" name="Picture"/>
            <a:graphic>
              <a:graphicData uri="http://schemas.openxmlformats.org/drawingml/2006/picture">
                <pic:pic>
                  <pic:nvPicPr>
                    <pic:cNvPr descr="ms_files/figure-docx/fig-p-value-pd-comp-1.png" id="56" name="Picture"/>
                    <pic:cNvPicPr>
                      <a:picLocks noChangeArrowheads="1" noChangeAspect="1"/>
                    </pic:cNvPicPr>
                  </pic:nvPicPr>
                  <pic:blipFill>
                    <a:blip r:embed="rId54"/>
                    <a:stretch>
                      <a:fillRect/>
                    </a:stretch>
                  </pic:blipFill>
                  <pic:spPr bwMode="auto">
                    <a:xfrm>
                      <a:off x="0" y="0"/>
                      <a:ext cx="5504749" cy="3400711"/>
                    </a:xfrm>
                    <a:prstGeom prst="rect">
                      <a:avLst/>
                    </a:prstGeom>
                    <a:noFill/>
                    <a:ln w="9525">
                      <a:noFill/>
                      <a:headEnd/>
                      <a:tailEnd/>
                    </a:ln>
                  </pic:spPr>
                </pic:pic>
              </a:graphicData>
            </a:graphic>
          </wp:inline>
        </w:drawing>
      </w:r>
    </w:p>
    <w:bookmarkEnd w:id="57"/>
    <w:p>
      <w:pPr>
        <w:pStyle w:val="AfterWithoutNote"/>
      </w:pPr>
      <w:r>
        <w:t xml:space="preserve">For reasons of space, we refer readers unfamiliar to Bayesian data analysis to several existing books on the topic</w:t>
      </w:r>
      <w:r>
        <w:t xml:space="preserve"> </w:t>
      </w:r>
      <w:r>
        <w:t xml:space="preserve">(</w:t>
      </w:r>
      <w:hyperlink w:anchor="ref-gelman2013bayesian">
        <w:r>
          <w:rPr>
            <w:rStyle w:val="Hyperlink"/>
          </w:rPr>
          <w:t xml:space="preserve">Gelman et al., 2013</w:t>
        </w:r>
      </w:hyperlink>
      <w:r>
        <w:t xml:space="preserve">;</w:t>
      </w:r>
      <w:r>
        <w:t xml:space="preserve"> </w:t>
      </w:r>
      <w:hyperlink w:anchor="ref-kruschke2015doing">
        <w:r>
          <w:rPr>
            <w:rStyle w:val="Hyperlink"/>
          </w:rPr>
          <w:t xml:space="preserve">Kruschke, 2015</w:t>
        </w:r>
      </w:hyperlink>
      <w:r>
        <w:t xml:space="preserve">;</w:t>
      </w:r>
      <w:r>
        <w:t xml:space="preserve"> </w:t>
      </w:r>
      <w:hyperlink w:anchor="ref-mcelreath2020statistical">
        <w:r>
          <w:rPr>
            <w:rStyle w:val="Hyperlink"/>
          </w:rPr>
          <w:t xml:space="preserve">McElreath, 2020</w:t>
        </w:r>
      </w:hyperlink>
      <w:r>
        <w:t xml:space="preserve">)</w:t>
      </w:r>
      <w:r>
        <w:t xml:space="preserve">. In addition, we assume readers are familiar with R, but those in need of a refresher should find</w:t>
      </w:r>
      <w:r>
        <w:t xml:space="preserve"> </w:t>
      </w:r>
      <w:r>
        <w:t xml:space="preserve">Wickham et al. (</w:t>
      </w:r>
      <w:hyperlink w:anchor="ref-wickhamDataScienceImport2023">
        <w:r>
          <w:rPr>
            <w:rStyle w:val="Hyperlink"/>
          </w:rPr>
          <w:t xml:space="preserve">2023</w:t>
        </w:r>
      </w:hyperlink>
      <w:r>
        <w:t xml:space="preserve">)</w:t>
      </w:r>
      <w:r>
        <w:t xml:space="preserve"> </w:t>
      </w:r>
      <w:r>
        <w:t xml:space="preserve">useful.</w:t>
      </w:r>
    </w:p>
    <w:bookmarkEnd w:id="58"/>
    <w:bookmarkEnd w:id="59"/>
    <w:bookmarkStart w:id="153" w:name="beta-regression-tutorial"/>
    <w:p>
      <w:pPr>
        <w:pStyle w:val="Heading1"/>
      </w:pPr>
      <w:r>
        <w:t xml:space="preserve">Beta Regression Tutorial</w:t>
      </w:r>
    </w:p>
    <w:bookmarkStart w:id="62"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t>
      </w:r>
      <w:hyperlink w:anchor="ref-wilford2020">
        <w:r>
          <w:rPr>
            <w:rStyle w:val="Hyperlink"/>
          </w:rPr>
          <w:t xml:space="preserve">Wilford et al., 2020</w:t>
        </w:r>
      </w:hyperlink>
      <w:r>
        <w:t xml:space="preserve">,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w:t>
      </w:r>
      <w:hyperlink w:anchor="ref-carpenter2013">
        <w:r>
          <w:rPr>
            <w:rStyle w:val="Hyperlink"/>
          </w:rPr>
          <w:t xml:space="preserve">Carpenter et al., 2013</w:t>
        </w:r>
      </w:hyperlink>
      <w:r>
        <w:t xml:space="preserve">)</w:t>
      </w:r>
      <w:r>
        <w:t xml:space="preserve">. However, previous research suggests that these impressions do not reliably translate into improved memory performance</w:t>
      </w:r>
      <w:r>
        <w:t xml:space="preserve"> </w:t>
      </w:r>
      <w:r>
        <w:t xml:space="preserve">(e.g.,</w:t>
      </w:r>
      <w:r>
        <w:t xml:space="preserve"> </w:t>
      </w:r>
      <w:hyperlink w:anchor="ref-carpenter2013">
        <w:r>
          <w:rPr>
            <w:rStyle w:val="Hyperlink"/>
          </w:rPr>
          <w:t xml:space="preserve">Carpenter et al., 2013</w:t>
        </w:r>
      </w:hyperlink>
      <w:r>
        <w:t xml:space="preserve">;</w:t>
      </w:r>
      <w:r>
        <w:t xml:space="preserve"> </w:t>
      </w:r>
      <w:hyperlink w:anchor="ref-toftness2017">
        <w:r>
          <w:rPr>
            <w:rStyle w:val="Hyperlink"/>
          </w:rPr>
          <w:t xml:space="preserve">Toftness et al., 2017</w:t>
        </w:r>
      </w:hyperlink>
      <w:r>
        <w:t xml:space="preserve">;</w:t>
      </w:r>
      <w:r>
        <w:t xml:space="preserve"> </w:t>
      </w:r>
      <w:hyperlink w:anchor="ref-witherby2022">
        <w:r>
          <w:rPr>
            <w:rStyle w:val="Hyperlink"/>
          </w:rPr>
          <w:t xml:space="preserve">Witherby &amp; Carpenter, 2022</w:t>
        </w:r>
      </w:hyperlink>
      <w:r>
        <w:t xml:space="preserve">)</w:t>
      </w:r>
      <w:r>
        <w:t xml:space="preserve">. In contrast,</w:t>
      </w:r>
      <w:r>
        <w:t xml:space="preserve"> </w:t>
      </w:r>
      <w:r>
        <w:t xml:space="preserve">Wilford et al. (</w:t>
      </w:r>
      <w:hyperlink w:anchor="ref-wilford2020">
        <w:r>
          <w:rPr>
            <w:rStyle w:val="Hyperlink"/>
          </w:rPr>
          <w:t xml:space="preserve">2020</w:t>
        </w:r>
      </w:hyperlink>
      <w:r>
        <w:t xml:space="preserve">)</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60"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fluency_data &lt;- read_csv(</w:t>
            </w:r>
            <w:r>
              <w:br/>
            </w:r>
            <w:r>
              <w:rPr>
                <w:rStyle w:val="VerbatimChar"/>
              </w:rPr>
              <w:t xml:space="preserve">  "https://raw.githubusercontent.com/jgeller112/beta_regression_tutorial/refs/heads/main/manuscript/data/fluency_data.csv"</w:t>
            </w:r>
            <w:r>
              <w:br/>
            </w:r>
            <w:r>
              <w:rPr>
                <w:rStyle w:val="VerbatimChar"/>
              </w:rPr>
              <w:t xml:space="preserve">)</w:t>
            </w:r>
          </w:p>
          <w:bookmarkEnd w:id="60"/>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61" w:name="tbl-dataset"/>
    <w:p>
      <w:pPr>
        <w:pStyle w:val="FigureTitle"/>
      </w:pPr>
      <w:r>
        <w:t xml:space="preserve">Table 1</w:t>
      </w:r>
    </w:p>
    <w:p>
      <w:pPr>
        <w:pStyle w:val="Caption"/>
      </w:pPr>
      <w:r>
        <w:t xml:space="preserve">Four observations from</w:t>
      </w:r>
      <w:r>
        <w:t xml:space="preserve"> </w:t>
      </w:r>
      <w:r>
        <w:t xml:space="preserve">Wilford et al. (</w:t>
      </w:r>
      <w:hyperlink w:anchor="ref-wilford2020">
        <w:r>
          <w:rPr>
            <w:rStyle w:val="Hyperlink"/>
          </w:rPr>
          <w:t xml:space="preserve">2020</w:t>
        </w:r>
      </w:hyperlink>
      <w:r>
        <w:t xml:space="preserve">)</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61"/>
    <w:bookmarkEnd w:id="62"/>
    <w:bookmarkStart w:id="74"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bookmarkStart w:id="66" w:name="fig-flu1"/>
    <w:p>
      <w:pPr>
        <w:pStyle w:val="FigureTitle"/>
      </w:pPr>
      <w:r>
        <w:t xml:space="preserve">Figure 3</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4" name="Picture"/>
            <a:graphic>
              <a:graphicData uri="http://schemas.openxmlformats.org/drawingml/2006/picture">
                <pic:pic>
                  <pic:nvPicPr>
                    <pic:cNvPr descr="ms_files/figure-docx/fig-flu1-1.png" id="65" name="Picture"/>
                    <pic:cNvPicPr>
                      <a:picLocks noChangeArrowheads="1" noChangeAspect="1"/>
                    </pic:cNvPicPr>
                  </pic:nvPicPr>
                  <pic:blipFill>
                    <a:blip r:embed="rId63"/>
                    <a:stretch>
                      <a:fillRect/>
                    </a:stretch>
                  </pic:blipFill>
                  <pic:spPr bwMode="auto">
                    <a:xfrm>
                      <a:off x="0" y="0"/>
                      <a:ext cx="5504749" cy="3400711"/>
                    </a:xfrm>
                    <a:prstGeom prst="rect">
                      <a:avLst/>
                    </a:prstGeom>
                    <a:noFill/>
                    <a:ln w="9525">
                      <a:noFill/>
                      <a:headEnd/>
                      <a:tailEnd/>
                    </a:ln>
                  </pic:spPr>
                </pic:pic>
              </a:graphicData>
            </a:graphic>
          </wp:inline>
        </w:drawing>
      </w:r>
    </w:p>
    <w:bookmarkEnd w:id="66"/>
    <w:p>
      <w:pPr>
        <w:pStyle w:val="AfterWithoutNote"/>
      </w:pPr>
      <w:r>
        <w:t xml:space="preserve">We first replicate this analysis in a regression framework using brms. We model final test accuracy–the proprtion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7"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67"/>
    <w:p>
      <w:pPr>
        <w:pStyle w:val="FigureNote"/>
      </w:pPr>
      <w:r>
        <w:rPr>
          <w:i/>
          <w:iCs/>
        </w:rPr>
        <w:t xml:space="preserve">Note</w:t>
      </w:r>
      <w:r>
        <w:t xml:space="preserve">. Link functions: b_mean = logit; b_phi = log;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73"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68"/>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69"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p>
          <w:p>
            <w:pPr>
              <w:pStyle w:val="SourceCode"/>
              <w:jc w:val="center"/>
            </w:pPr>
            <w:r>
              <w:rPr>
                <w:rStyle w:val="VerbatimChar"/>
              </w:rPr>
              <w:t xml:space="preserve">library(brms)</w:t>
            </w:r>
            <w:r>
              <w:br/>
            </w:r>
            <w:r>
              <w:rPr>
                <w:rStyle w:val="VerbatimChar"/>
              </w:rPr>
              <w:t xml:space="preserve">library(cmdstanr)</w:t>
            </w:r>
          </w:p>
          <w:bookmarkEnd w:id="69"/>
        </w:tc>
      </w:tr>
    </w:tbl>
    <w:tbl>
      <w:tblPr>
        <w:tblStyle w:val="Table"/>
        <w:tblW w:type="pct" w:w="5000"/>
        <w:tblLayout w:type="fixed"/>
        <w:tblLook w:firstRow="0" w:lastRow="0" w:firstColumn="0" w:lastColumn="0" w:noHBand="0" w:noVBand="0" w:val="0000"/>
      </w:tblPr>
      <w:tblGrid>
        <w:gridCol w:w="7920"/>
      </w:tblGrid>
      <w:tr>
        <w:tc>
          <w:tcPr/>
          <w:bookmarkStart w:id="70"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70"/>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w:t>
      </w:r>
      <w:hyperlink w:anchor="ref-brms">
        <w:r>
          <w:rPr>
            <w:rStyle w:val="Hyperlink"/>
          </w:rPr>
          <w:t xml:space="preserve">Bürkner, 2017</w:t>
        </w:r>
      </w:hyperlink>
      <w:r>
        <w:t xml:space="preserve">)</w:t>
      </w:r>
      <w:r>
        <w:t xml:space="preserve">. For the models we present in this paper, convergence is trivial with standard linear mixed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w:t>
      </w:r>
      <w:r>
        <w:t xml:space="preserve"> </w:t>
      </w:r>
      <w:r>
        <w:rPr>
          <w:i/>
          <w:iCs/>
        </w:rPr>
        <w:t xml:space="preserve">disfluent</w:t>
      </w:r>
      <w:r>
        <w:t xml:space="preserve"> </w:t>
      </w:r>
      <w:r>
        <w:t xml:space="preserve">condition, M = 0.256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0.084. The 95% credible interval for this estimate spans from -0.002 to 0.168.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w:t>
      </w:r>
      <w:hyperlink w:anchor="ref-wilford2020">
        <w:r>
          <w:rPr>
            <w:rStyle w:val="Hyperlink"/>
          </w:rPr>
          <w:t xml:space="preserve">2020</w:t>
        </w:r>
      </w:hyperlink>
      <w:r>
        <w:t xml:space="preserve">)</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3895     2961</w:t>
      </w:r>
      <w:r>
        <w:br/>
      </w:r>
      <w:r>
        <w:rPr>
          <w:rStyle w:val="VerbatimChar"/>
        </w:rPr>
        <w:t xml:space="preserve">FluencyFluent     0.08      0.04    -0.00     0.17 1.00     3868     2584</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3597     2997</w:t>
      </w:r>
    </w:p>
    <w:p>
      <w:pPr>
        <w:pStyle w:val="FirstParagraph"/>
      </w:pPr>
      <w:r>
        <w:t xml:space="preserve">The output also includes the effective sample size (ESS) and R̂ (R-hat) values, both of which fall within acceptable ranges, indicating good model convergence. Throughout the tutorial, we focus on posterior mean estimates and their 95% credible intervals. In addition, we include the</w:t>
      </w:r>
      <w:r>
        <w:t xml:space="preserve"> </w:t>
      </w:r>
      <w:r>
        <w:rPr>
          <w:i/>
          <w:iCs/>
        </w:rPr>
        <w:t xml:space="preserve">pd</w:t>
      </w:r>
      <w:r>
        <w:t xml:space="preserve"> </w:t>
      </w:r>
      <w:r>
        <w:t xml:space="preserve">measure in the main summary table (</w:t>
      </w:r>
      <w:hyperlink w:anchor="tbl-all">
        <w:r>
          <w:rPr>
            <w:rStyle w:val="Hyperlink"/>
          </w:rPr>
          <w:t xml:space="preserve">Table 2</w:t>
        </w:r>
      </w:hyperlink>
      <w:r>
        <w:t xml:space="preserve">), which is provided by the</w:t>
      </w:r>
      <w:r>
        <w:t xml:space="preserve"> </w:t>
      </w:r>
      <w:r>
        <w:rPr>
          <w:rStyle w:val="VerbatimChar"/>
        </w:rPr>
        <w:t xml:space="preserve">bayestestR</w:t>
      </w:r>
      <w:r>
        <w:t xml:space="preserve"> </w:t>
      </w:r>
      <w:r>
        <w:t xml:space="preserve">package</w:t>
      </w:r>
      <w:r>
        <w:t xml:space="preserve"> </w:t>
      </w:r>
      <w:r>
        <w:t xml:space="preserve">(</w:t>
      </w:r>
      <w:hyperlink w:anchor="ref-makowski2019a">
        <w:r>
          <w:rPr>
            <w:rStyle w:val="Hyperlink"/>
          </w:rPr>
          <w:t xml:space="preserve">Makowski, Ben-Shachar, Chen, et al., 2019</w:t>
        </w:r>
      </w:hyperlink>
      <w:r>
        <w:t xml:space="preserve">;</w:t>
      </w:r>
      <w:r>
        <w:t xml:space="preserve"> </w:t>
      </w:r>
      <w:hyperlink w:anchor="ref-makowski2019">
        <w:r>
          <w:rPr>
            <w:rStyle w:val="Hyperlink"/>
          </w:rPr>
          <w:t xml:space="preserve">Makowski, Ben-Shachar, &amp; Lüdecke, 2019</w:t>
        </w:r>
      </w:hyperlink>
      <w:r>
        <w:t xml:space="preserve">)</w:t>
      </w:r>
      <w:r>
        <w:t xml:space="preserve">. This measure offers an intuitive parallel to p-values that many readers may be familiar with.</w:t>
      </w:r>
    </w:p>
    <w:tbl>
      <w:tblPr>
        <w:tblStyle w:val="Table"/>
        <w:tblW w:type="pct" w:w="5000"/>
        <w:tblLayout w:type="fixed"/>
        <w:tblLook w:firstRow="0" w:lastRow="0" w:firstColumn="0" w:lastColumn="0" w:noHBand="0" w:noVBand="0" w:val="0000"/>
      </w:tblPr>
      <w:tblGrid>
        <w:gridCol w:w="7920"/>
      </w:tblGrid>
      <w:tr>
        <w:tc>
          <w:tcPr/>
          <w:bookmarkStart w:id="71" w:name="lst-hypo"/>
          <w:p>
            <w:pPr>
              <w:jc w:val="center"/>
            </w:pPr>
            <w:pPr>
              <w:jc w:val="start"/>
              <w:spacing w:before="200"/>
              <w:pStyle w:val="ImageCaption"/>
            </w:pPr>
            <w:r>
              <w:t xml:space="preserve">Listing 4: Getting BF using</w:t>
            </w:r>
            <w:r>
              <w:t xml:space="preserve"> </w:t>
            </w:r>
            <w:r>
              <w:rPr>
                <w:rStyle w:val="VerbatimChar"/>
              </w:rPr>
              <w:t xml:space="preserve">hypothesis()</w:t>
            </w:r>
            <w:r>
              <w:t xml:space="preserve"> </w:t>
            </w:r>
            <w:r>
              <w:t xml:space="preserve">function from</w:t>
            </w:r>
            <w:r>
              <w:t xml:space="preserve"> </w:t>
            </w:r>
            <w:r>
              <w:rPr>
                <w:rStyle w:val="VerbatimChar"/>
              </w:rPr>
              <w:t xml:space="preserve">brms</w:t>
            </w:r>
          </w:p>
          <w:p>
            <w:pPr>
              <w:pStyle w:val="SourceCode"/>
              <w:jc w:val="center"/>
            </w:pPr>
            <w:r>
              <w:rPr>
                <w:rStyle w:val="VerbatimChar"/>
              </w:rPr>
              <w:t xml:space="preserve"># test non-zero effect</w:t>
            </w:r>
            <w:r>
              <w:br/>
            </w:r>
            <w:r>
              <w:br/>
            </w:r>
            <w:r>
              <w:rPr>
                <w:rStyle w:val="VerbatimChar"/>
              </w:rPr>
              <w:t xml:space="preserve">fluency_effect &lt;- hypothesis(bayes_reg_model, "FluencyFluent &gt; 0")</w:t>
            </w:r>
          </w:p>
          <w:bookmarkEnd w:id="71"/>
        </w:tc>
      </w:tr>
    </w:tbl>
    <w:bookmarkStart w:id="72" w:name="tbl-hypothesis"/>
    <w:tbl>
      <w:tblPr>
        <w:tblStyle w:val="Table"/>
        <w:tblW w:type="pct" w:w="3889"/>
        <w:tblLayout w:type="fixed"/>
        <w:tblLook w:firstRow="1" w:lastRow="0" w:firstColumn="0" w:lastColumn="0" w:noHBand="0" w:noVBand="0" w:val="0020"/>
      </w:tblPr>
      <w:tblGrid>
        <w:gridCol w:w="2420"/>
        <w:gridCol w:w="880"/>
        <w:gridCol w:w="1870"/>
        <w:gridCol w:w="990"/>
      </w:tblGrid>
      <w:tr>
        <w:trPr>
          <w:tblHeader w:val="on"/>
        </w:trPr>
        <w:tc>
          <w:tcPr/>
          <w:p>
            <w:pPr>
              <w:pStyle w:val="Compact"/>
            </w:pPr>
            <w:r>
              <w:t xml:space="preserve">Hypothesis</w:t>
            </w:r>
          </w:p>
        </w:tc>
        <w:tc>
          <w:tcPr/>
          <w:p>
            <w:pPr>
              <w:pStyle w:val="Compact"/>
            </w:pPr>
            <w:r>
              <w:t xml:space="preserve">Mean</w:t>
            </w:r>
          </w:p>
        </w:tc>
        <w:tc>
          <w:tcPr/>
          <w:p>
            <w:pPr>
              <w:pStyle w:val="Compact"/>
            </w:pPr>
            <w:r>
              <w:t xml:space="preserve">95% Cr.I</w:t>
            </w:r>
          </w:p>
        </w:tc>
        <w:tc>
          <w:tcPr/>
          <w:p>
            <w:pPr>
              <w:pStyle w:val="Compact"/>
            </w:pPr>
            <w:r>
              <w:t xml:space="preserve">ER</w:t>
            </w:r>
          </w:p>
        </w:tc>
      </w:tr>
      <w:tr>
        <w:tc>
          <w:tcPr/>
          <w:p>
            <w:pPr>
              <w:pStyle w:val="Compact"/>
            </w:pPr>
            <w:r>
              <w:t xml:space="preserve">(FluencyFluent) &gt; 0</w:t>
            </w:r>
          </w:p>
        </w:tc>
        <w:tc>
          <w:tcPr/>
          <w:p>
            <w:pPr>
              <w:pStyle w:val="Compact"/>
            </w:pPr>
            <w:r>
              <w:t xml:space="preserve">0.084</w:t>
            </w:r>
          </w:p>
        </w:tc>
        <w:tc>
          <w:tcPr/>
          <w:p>
            <w:pPr>
              <w:pStyle w:val="Compact"/>
            </w:pPr>
            <w:r>
              <w:t xml:space="preserve">[0.014, 0.155]</w:t>
            </w:r>
          </w:p>
        </w:tc>
        <w:tc>
          <w:tcPr/>
          <w:p>
            <w:pPr>
              <w:pStyle w:val="Compact"/>
            </w:pPr>
            <w:r>
              <w:t xml:space="preserve">34.088</w:t>
            </w:r>
          </w:p>
        </w:tc>
      </w:tr>
    </w:tbl>
    <w:bookmarkEnd w:id="72"/>
    <w:p>
      <w:pPr>
        <w:pStyle w:val="AfterWithoutNote"/>
      </w:pPr>
      <w:r>
        <w:t xml:space="preserve">For example, the fluency effect has a</w:t>
      </w:r>
      <w:r>
        <w:t xml:space="preserve"> </w:t>
      </w:r>
      <w:r>
        <w:rPr>
          <w:i/>
          <w:iCs/>
        </w:rPr>
        <w:t xml:space="preserve">pd</w:t>
      </w:r>
      <w:r>
        <w:t xml:space="preserve"> </w:t>
      </w:r>
      <w:r>
        <w:t xml:space="preserve">of .977, which indicates a high probability that the effect is positive rather than negative (akin to p &lt; .05). However,</w:t>
      </w:r>
      <w:r>
        <w:t xml:space="preserve"> </w:t>
      </w:r>
      <w:r>
        <w:rPr>
          <w:i/>
          <w:iCs/>
        </w:rPr>
        <w:t xml:space="preserve">pd</w:t>
      </w:r>
      <w:r>
        <w:t xml:space="preserve"> </w:t>
      </w:r>
      <w:r>
        <w:t xml:space="preserve">does not tell us the probability that the effect is</w:t>
      </w:r>
      <w:r>
        <w:t xml:space="preserve"> </w:t>
      </w:r>
      <w:r>
        <w:rPr>
          <w:i/>
          <w:iCs/>
        </w:rPr>
        <w:t xml:space="preserve">non-zero</w:t>
      </w:r>
      <w:r>
        <w:t xml:space="preserve">. To assess this, we can compare a model where the effect is greater than 0 to an alternative model where the effect is less than 0. The</w:t>
      </w:r>
      <w:r>
        <w:t xml:space="preserve"> </w:t>
      </w:r>
      <w:r>
        <w:rPr>
          <w:rStyle w:val="VerbatimChar"/>
        </w:rPr>
        <w:t xml:space="preserve">hypothesis()</w:t>
      </w:r>
      <w:r>
        <w:t xml:space="preserve"> </w:t>
      </w:r>
      <w:r>
        <w:t xml:space="preserve">function in</w:t>
      </w:r>
      <w:r>
        <w:t xml:space="preserve"> </w:t>
      </w:r>
      <w:r>
        <w:rPr>
          <w:rStyle w:val="VerbatimChar"/>
        </w:rPr>
        <w:t xml:space="preserve">brms</w:t>
      </w:r>
      <w:r>
        <w:t xml:space="preserve"> </w:t>
      </w:r>
      <w:r>
        <w:t xml:space="preserve">(see</w:t>
      </w:r>
      <w:r>
        <w:t xml:space="preserve"> </w:t>
      </w:r>
      <w:hyperlink w:anchor="lst-hypo">
        <w:r>
          <w:rPr>
            <w:rStyle w:val="Hyperlink"/>
          </w:rPr>
          <w:t xml:space="preserve">Listing 4</w:t>
        </w:r>
      </w:hyperlink>
      <w:r>
        <w:t xml:space="preserve">) allows us to perform this comparison. Running the code returns a column called</w:t>
      </w:r>
      <w:r>
        <w:t xml:space="preserve"> </w:t>
      </w:r>
      <w:r>
        <w:rPr>
          <w:rStyle w:val="VerbatimChar"/>
        </w:rPr>
        <w:t xml:space="preserve">ER</w:t>
      </w:r>
      <w:r>
        <w:t xml:space="preserve"> </w:t>
      </w:r>
      <w:r>
        <w:t xml:space="preserve">(</w:t>
      </w:r>
      <w:r>
        <w:rPr>
          <w:rStyle w:val="VerbatimChar"/>
        </w:rPr>
        <w:t xml:space="preserve">Evid.Ratio</w:t>
      </w:r>
      <w:r>
        <w:t xml:space="preserve">), which contains a numerical value that represents the Bayes factor for a directional hypothesis (</w:t>
      </w:r>
      <w:r>
        <w:rPr>
          <w:b/>
          <w:bCs/>
        </w:rPr>
        <w:t xml:space="preserve">?@tbl-hypothesis</w:t>
      </w:r>
      <w:r>
        <w:t xml:space="preserve">) The evidence ratio (ER) for the fluency effect is 34.0877193, providing very strong evidence that the effect is both non-zero and positive</w:t>
      </w:r>
      <w:r>
        <w:t xml:space="preserve"> </w:t>
      </w:r>
      <w:r>
        <w:t xml:space="preserve">(</w:t>
      </w:r>
      <w:hyperlink w:anchor="ref-jeffries1961">
        <w:r>
          <w:rPr>
            <w:rStyle w:val="Hyperlink"/>
          </w:rPr>
          <w:t xml:space="preserve">Jeffries, 1961</w:t>
        </w:r>
      </w:hyperlink>
      <w:r>
        <w:t xml:space="preserve">;</w:t>
      </w:r>
      <w:r>
        <w:t xml:space="preserve"> </w:t>
      </w:r>
      <w:hyperlink w:anchor="ref-kass1995">
        <w:r>
          <w:rPr>
            <w:rStyle w:val="Hyperlink"/>
          </w:rPr>
          <w:t xml:space="preserve">Kass &amp; Raftery, 1995</w:t>
        </w:r>
      </w:hyperlink>
      <w:r>
        <w:t xml:space="preserve">)</w:t>
      </w:r>
      <w:r>
        <w:t xml:space="preserve">.</w:t>
      </w:r>
    </w:p>
    <w:bookmarkEnd w:id="73"/>
    <w:bookmarkEnd w:id="74"/>
    <w:bookmarkStart w:id="110" w:name="beta-regression"/>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to check our assumptions easily. The code in</w:t>
      </w:r>
      <w:r>
        <w:t xml:space="preserve"> </w:t>
      </w:r>
      <w:hyperlink w:anchor="lst-check1">
        <w:r>
          <w:rPr>
            <w:rStyle w:val="Hyperlink"/>
          </w:rPr>
          <w:t xml:space="preserve">Listing 5</w:t>
        </w:r>
      </w:hyperlink>
      <w:r>
        <w:t xml:space="preserve"> </w:t>
      </w:r>
      <w:r>
        <w:t xml:space="preserve">automatically produces</w:t>
      </w:r>
      <w:r>
        <w:t xml:space="preserve"> </w:t>
      </w:r>
      <w:hyperlink w:anchor="fig-reg-assump">
        <w:r>
          <w:rPr>
            <w:rStyle w:val="Hyperlink"/>
          </w:rPr>
          <w:t xml:space="preserve">Figure 4</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75" w:name="lst-check1"/>
          <w:p>
            <w:pPr>
              <w:pStyle w:val="FigureWithoutNote"/>
              <w:jc w:val="center"/>
            </w:pPr>
            <w:pPr>
              <w:jc w:val="start"/>
              <w:spacing w:before="200"/>
              <w:pStyle w:val="ImageCaption"/>
            </w:pPr>
            <w:r>
              <w:t xml:space="preserve">Listing 5: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75"/>
        </w:tc>
      </w:tr>
    </w:tbl>
    <w:bookmarkStart w:id="79" w:name="fig-reg-assump"/>
    <w:p>
      <w:pPr>
        <w:pStyle w:val="FigureTitle"/>
      </w:pPr>
      <w:r>
        <w:t xml:space="preserve">Figure 4</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77" name="Picture"/>
            <a:graphic>
              <a:graphicData uri="http://schemas.openxmlformats.org/drawingml/2006/picture">
                <pic:pic>
                  <pic:nvPicPr>
                    <pic:cNvPr descr="ms_files/figure-docx/fig-reg-assump-1.png" id="78" name="Picture"/>
                    <pic:cNvPicPr>
                      <a:picLocks noChangeArrowheads="1" noChangeAspect="1"/>
                    </pic:cNvPicPr>
                  </pic:nvPicPr>
                  <pic:blipFill>
                    <a:blip r:embed="rId76"/>
                    <a:stretch>
                      <a:fillRect/>
                    </a:stretch>
                  </pic:blipFill>
                  <pic:spPr bwMode="auto">
                    <a:xfrm>
                      <a:off x="0" y="0"/>
                      <a:ext cx="5504749" cy="3400711"/>
                    </a:xfrm>
                    <a:prstGeom prst="rect">
                      <a:avLst/>
                    </a:prstGeom>
                    <a:noFill/>
                    <a:ln w="9525">
                      <a:noFill/>
                      <a:headEnd/>
                      <a:tailEnd/>
                    </a:ln>
                  </pic:spPr>
                </pic:pic>
              </a:graphicData>
            </a:graphic>
          </wp:inline>
        </w:drawing>
      </w:r>
    </w:p>
    <w:bookmarkEnd w:id="79"/>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5</w:t>
        </w:r>
      </w:hyperlink>
      <w:r>
        <w:t xml:space="preserve"> </w:t>
      </w:r>
      <w:r>
        <w:t xml:space="preserve">(A)) the model-predicted density is slightly too peaked and narrow compared to the data. In addition, some of the draws extend into negative accuracy values.</w:t>
      </w:r>
    </w:p>
    <w:bookmarkStart w:id="83" w:name="fig-ppcheckall"/>
    <w:p>
      <w:pPr>
        <w:pStyle w:val="FigureTitle"/>
      </w:pPr>
      <w:r>
        <w:t xml:space="preserve">Figure 5</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81" name="Picture"/>
            <a:graphic>
              <a:graphicData uri="http://schemas.openxmlformats.org/drawingml/2006/picture">
                <pic:pic>
                  <pic:nvPicPr>
                    <pic:cNvPr descr="ms_files/figure-docx/fig-ppcheckall-1.png" id="82" name="Picture"/>
                    <pic:cNvPicPr>
                      <a:picLocks noChangeArrowheads="1" noChangeAspect="1"/>
                    </pic:cNvPicPr>
                  </pic:nvPicPr>
                  <pic:blipFill>
                    <a:blip r:embed="rId80"/>
                    <a:stretch>
                      <a:fillRect/>
                    </a:stretch>
                  </pic:blipFill>
                  <pic:spPr bwMode="auto">
                    <a:xfrm>
                      <a:off x="0" y="0"/>
                      <a:ext cx="5943600" cy="3672649"/>
                    </a:xfrm>
                    <a:prstGeom prst="rect">
                      <a:avLst/>
                    </a:prstGeom>
                    <a:noFill/>
                    <a:ln w="9525">
                      <a:noFill/>
                      <a:headEnd/>
                      <a:tailEnd/>
                    </a:ln>
                  </pic:spPr>
                </pic:pic>
              </a:graphicData>
            </a:graphic>
          </wp:inline>
        </w:drawing>
      </w:r>
    </w:p>
    <w:bookmarkEnd w:id="83"/>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6</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exlcude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w:t>
      </w:r>
      <w:hyperlink w:anchor="ref-smithson2006">
        <w:r>
          <w:rPr>
            <w:rStyle w:val="Hyperlink"/>
          </w:rPr>
          <w:t xml:space="preserve">Smithson &amp; Verkuilen, 2006</w:t>
        </w:r>
      </w:hyperlink>
      <w:r>
        <w:t xml:space="preserve">)</w:t>
      </w:r>
      <w:r>
        <w:t xml:space="preserve"> </w:t>
      </w:r>
      <w:r>
        <w:t xml:space="preserve">so values fall within the [0, 1] interval. We implore readers not engage in this practice.</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6</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84" w:name="lst-beta01"/>
          <w:p>
            <w:pPr>
              <w:jc w:val="center"/>
            </w:pPr>
            <w:pPr>
              <w:jc w:val="start"/>
              <w:spacing w:before="200"/>
              <w:pStyle w:val="ImageCaption"/>
            </w:pPr>
            <w:r>
              <w:t xml:space="preserve">Listing 6: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4"/>
        </w:tc>
      </w:tr>
    </w:tbl>
    <w:bookmarkStart w:id="92"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5" w:name="lst-betadis"/>
          <w:p>
            <w:pPr>
              <w:jc w:val="center"/>
            </w:pPr>
            <w:pPr>
              <w:jc w:val="start"/>
              <w:spacing w:before="200"/>
              <w:pStyle w:val="ImageCaption"/>
            </w:pPr>
            <w:r>
              <w:t xml:space="preserve">Listing 7: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85"/>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6" w:name="tbl-phi-beta-exp"/>
    <w:p>
      <w:pPr>
        <w:pStyle w:val="FigureTitle"/>
      </w:pPr>
      <w:r>
        <w:t xml:space="preserve">Table 4</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4.97</w:t>
            </w:r>
          </w:p>
        </w:tc>
        <w:tc>
          <w:tcPr/>
          <w:p>
            <w:pPr>
              <w:pStyle w:val="Compact"/>
            </w:pPr>
            <w:r>
              <w:t xml:space="preserve">[3.201, 7.389]</w:t>
            </w:r>
          </w:p>
        </w:tc>
        <w:tc>
          <w:tcPr/>
          <w:p>
            <w:pPr>
              <w:pStyle w:val="Compact"/>
            </w:pPr>
            <w:r>
              <w:t xml:space="preserve">1</w:t>
            </w:r>
          </w:p>
        </w:tc>
      </w:tr>
      <w:tr>
        <w:tc>
          <w:tcPr/>
          <w:p>
            <w:pPr>
              <w:pStyle w:val="Compact"/>
            </w:pPr>
            <w:r>
              <w:t xml:space="preserve">b_phi_FluencyFluent</w:t>
            </w:r>
          </w:p>
        </w:tc>
        <w:tc>
          <w:tcPr/>
          <w:p>
            <w:pPr>
              <w:pStyle w:val="Compact"/>
            </w:pPr>
            <w:r>
              <w:t xml:space="preserve">1.53</w:t>
            </w:r>
          </w:p>
        </w:tc>
        <w:tc>
          <w:tcPr/>
          <w:p>
            <w:pPr>
              <w:pStyle w:val="Compact"/>
            </w:pPr>
            <w:r>
              <w:t xml:space="preserve">[0.855, 2.761]</w:t>
            </w:r>
          </w:p>
        </w:tc>
        <w:tc>
          <w:tcPr/>
          <w:p>
            <w:pPr>
              <w:pStyle w:val="Compact"/>
            </w:pPr>
            <w:r>
              <w:t xml:space="preserve">0.929</w:t>
            </w:r>
          </w:p>
        </w:tc>
      </w:tr>
    </w:tbl>
    <w:bookmarkEnd w:id="86"/>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6</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87"/>
      </w:r>
    </w:p>
    <w:bookmarkStart w:id="91" w:name="fig-plt-diff"/>
    <w:p>
      <w:pPr>
        <w:pStyle w:val="FigureTitle"/>
      </w:pPr>
      <w:r>
        <w:t xml:space="preserve">Figure 6</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9" name="Picture"/>
            <a:graphic>
              <a:graphicData uri="http://schemas.openxmlformats.org/drawingml/2006/picture">
                <pic:pic>
                  <pic:nvPicPr>
                    <pic:cNvPr descr="ms_files/figure-docx/fig-plt-diff-1.png" id="90" name="Picture"/>
                    <pic:cNvPicPr>
                      <a:picLocks noChangeArrowheads="1" noChangeAspect="1"/>
                    </pic:cNvPicPr>
                  </pic:nvPicPr>
                  <pic:blipFill>
                    <a:blip r:embed="rId88"/>
                    <a:stretch>
                      <a:fillRect/>
                    </a:stretch>
                  </pic:blipFill>
                  <pic:spPr bwMode="auto">
                    <a:xfrm>
                      <a:off x="0" y="0"/>
                      <a:ext cx="5504749" cy="3400711"/>
                    </a:xfrm>
                    <a:prstGeom prst="rect">
                      <a:avLst/>
                    </a:prstGeom>
                    <a:noFill/>
                    <a:ln w="9525">
                      <a:noFill/>
                      <a:headEnd/>
                      <a:tailEnd/>
                    </a:ln>
                  </pic:spPr>
                </pic:pic>
              </a:graphicData>
            </a:graphic>
          </wp:inline>
        </w:drawing>
      </w:r>
    </w:p>
    <w:bookmarkEnd w:id="91"/>
    <w:bookmarkEnd w:id="92"/>
    <w:bookmarkStart w:id="102"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Disfluency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 </w:t>
      </w:r>
      <w:r>
        <w:t xml:space="preserve">(see</w:t>
      </w:r>
      <w:r>
        <w:t xml:space="preserve"> </w:t>
      </w:r>
      <w:hyperlink w:anchor="lst-me">
        <w:r>
          <w:rPr>
            <w:rStyle w:val="Hyperlink"/>
          </w:rPr>
          <w:t xml:space="preserve">Listing 8</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5</w:t>
        </w:r>
      </w:hyperlink>
      <w:r>
        <w:t xml:space="preserve">. These probablities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3" w:name="lst-me"/>
          <w:p>
            <w:pPr>
              <w:jc w:val="center"/>
            </w:pPr>
            <w:pPr>
              <w:jc w:val="start"/>
              <w:spacing w:before="200"/>
              <w:pStyle w:val="ImageCaption"/>
            </w:pPr>
            <w:r>
              <w:t xml:space="preserve">Listing 8: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93"/>
        </w:tc>
      </w:tr>
    </w:tbl>
    <w:tbl>
      <w:tblPr>
        <w:tblStyle w:val="Table"/>
        <w:tblW w:type="pct" w:w="5000"/>
        <w:tblLayout w:type="fixed"/>
        <w:tblLook w:firstRow="0" w:lastRow="0" w:firstColumn="0" w:lastColumn="0" w:noHBand="0" w:noVBand="0" w:val="0000"/>
      </w:tblPr>
      <w:tblGrid>
        <w:gridCol w:w="7920"/>
      </w:tblGrid>
      <w:tr>
        <w:tc>
          <w:tcPr/>
          <w:bookmarkStart w:id="94" w:name="lst-pred"/>
          <w:p>
            <w:pPr>
              <w:jc w:val="center"/>
            </w:pPr>
            <w:pPr>
              <w:jc w:val="start"/>
              <w:spacing w:before="200"/>
              <w:pStyle w:val="ImageCaption"/>
            </w:pPr>
            <w:r>
              <w:t xml:space="preserve">Listing 9: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4"/>
        </w:tc>
      </w:tr>
    </w:tbl>
    <w:bookmarkStart w:id="95" w:name="tbl-predict-prob"/>
    <w:p>
      <w:pPr>
        <w:pStyle w:val="FigureTitle"/>
      </w:pPr>
      <w:r>
        <w:t xml:space="preserve">Table 5</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0.297</w:t>
            </w:r>
          </w:p>
        </w:tc>
        <w:tc>
          <w:tcPr/>
          <w:p>
            <w:pPr>
              <w:pStyle w:val="Compact"/>
            </w:pPr>
            <w:r>
              <w:t xml:space="preserve">[0.248, 0.349]</w:t>
            </w:r>
          </w:p>
        </w:tc>
      </w:tr>
      <w:tr>
        <w:tc>
          <w:tcPr/>
          <w:p>
            <w:pPr>
              <w:pStyle w:val="Compact"/>
            </w:pPr>
            <w:r>
              <w:t xml:space="preserve">Fluent</w:t>
            </w:r>
          </w:p>
        </w:tc>
        <w:tc>
          <w:tcPr/>
          <w:p>
            <w:pPr>
              <w:pStyle w:val="Compact"/>
            </w:pPr>
            <w:r>
              <w:t xml:space="preserve">0.354</w:t>
            </w:r>
          </w:p>
        </w:tc>
        <w:tc>
          <w:tcPr/>
          <w:p>
            <w:pPr>
              <w:pStyle w:val="Compact"/>
            </w:pPr>
            <w:r>
              <w:t xml:space="preserve">[0.303, 0.408]</w:t>
            </w:r>
          </w:p>
        </w:tc>
      </w:tr>
    </w:tbl>
    <w:bookmarkEnd w:id="95"/>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6" w:name="lst-plotbeta"/>
          <w:p>
            <w:pPr>
              <w:jc w:val="center"/>
            </w:pPr>
            <w:pPr>
              <w:jc w:val="start"/>
              <w:spacing w:before="200"/>
              <w:pStyle w:val="ImageCaption"/>
            </w:pPr>
            <w:r>
              <w:t xml:space="preserve">Listing 10: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6"/>
        </w:tc>
      </w:tr>
    </w:tbl>
    <w:p>
      <w:pPr>
        <w:pStyle w:val="FirstParagraph"/>
      </w:pPr>
      <w:r>
        <w:t xml:space="preserve">The</w:t>
      </w:r>
      <w:r>
        <w:t xml:space="preserve"> </w:t>
      </w:r>
      <w:r>
        <w:rPr>
          <w:rStyle w:val="VerbatimChar"/>
        </w:rPr>
        <w:t xml:space="preserve">plot_predictions()</w:t>
      </w:r>
      <w:r>
        <w:t xml:space="preserve"> </w:t>
      </w:r>
      <w:r>
        <w:t xml:space="preserve">fucntuon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11</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7" w:name="lst-posdraws"/>
          <w:p>
            <w:pPr>
              <w:jc w:val="center"/>
            </w:pPr>
            <w:pPr>
              <w:jc w:val="start"/>
              <w:spacing w:before="200"/>
              <w:pStyle w:val="ImageCaption"/>
            </w:pPr>
            <w:r>
              <w:t xml:space="preserve">Listing 11: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7"/>
        </w:tc>
      </w:tr>
    </w:tbl>
    <w:bookmarkStart w:id="101"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504749" cy="3400711"/>
            <wp:effectExtent b="0" l="0" r="0" t="0"/>
            <wp:docPr descr="" title="" id="99" name="Picture"/>
            <a:graphic>
              <a:graphicData uri="http://schemas.openxmlformats.org/drawingml/2006/picture">
                <pic:pic>
                  <pic:nvPicPr>
                    <pic:cNvPr descr="ms_files/figure-docx/fig-draws-fluency-1.png" id="100" name="Picture"/>
                    <pic:cNvPicPr>
                      <a:picLocks noChangeArrowheads="1" noChangeAspect="1"/>
                    </pic:cNvPicPr>
                  </pic:nvPicPr>
                  <pic:blipFill>
                    <a:blip r:embed="rId98"/>
                    <a:stretch>
                      <a:fillRect/>
                    </a:stretch>
                  </pic:blipFill>
                  <pic:spPr bwMode="auto">
                    <a:xfrm>
                      <a:off x="0" y="0"/>
                      <a:ext cx="5504749" cy="3400711"/>
                    </a:xfrm>
                    <a:prstGeom prst="rect">
                      <a:avLst/>
                    </a:prstGeom>
                    <a:noFill/>
                    <a:ln w="9525">
                      <a:noFill/>
                      <a:headEnd/>
                      <a:tailEnd/>
                    </a:ln>
                  </pic:spPr>
                </pic:pic>
              </a:graphicData>
            </a:graphic>
          </wp:inline>
        </w:drawing>
      </w:r>
    </w:p>
    <w:bookmarkEnd w:id="101"/>
    <w:bookmarkEnd w:id="102"/>
    <w:bookmarkStart w:id="108"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w:t>
      </w:r>
      <w:hyperlink w:anchor="ref-emmeans">
        <w:r>
          <w:rPr>
            <w:rStyle w:val="Hyperlink"/>
          </w:rPr>
          <w:t xml:space="preserve">Lenth, 2025</w:t>
        </w:r>
      </w:hyperlink>
      <w:r>
        <w:t xml:space="preserve">)</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12</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3" w:name="lst-avgcomp"/>
          <w:p>
            <w:pPr>
              <w:jc w:val="center"/>
            </w:pPr>
            <w:pPr>
              <w:jc w:val="start"/>
              <w:spacing w:before="200"/>
              <w:pStyle w:val="ImageCaption"/>
            </w:pPr>
            <w:r>
              <w:t xml:space="preserve">Listing 12: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3"/>
        </w:tc>
      </w:tr>
    </w:tbl>
    <w:bookmarkStart w:id="104" w:name="tbl-ame1"/>
    <w:p>
      <w:pPr>
        <w:pStyle w:val="FigureTitle"/>
      </w:pPr>
      <w:r>
        <w:t xml:space="preserve">Table 6</w:t>
      </w:r>
    </w:p>
    <w:p>
      <w:pPr>
        <w:pStyle w:val="Caption"/>
      </w:pPr>
      <w:r>
        <w:t xml:space="preserve">Probability 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0.057</w:t>
            </w:r>
          </w:p>
        </w:tc>
        <w:tc>
          <w:tcPr/>
          <w:p>
            <w:pPr>
              <w:pStyle w:val="Compact"/>
            </w:pPr>
            <w:r>
              <w:t xml:space="preserve">[-0.016, 0.128]</w:t>
            </w:r>
          </w:p>
        </w:tc>
      </w:tr>
    </w:tbl>
    <w:bookmarkEnd w:id="104"/>
    <w:p>
      <w:pPr>
        <w:pStyle w:val="AfterWithoutNote"/>
      </w:pPr>
      <w:hyperlink w:anchor="tbl-ame1">
        <w:r>
          <w:rPr>
            <w:rStyle w:val="Hyperlink"/>
          </w:rPr>
          <w:t xml:space="preserve">Table 6</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To formally assess evidence in favor of the null hypothesis (i.e., that the effect is exactly zero), we can use the</w:t>
      </w:r>
      <w:r>
        <w:t xml:space="preserve"> </w:t>
      </w:r>
      <w:r>
        <w:rPr>
          <w:rStyle w:val="VerbatimChar"/>
        </w:rPr>
        <w:t xml:space="preserve">hypothesis()</w:t>
      </w:r>
      <w:r>
        <w:t xml:space="preserve"> </w:t>
      </w:r>
      <w:r>
        <w:t xml:space="preserve">function from the</w:t>
      </w:r>
      <w:r>
        <w:t xml:space="preserve"> </w:t>
      </w:r>
      <w:r>
        <w:rPr>
          <w:rStyle w:val="VerbatimChar"/>
        </w:rPr>
        <w:t xml:space="preserve">brms</w:t>
      </w:r>
      <w:r>
        <w:t xml:space="preserve"> </w:t>
      </w:r>
      <w:r>
        <w:t xml:space="preserve">package to compute an evidence ratio (ER), which is a Bayes factor for directional or point hypotheses.</w:t>
      </w:r>
      <w:r>
        <w:rPr>
          <w:rStyle w:val="FootnoteReference"/>
        </w:rPr>
        <w:footnoteReference w:id="105"/>
      </w:r>
      <w:r>
        <w:t xml:space="preserve">However, it is important to note that this procedure requires weakly informative or informative priors; the default priors in</w:t>
      </w:r>
      <w:r>
        <w:t xml:space="preserve"> </w:t>
      </w:r>
      <w:r>
        <w:rPr>
          <w:rStyle w:val="VerbatimChar"/>
        </w:rPr>
        <w:t xml:space="preserve">brms</w:t>
      </w:r>
      <w:r>
        <w:t xml:space="preserve"> </w:t>
      </w:r>
      <w:r>
        <w:t xml:space="preserve">are too vague and therefore cannot be used to accurately compute the ER in favor of a point null hypothesis.</w:t>
      </w:r>
    </w:p>
    <w:bookmarkStart w:id="106" w:name="tbl-or"/>
    <w:p>
      <w:pPr>
        <w:pStyle w:val="FigureTitle"/>
      </w:pPr>
      <w:r>
        <w:t xml:space="preserve">Table 7</w:t>
      </w:r>
    </w:p>
    <w:p>
      <w:pPr>
        <w:pStyle w:val="Caption"/>
      </w:pPr>
      <w:r>
        <w:t xml:space="preserve">Odds ratio for fluency factor</w:t>
      </w:r>
    </w:p>
    <w:tbl>
      <w:tblPr>
        <w:tblStyle w:val="Table"/>
        <w:tblW w:type="pct" w:w="4865"/>
        <w:tblLayout w:type="fixed"/>
        <w:tblLook w:firstRow="1" w:lastRow="0" w:firstColumn="0" w:lastColumn="0" w:noHBand="0" w:noVBand="0" w:val="0020"/>
      </w:tblPr>
      <w:tblGrid>
        <w:gridCol w:w="1070"/>
        <w:gridCol w:w="3960"/>
        <w:gridCol w:w="856"/>
        <w:gridCol w:w="1819"/>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1.298</w:t>
            </w:r>
          </w:p>
        </w:tc>
        <w:tc>
          <w:tcPr/>
          <w:p>
            <w:pPr>
              <w:pStyle w:val="Compact"/>
            </w:pPr>
            <w:r>
              <w:t xml:space="preserve">[0.925, 1.802]</w:t>
            </w:r>
          </w:p>
        </w:tc>
      </w:tr>
    </w:tbl>
    <w:bookmarkEnd w:id="106"/>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07"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7"/>
    </w:p>
    <w:bookmarkEnd w:id="108"/>
    <w:bookmarkStart w:id="109" w:name="posterior-predictive-check"/>
    <w:p>
      <w:pPr>
        <w:pStyle w:val="Heading3"/>
      </w:pPr>
      <w:r>
        <w:t xml:space="preserve">Posterior Predictive Check</w:t>
      </w:r>
    </w:p>
    <w:p>
      <w:pPr>
        <w:pStyle w:val="FirstParagraph"/>
      </w:pPr>
      <w:hyperlink w:anchor="fig-ppcheckall">
        <w:r>
          <w:rPr>
            <w:rStyle w:val="Hyperlink"/>
          </w:rPr>
          <w:t xml:space="preserve">Figure 5</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9"/>
    <w:bookmarkEnd w:id="110"/>
    <w:bookmarkStart w:id="122"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w:t>
      </w:r>
      <w:r>
        <w:rPr>
          <w:rStyle w:val="FootnoteReference"/>
        </w:rPr>
        <w:footnoteReference w:id="111"/>
      </w:r>
      <w:r>
        <w:t xml:space="preserve"> </w:t>
      </w:r>
      <w:r>
        <w:t xml:space="preserve">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2" w:name="lst-zib"/>
          <w:p>
            <w:pPr>
              <w:jc w:val="center"/>
            </w:pPr>
            <w:pPr>
              <w:jc w:val="start"/>
              <w:spacing w:before="200"/>
              <w:pStyle w:val="ImageCaption"/>
            </w:pPr>
            <w:r>
              <w:t xml:space="preserve">Listing 13: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12"/>
        </w:tc>
      </w:tr>
    </w:tbl>
    <w:bookmarkStart w:id="113" w:name="posterior-predictive-check-1"/>
    <w:p>
      <w:pPr>
        <w:pStyle w:val="Heading3"/>
      </w:pPr>
      <w:r>
        <w:t xml:space="preserve">Posterior Predictive Check</w:t>
      </w:r>
    </w:p>
    <w:p>
      <w:pPr>
        <w:pStyle w:val="FirstParagraph"/>
      </w:pPr>
      <w:r>
        <w:t xml:space="preserve">The ZIB model does a bit better at capturing the sturture of the data then the Beta regression model (see</w:t>
      </w:r>
      <w:r>
        <w:t xml:space="preserve"> </w:t>
      </w:r>
      <w:hyperlink w:anchor="fig-ppcheckall">
        <w:r>
          <w:rPr>
            <w:rStyle w:val="Hyperlink"/>
          </w:rPr>
          <w:t xml:space="preserve">Figure 5</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13"/>
    <w:bookmarkStart w:id="116"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t>
      </w:r>
      <w:r>
        <w:t xml:space="preserve">to get predicted probablities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8</w:t>
        </w:r>
      </w:hyperlink>
      <w:r>
        <w:t xml:space="preserve">, there is little evidence for an effect of Fluency – the 95% Cr.I includes zero, suggesting substantial uncertainty about the direction and magnitude of the effect.</w:t>
      </w:r>
    </w:p>
    <w:bookmarkStart w:id="114" w:name="tbl-marg-mu-brms"/>
    <w:p>
      <w:pPr>
        <w:pStyle w:val="FigureTitle"/>
      </w:pPr>
      <w:r>
        <w:t xml:space="preserve">Table 8</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0.044</w:t>
            </w:r>
          </w:p>
        </w:tc>
        <w:tc>
          <w:tcPr/>
          <w:p>
            <w:pPr>
              <w:pStyle w:val="Compact"/>
            </w:pPr>
            <w:r>
              <w:t xml:space="preserve">[-0.031, 0.116]</w:t>
            </w:r>
          </w:p>
        </w:tc>
      </w:tr>
    </w:tbl>
    <w:bookmarkEnd w:id="114"/>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9</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meaningful differences in precision.</w:t>
      </w:r>
    </w:p>
    <w:bookmarkStart w:id="115" w:name="tbl-marg-phi-brms"/>
    <w:p>
      <w:pPr>
        <w:pStyle w:val="FigureTitle"/>
      </w:pPr>
      <w:r>
        <w:t xml:space="preserve">Table 9</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2.69</w:t>
            </w:r>
          </w:p>
        </w:tc>
        <w:tc>
          <w:tcPr/>
          <w:p>
            <w:pPr>
              <w:pStyle w:val="Compact"/>
            </w:pPr>
            <w:r>
              <w:t xml:space="preserve">[-0.954, 6.798]</w:t>
            </w:r>
          </w:p>
        </w:tc>
      </w:tr>
    </w:tbl>
    <w:bookmarkEnd w:id="115"/>
    <w:bookmarkEnd w:id="116"/>
    <w:bookmarkStart w:id="121"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8</w:t>
        </w:r>
      </w:hyperlink>
      <w:r>
        <w:t xml:space="preserve">). In</w:t>
      </w:r>
      <w:r>
        <w:t xml:space="preserve"> </w:t>
      </w:r>
      <w:hyperlink w:anchor="fig-zi-plot">
        <w:r>
          <w:rPr>
            <w:rStyle w:val="Hyperlink"/>
          </w:rPr>
          <w:t xml:space="preserve">Figure 8</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probablity of each level (see</w:t>
      </w:r>
      <w:r>
        <w:t xml:space="preserve"> </w:t>
      </w:r>
      <w:hyperlink w:anchor="fig-zi-plot">
        <w:r>
          <w:rPr>
            <w:rStyle w:val="Hyperlink"/>
          </w:rPr>
          <w:t xml:space="preserve">Figure 8</w:t>
        </w:r>
      </w:hyperlink>
      <w:r>
        <w:t xml:space="preserve">).</w:t>
      </w:r>
    </w:p>
    <w:bookmarkStart w:id="120" w:name="fig-zi-plot"/>
    <w:p>
      <w:pPr>
        <w:pStyle w:val="FigureTitle"/>
      </w:pPr>
      <w:r>
        <w:t xml:space="preserve">Figure 8</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8" name="Picture"/>
            <a:graphic>
              <a:graphicData uri="http://schemas.openxmlformats.org/drawingml/2006/picture">
                <pic:pic>
                  <pic:nvPicPr>
                    <pic:cNvPr descr="ms_files/figure-docx/fig-zi-plot-1.png" id="119" name="Picture"/>
                    <pic:cNvPicPr>
                      <a:picLocks noChangeArrowheads="1" noChangeAspect="1"/>
                    </pic:cNvPicPr>
                  </pic:nvPicPr>
                  <pic:blipFill>
                    <a:blip r:embed="rId117"/>
                    <a:stretch>
                      <a:fillRect/>
                    </a:stretch>
                  </pic:blipFill>
                  <pic:spPr bwMode="auto">
                    <a:xfrm>
                      <a:off x="0" y="0"/>
                      <a:ext cx="5504749" cy="3400711"/>
                    </a:xfrm>
                    <a:prstGeom prst="rect">
                      <a:avLst/>
                    </a:prstGeom>
                    <a:noFill/>
                    <a:ln w="9525">
                      <a:noFill/>
                      <a:headEnd/>
                      <a:tailEnd/>
                    </a:ln>
                  </pic:spPr>
                </pic:pic>
              </a:graphicData>
            </a:graphic>
          </wp:inline>
        </w:drawing>
      </w:r>
    </w:p>
    <w:bookmarkEnd w:id="120"/>
    <w:bookmarkEnd w:id="121"/>
    <w:bookmarkEnd w:id="122"/>
    <w:bookmarkStart w:id="132"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23"/>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9</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7" w:name="fig-zoib"/>
    <w:p>
      <w:pPr>
        <w:pStyle w:val="FigureTitle"/>
      </w:pPr>
      <w:r>
        <w:t xml:space="preserve">Figure 9</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5" name="Picture"/>
            <a:graphic>
              <a:graphicData uri="http://schemas.openxmlformats.org/drawingml/2006/picture">
                <pic:pic>
                  <pic:nvPicPr>
                    <pic:cNvPr descr="ms_files/figure-docx/fig-zoib-1.png" id="126" name="Picture"/>
                    <pic:cNvPicPr>
                      <a:picLocks noChangeArrowheads="1" noChangeAspect="1"/>
                    </pic:cNvPicPr>
                  </pic:nvPicPr>
                  <pic:blipFill>
                    <a:blip r:embed="rId124"/>
                    <a:stretch>
                      <a:fillRect/>
                    </a:stretch>
                  </pic:blipFill>
                  <pic:spPr bwMode="auto">
                    <a:xfrm>
                      <a:off x="0" y="0"/>
                      <a:ext cx="5943600" cy="3672649"/>
                    </a:xfrm>
                    <a:prstGeom prst="rect">
                      <a:avLst/>
                    </a:prstGeom>
                    <a:noFill/>
                    <a:ln w="9525">
                      <a:noFill/>
                      <a:headEnd/>
                      <a:tailEnd/>
                    </a:ln>
                  </pic:spPr>
                </pic:pic>
              </a:graphicData>
            </a:graphic>
          </wp:inline>
        </w:drawing>
      </w:r>
    </w:p>
    <w:bookmarkEnd w:id="127"/>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14</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8" w:name="lst-zoib"/>
          <w:p>
            <w:pPr>
              <w:jc w:val="center"/>
            </w:pPr>
            <w:pPr>
              <w:jc w:val="start"/>
              <w:spacing w:before="200"/>
              <w:pStyle w:val="ImageCaption"/>
            </w:pPr>
            <w:r>
              <w:t xml:space="preserve">Listing 14: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0s,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8"/>
        </w:tc>
      </w:tr>
    </w:tbl>
    <w:bookmarkStart w:id="129"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9"/>
    <w:bookmarkStart w:id="131"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30" w:name="lst-coi"/>
          <w:p>
            <w:pPr>
              <w:jc w:val="center"/>
            </w:pPr>
            <w:pPr>
              <w:jc w:val="start"/>
              <w:spacing w:before="200"/>
              <w:pStyle w:val="ImageCaption"/>
            </w:pPr>
            <w:r>
              <w:t xml:space="preserve">Listing 15: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30"/>
        </w:tc>
      </w:tr>
    </w:tbl>
    <w:bookmarkEnd w:id="131"/>
    <w:bookmarkEnd w:id="132"/>
    <w:bookmarkStart w:id="138"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33"/>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The important condition is that while the different types of responses may be more or less qualitatively different, they remain similar</w:t>
      </w:r>
      <w:r>
        <w:t xml:space="preserve"> </w:t>
      </w:r>
      <w:r>
        <w:rPr>
          <w:i/>
          <w:iCs/>
        </w:rPr>
        <w:t xml:space="preserve">categorically.</w:t>
      </w:r>
      <w:r>
        <w:t xml:space="preserve"> </w:t>
      </w:r>
      <w:r>
        <w:t xml:space="preserve">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37"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4" w:name="lst-ordbeta"/>
          <w:p>
            <w:pPr>
              <w:jc w:val="center"/>
            </w:pPr>
            <w:pPr>
              <w:jc w:val="start"/>
              <w:spacing w:before="200"/>
              <w:pStyle w:val="ImageCaption"/>
            </w:pPr>
            <w:r>
              <w:t xml:space="preserve">Listing 16: Load</w:t>
            </w:r>
            <w:r>
              <w:t xml:space="preserve"> </w:t>
            </w:r>
            <w:r>
              <w:rPr>
                <w:rStyle w:val="VerbatimChar"/>
              </w:rPr>
              <w:t xml:space="preserve">ordbetareg</w:t>
            </w:r>
          </w:p>
          <w:p>
            <w:pPr>
              <w:pStyle w:val="SourceCode"/>
              <w:jc w:val="center"/>
            </w:pPr>
            <w:r>
              <w:rPr>
                <w:rStyle w:val="VerbatimChar"/>
              </w:rPr>
              <w:t xml:space="preserve">library(ordbetareg)</w:t>
            </w:r>
          </w:p>
          <w:bookmarkEnd w:id="134"/>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5" w:name="lst-fitordbeta"/>
          <w:p>
            <w:pPr>
              <w:jc w:val="center"/>
            </w:pPr>
            <w:pPr>
              <w:jc w:val="start"/>
              <w:spacing w:before="200"/>
              <w:pStyle w:val="ImageCaption"/>
            </w:pPr>
            <w:r>
              <w:t xml:space="preserve">Listing 17: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5"/>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18</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6" w:name="lst-ordbetadisp"/>
          <w:p>
            <w:pPr>
              <w:jc w:val="center"/>
            </w:pPr>
            <w:pPr>
              <w:jc w:val="start"/>
              <w:spacing w:before="200"/>
              <w:pStyle w:val="ImageCaption"/>
            </w:pPr>
            <w:r>
              <w:t xml:space="preserve">Listing 18: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6"/>
        </w:tc>
      </w:tr>
    </w:tbl>
    <w:bookmarkEnd w:id="137"/>
    <w:bookmarkEnd w:id="138"/>
    <w:bookmarkStart w:id="152"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9" w:name="tbl-ordbeta"/>
    <w:p>
      <w:pPr>
        <w:pStyle w:val="FigureTitle"/>
      </w:pPr>
      <w:r>
        <w:t xml:space="preserve">Table 11</w:t>
      </w:r>
    </w:p>
    <w:p>
      <w:pPr>
        <w:pStyle w:val="Caption"/>
      </w:pPr>
      <w:r>
        <w:t xml:space="preserve">Marginal effect for fluency factor in ordered Beta model</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w:t>
            </w:r>
          </w:p>
        </w:tc>
        <w:tc>
          <w:tcPr/>
          <w:p>
            <w:pPr>
              <w:pStyle w:val="Compact"/>
            </w:pPr>
            <w:r>
              <w:t xml:space="preserve">[-0.017, 0.136]</w:t>
            </w:r>
          </w:p>
        </w:tc>
      </w:tr>
    </w:tbl>
    <w:bookmarkEnd w:id="139"/>
    <w:p>
      <w:pPr>
        <w:pStyle w:val="AfterWithoutNote"/>
      </w:pPr>
      <w:r>
        <w:t xml:space="preserve">In</w:t>
      </w:r>
      <w:r>
        <w:t xml:space="preserve"> </w:t>
      </w:r>
      <w:hyperlink w:anchor="tbl-ordbeta">
        <w:r>
          <w:rPr>
            <w:rStyle w:val="Hyperlink"/>
          </w:rPr>
          <w:t xml:space="preserve">Table 11</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41"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w:t>
      </w:r>
      <w:hyperlink w:anchor="ref-posterior2025a">
        <w:r>
          <w:rPr>
            <w:rStyle w:val="Hyperlink"/>
          </w:rPr>
          <w:t xml:space="preserve">Bürkner et al., 2025</w:t>
        </w:r>
      </w:hyperlink>
      <w:r>
        <w:t xml:space="preserve">)</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40" w:name="tbl-cutpoints"/>
    <w:p>
      <w:pPr>
        <w:pStyle w:val="FigureTitle"/>
      </w:pPr>
      <w:r>
        <w:t xml:space="preserve">Table 12</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-2.97</w:t>
            </w:r>
          </w:p>
        </w:tc>
        <w:tc>
          <w:tcPr/>
          <w:p>
            <w:pPr>
              <w:pStyle w:val="Compact"/>
            </w:pPr>
            <w:r>
              <w:t xml:space="preserve">[-3.58, -2.42]</w:t>
            </w:r>
          </w:p>
        </w:tc>
      </w:tr>
      <w:tr>
        <w:tc>
          <w:tcPr/>
          <w:p>
            <w:pPr>
              <w:pStyle w:val="Compact"/>
            </w:pPr>
            <w:r>
              <w:t xml:space="preserve">cutone</w:t>
            </w:r>
          </w:p>
        </w:tc>
        <w:tc>
          <w:tcPr/>
          <w:p>
            <w:pPr>
              <w:pStyle w:val="Compact"/>
            </w:pPr>
            <w:r>
              <w:t xml:space="preserve">1.85</w:t>
            </w:r>
          </w:p>
        </w:tc>
        <w:tc>
          <w:tcPr/>
          <w:p>
            <w:pPr>
              <w:pStyle w:val="Compact"/>
            </w:pPr>
            <w:r>
              <w:t xml:space="preserve">[1.64, 2.07]</w:t>
            </w:r>
          </w:p>
        </w:tc>
      </w:tr>
    </w:tbl>
    <w:bookmarkEnd w:id="140"/>
    <w:p>
      <w:pPr>
        <w:pStyle w:val="AfterWithoutNote"/>
      </w:pPr>
      <w:r>
        <w:t xml:space="preserve">In</w:t>
      </w:r>
      <w:r>
        <w:t xml:space="preserve"> </w:t>
      </w:r>
      <w:hyperlink w:anchor="tbl-cutpoints">
        <w:r>
          <w:rPr>
            <w:rStyle w:val="Hyperlink"/>
          </w:rPr>
          <w:t xml:space="preserve">Table 12</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41"/>
    <w:bookmarkStart w:id="150"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10</w:t>
        </w:r>
      </w:hyperlink>
      <w:r>
        <w:t xml:space="preserve">).</w:t>
      </w:r>
    </w:p>
    <w:bookmarkStart w:id="145" w:name="fig-ppcheckord"/>
    <w:p>
      <w:pPr>
        <w:pStyle w:val="FigureTitle"/>
      </w:pPr>
      <w:r>
        <w:t xml:space="preserve">Figure 10</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43" name="Picture"/>
            <a:graphic>
              <a:graphicData uri="http://schemas.openxmlformats.org/drawingml/2006/picture">
                <pic:pic>
                  <pic:nvPicPr>
                    <pic:cNvPr descr="ms_files/figure-docx/fig-ppcheckord-1.png" id="144" name="Picture"/>
                    <pic:cNvPicPr>
                      <a:picLocks noChangeArrowheads="1" noChangeAspect="1"/>
                    </pic:cNvPicPr>
                  </pic:nvPicPr>
                  <pic:blipFill>
                    <a:blip r:embed="rId142"/>
                    <a:stretch>
                      <a:fillRect/>
                    </a:stretch>
                  </pic:blipFill>
                  <pic:spPr bwMode="auto">
                    <a:xfrm>
                      <a:off x="0" y="0"/>
                      <a:ext cx="5943600" cy="3671823"/>
                    </a:xfrm>
                    <a:prstGeom prst="rect">
                      <a:avLst/>
                    </a:prstGeom>
                    <a:noFill/>
                    <a:ln w="9525">
                      <a:noFill/>
                      <a:headEnd/>
                      <a:tailEnd/>
                    </a:ln>
                  </pic:spPr>
                </pic:pic>
              </a:graphicData>
            </a:graphic>
          </wp:inline>
        </w:drawing>
      </w:r>
    </w:p>
    <w:bookmarkEnd w:id="145"/>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w:t>
      </w:r>
      <w:hyperlink w:anchor="ref-yeEnforcingBoundariesChinas2023">
        <w:r>
          <w:rPr>
            <w:rStyle w:val="Hyperlink"/>
          </w:rPr>
          <w:t xml:space="preserve">Ye &amp; Heiss, 2023</w:t>
        </w:r>
      </w:hyperlink>
      <w:r>
        <w:t xml:space="preserve">)</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11</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9" w:name="fig-heiss"/>
    <w:p>
      <w:pPr>
        <w:pStyle w:val="FigureTitle"/>
      </w:pPr>
      <w:r>
        <w:t xml:space="preserve">Figure 11</w:t>
      </w:r>
    </w:p>
    <w:p>
      <w:pPr>
        <w:pStyle w:val="Caption"/>
      </w:pPr>
      <w:r>
        <w:t xml:space="preserve">Heiss Plot of Predicted Probablities across the scale (0-100)</w:t>
      </w:r>
    </w:p>
    <w:p>
      <w:pPr>
        <w:pStyle w:val="FigureWithoutNote"/>
      </w:pPr>
      <w:r>
        <w:drawing>
          <wp:inline>
            <wp:extent cx="5504749" cy="3400711"/>
            <wp:effectExtent b="0" l="0" r="0" t="0"/>
            <wp:docPr descr="" title="" id="147" name="Picture"/>
            <a:graphic>
              <a:graphicData uri="http://schemas.openxmlformats.org/drawingml/2006/picture">
                <pic:pic>
                  <pic:nvPicPr>
                    <pic:cNvPr descr="ms_files/figure-docx/fig-heiss-1.png" id="148" name="Picture"/>
                    <pic:cNvPicPr>
                      <a:picLocks noChangeArrowheads="1" noChangeAspect="1"/>
                    </pic:cNvPicPr>
                  </pic:nvPicPr>
                  <pic:blipFill>
                    <a:blip r:embed="rId146"/>
                    <a:stretch>
                      <a:fillRect/>
                    </a:stretch>
                  </pic:blipFill>
                  <pic:spPr bwMode="auto">
                    <a:xfrm>
                      <a:off x="0" y="0"/>
                      <a:ext cx="5504749" cy="3400711"/>
                    </a:xfrm>
                    <a:prstGeom prst="rect">
                      <a:avLst/>
                    </a:prstGeom>
                    <a:noFill/>
                    <a:ln w="9525">
                      <a:noFill/>
                      <a:headEnd/>
                      <a:tailEnd/>
                    </a:ln>
                  </pic:spPr>
                </pic:pic>
              </a:graphicData>
            </a:graphic>
          </wp:inline>
        </w:drawing>
      </w:r>
    </w:p>
    <w:bookmarkEnd w:id="149"/>
    <w:bookmarkEnd w:id="150"/>
    <w:bookmarkStart w:id="151"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51"/>
    <w:bookmarkEnd w:id="152"/>
    <w:bookmarkEnd w:id="153"/>
    <w:bookmarkStart w:id="155"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OLS regression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54"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4"/>
    <w:bookmarkEnd w:id="155"/>
    <w:bookmarkStart w:id="259" w:name="references"/>
    <w:p>
      <w:pPr>
        <w:pStyle w:val="Heading1"/>
      </w:pPr>
      <w:r>
        <w:t xml:space="preserve">References</w:t>
      </w:r>
    </w:p>
    <w:bookmarkStart w:id="258" w:name="refs"/>
    <w:bookmarkStart w:id="157"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6">
        <w:r>
          <w:rPr>
            <w:rStyle w:val="Hyperlink"/>
          </w:rPr>
          <w:t xml:space="preserve">https://CRAN.R-project.org/package=marginaleffects</w:t>
        </w:r>
      </w:hyperlink>
    </w:p>
    <w:bookmarkEnd w:id="157"/>
    <w:bookmarkStart w:id="159"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8">
        <w:r>
          <w:rPr>
            <w:rStyle w:val="Hyperlink"/>
          </w:rPr>
          <w:t xml:space="preserve">https://doi.org/10.18637/jss.v111.i09</w:t>
        </w:r>
      </w:hyperlink>
    </w:p>
    <w:bookmarkEnd w:id="159"/>
    <w:bookmarkStart w:id="161"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60">
        <w:r>
          <w:rPr>
            <w:rStyle w:val="Hyperlink"/>
          </w:rPr>
          <w:t xml:space="preserve">https://doi.org/10.2307/2983678</w:t>
        </w:r>
      </w:hyperlink>
    </w:p>
    <w:bookmarkEnd w:id="161"/>
    <w:bookmarkStart w:id="163"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62">
        <w:r>
          <w:rPr>
            <w:rStyle w:val="Hyperlink"/>
          </w:rPr>
          <w:t xml:space="preserve">https://doi.org/10.1037/met0000553</w:t>
        </w:r>
      </w:hyperlink>
    </w:p>
    <w:bookmarkEnd w:id="163"/>
    <w:bookmarkStart w:id="165"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4">
        <w:r>
          <w:rPr>
            <w:rStyle w:val="Hyperlink"/>
          </w:rPr>
          <w:t xml:space="preserve">https://doi.org/10.32614/RJ-2017-066</w:t>
        </w:r>
      </w:hyperlink>
    </w:p>
    <w:bookmarkEnd w:id="165"/>
    <w:bookmarkStart w:id="167"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6">
        <w:r>
          <w:rPr>
            <w:rStyle w:val="Hyperlink"/>
          </w:rPr>
          <w:t xml:space="preserve">https://doi.org/10.18637/jss.v080.i01</w:t>
        </w:r>
      </w:hyperlink>
    </w:p>
    <w:bookmarkEnd w:id="167"/>
    <w:bookmarkStart w:id="169"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8">
        <w:r>
          <w:rPr>
            <w:rStyle w:val="Hyperlink"/>
          </w:rPr>
          <w:t xml:space="preserve">https://mc-stan.org/posterior/</w:t>
        </w:r>
      </w:hyperlink>
    </w:p>
    <w:bookmarkEnd w:id="169"/>
    <w:bookmarkStart w:id="171"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70">
        <w:r>
          <w:rPr>
            <w:rStyle w:val="Hyperlink"/>
          </w:rPr>
          <w:t xml:space="preserve">https://doi.org/10.1177/2515245918823199</w:t>
        </w:r>
      </w:hyperlink>
    </w:p>
    <w:bookmarkEnd w:id="171"/>
    <w:bookmarkStart w:id="173"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72">
        <w:r>
          <w:rPr>
            <w:rStyle w:val="Hyperlink"/>
          </w:rPr>
          <w:t xml:space="preserve">https://doi.org/10.3758/s13423-013-0442-z</w:t>
        </w:r>
      </w:hyperlink>
    </w:p>
    <w:bookmarkEnd w:id="173"/>
    <w:bookmarkStart w:id="174"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4"/>
    <w:bookmarkStart w:id="176"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5">
        <w:r>
          <w:rPr>
            <w:rStyle w:val="Hyperlink"/>
          </w:rPr>
          <w:t xml:space="preserve">https://doi.org/10.31219/osf.io/f9rqg_v1</w:t>
        </w:r>
      </w:hyperlink>
      <w:r>
        <w:t xml:space="preserve">.</w:t>
      </w:r>
    </w:p>
    <w:bookmarkEnd w:id="176"/>
    <w:bookmarkStart w:id="178"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7">
        <w:r>
          <w:rPr>
            <w:rStyle w:val="Hyperlink"/>
          </w:rPr>
          <w:t xml:space="preserve">https://doi.org/10.1126/science.adq1814</w:t>
        </w:r>
      </w:hyperlink>
    </w:p>
    <w:bookmarkEnd w:id="178"/>
    <w:bookmarkStart w:id="180"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79">
        <w:r>
          <w:rPr>
            <w:rStyle w:val="Hyperlink"/>
          </w:rPr>
          <w:t xml:space="preserve">https://doi.org/10.18637/jss.v034.i02</w:t>
        </w:r>
      </w:hyperlink>
    </w:p>
    <w:bookmarkEnd w:id="180"/>
    <w:bookmarkStart w:id="182"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81">
        <w:r>
          <w:rPr>
            <w:rStyle w:val="Hyperlink"/>
          </w:rPr>
          <w:t xml:space="preserve">https://nixos.org/</w:t>
        </w:r>
      </w:hyperlink>
    </w:p>
    <w:bookmarkEnd w:id="182"/>
    <w:bookmarkStart w:id="184"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83">
        <w:r>
          <w:rPr>
            <w:rStyle w:val="Hyperlink"/>
          </w:rPr>
          <w:t xml:space="preserve">https://doi.org/10.1080/0266476042000214501</w:t>
        </w:r>
      </w:hyperlink>
    </w:p>
    <w:bookmarkEnd w:id="184"/>
    <w:bookmarkStart w:id="186"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5">
        <w:r>
          <w:rPr>
            <w:rStyle w:val="Hyperlink"/>
          </w:rPr>
          <w:t xml:space="preserve">https://doi.org/10.1007/s11121-021-01302-y</w:t>
        </w:r>
      </w:hyperlink>
    </w:p>
    <w:bookmarkEnd w:id="186"/>
    <w:bookmarkStart w:id="188"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7">
        <w:r>
          <w:rPr>
            <w:rStyle w:val="Hyperlink"/>
          </w:rPr>
          <w:t xml:space="preserve">https://mc-stan.org/cmdstanr/</w:t>
        </w:r>
      </w:hyperlink>
    </w:p>
    <w:bookmarkEnd w:id="188"/>
    <w:bookmarkStart w:id="190"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89">
        <w:r>
          <w:rPr>
            <w:rStyle w:val="Hyperlink"/>
          </w:rPr>
          <w:t xml:space="preserve">https://stat.columbia.edu/~gelman/book/</w:t>
        </w:r>
      </w:hyperlink>
    </w:p>
    <w:bookmarkEnd w:id="190"/>
    <w:bookmarkStart w:id="192"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91">
        <w:r>
          <w:rPr>
            <w:rStyle w:val="Hyperlink"/>
          </w:rPr>
          <w:t xml:space="preserve">http://dx.doi.org/10.59350/7p1a4-0tw75</w:t>
        </w:r>
      </w:hyperlink>
    </w:p>
    <w:bookmarkEnd w:id="192"/>
    <w:bookmarkStart w:id="194"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93">
        <w:r>
          <w:rPr>
            <w:rStyle w:val="Hyperlink"/>
          </w:rPr>
          <w:t xml:space="preserve">https://doi.org/10.1525/collabra.140755</w:t>
        </w:r>
      </w:hyperlink>
    </w:p>
    <w:bookmarkEnd w:id="194"/>
    <w:bookmarkStart w:id="195" w:name="ref-jeffries1961"/>
    <w:p>
      <w:pPr>
        <w:pStyle w:val="Bibliography"/>
      </w:pPr>
      <w:r>
        <w:t xml:space="preserve">Jeffries, H. (1961).</w:t>
      </w:r>
      <w:r>
        <w:t xml:space="preserve"> </w:t>
      </w:r>
      <w:r>
        <w:rPr>
          <w:i/>
          <w:iCs/>
        </w:rPr>
        <w:t xml:space="preserve">Theory of probability</w:t>
      </w:r>
      <w:r>
        <w:t xml:space="preserve">. Clarendon Press, Oxford.</w:t>
      </w:r>
    </w:p>
    <w:bookmarkEnd w:id="195"/>
    <w:bookmarkStart w:id="196"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6"/>
    <w:bookmarkStart w:id="198" w:name="ref-kass1995"/>
    <w:p>
      <w:pPr>
        <w:pStyle w:val="Bibliography"/>
      </w:pPr>
      <w:r>
        <w:t xml:space="preserve">Kass, R. E., &amp; Raftery, A. E. (1995). Bayes Factors.</w:t>
      </w:r>
      <w:r>
        <w:t xml:space="preserve"> </w:t>
      </w:r>
      <w:r>
        <w:rPr>
          <w:i/>
          <w:iCs/>
        </w:rPr>
        <w:t xml:space="preserve">Journal of the American Statistical Association</w:t>
      </w:r>
      <w:r>
        <w:t xml:space="preserve">,</w:t>
      </w:r>
      <w:r>
        <w:t xml:space="preserve"> </w:t>
      </w:r>
      <w:r>
        <w:rPr>
          <w:i/>
          <w:iCs/>
        </w:rPr>
        <w:t xml:space="preserve">90</w:t>
      </w:r>
      <w:r>
        <w:t xml:space="preserve">(430), 773–795.</w:t>
      </w:r>
      <w:r>
        <w:t xml:space="preserve"> </w:t>
      </w:r>
      <w:hyperlink r:id="rId197">
        <w:r>
          <w:rPr>
            <w:rStyle w:val="Hyperlink"/>
          </w:rPr>
          <w:t xml:space="preserve">https://doi.org/10.1080/01621459.1995.10476572</w:t>
        </w:r>
      </w:hyperlink>
    </w:p>
    <w:bookmarkEnd w:id="198"/>
    <w:bookmarkStart w:id="200"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9">
        <w:r>
          <w:rPr>
            <w:rStyle w:val="Hyperlink"/>
          </w:rPr>
          <w:t xml:space="preserve">https://doi.org/10.1016/j.wocn.2016.08.006</w:t>
        </w:r>
      </w:hyperlink>
    </w:p>
    <w:bookmarkEnd w:id="200"/>
    <w:bookmarkStart w:id="202"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201">
        <w:r>
          <w:rPr>
            <w:rStyle w:val="Hyperlink"/>
          </w:rPr>
          <w:t xml:space="preserve">https://doi.org/10.1111/j.1467-9280.2008.02127.x</w:t>
        </w:r>
      </w:hyperlink>
    </w:p>
    <w:bookmarkEnd w:id="202"/>
    <w:bookmarkStart w:id="203"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203"/>
    <w:bookmarkStart w:id="205"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4">
        <w:r>
          <w:rPr>
            <w:rStyle w:val="Hyperlink"/>
          </w:rPr>
          <w:t xml:space="preserve">https://doi.org/10.1017/pan.2022.20</w:t>
        </w:r>
      </w:hyperlink>
    </w:p>
    <w:bookmarkEnd w:id="205"/>
    <w:bookmarkStart w:id="207"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6">
        <w:r>
          <w:rPr>
            <w:rStyle w:val="Hyperlink"/>
          </w:rPr>
          <w:t xml:space="preserve">https://CRAN.R-project.org/package=ordbetareg</w:t>
        </w:r>
      </w:hyperlink>
    </w:p>
    <w:bookmarkEnd w:id="207"/>
    <w:bookmarkStart w:id="209"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08">
        <w:r>
          <w:rPr>
            <w:rStyle w:val="Hyperlink"/>
          </w:rPr>
          <w:t xml:space="preserve">https://doi.org/10.32614/CRAN.package.emmeans</w:t>
        </w:r>
      </w:hyperlink>
    </w:p>
    <w:bookmarkEnd w:id="209"/>
    <w:bookmarkStart w:id="211"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10">
        <w:r>
          <w:rPr>
            <w:rStyle w:val="Hyperlink"/>
          </w:rPr>
          <w:t xml:space="preserve">https://doi.org/10.32614/rj-2015-019</w:t>
        </w:r>
      </w:hyperlink>
    </w:p>
    <w:bookmarkEnd w:id="211"/>
    <w:bookmarkStart w:id="213"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12">
        <w:r>
          <w:rPr>
            <w:rStyle w:val="Hyperlink"/>
          </w:rPr>
          <w:t xml:space="preserve">https://easystats.github.io/easystats/</w:t>
        </w:r>
      </w:hyperlink>
    </w:p>
    <w:bookmarkEnd w:id="213"/>
    <w:bookmarkStart w:id="215"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4">
        <w:r>
          <w:rPr>
            <w:rStyle w:val="Hyperlink"/>
          </w:rPr>
          <w:t xml:space="preserve">https://doi.org/10.3389/fpsyg.2019.02767</w:t>
        </w:r>
      </w:hyperlink>
    </w:p>
    <w:bookmarkEnd w:id="215"/>
    <w:bookmarkStart w:id="217"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6">
        <w:r>
          <w:rPr>
            <w:rStyle w:val="Hyperlink"/>
          </w:rPr>
          <w:t xml:space="preserve">https://doi.org/10.21105/joss.01541</w:t>
        </w:r>
      </w:hyperlink>
    </w:p>
    <w:bookmarkEnd w:id="217"/>
    <w:bookmarkStart w:id="219"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18">
        <w:r>
          <w:rPr>
            <w:rStyle w:val="Hyperlink"/>
          </w:rPr>
          <w:t xml:space="preserve">https://doi.org/10.1177/0013164416669201</w:t>
        </w:r>
      </w:hyperlink>
    </w:p>
    <w:bookmarkEnd w:id="219"/>
    <w:bookmarkStart w:id="221"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20">
        <w:r>
          <w:rPr>
            <w:rStyle w:val="Hyperlink"/>
          </w:rPr>
          <w:t xml:space="preserve">https://doi.org/10.1098/rsos.231713</w:t>
        </w:r>
      </w:hyperlink>
    </w:p>
    <w:bookmarkEnd w:id="221"/>
    <w:bookmarkStart w:id="223"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22">
        <w:r>
          <w:rPr>
            <w:rStyle w:val="Hyperlink"/>
          </w:rPr>
          <w:t xml:space="preserve">https://doi.org/10.1201/9780429029608</w:t>
        </w:r>
      </w:hyperlink>
    </w:p>
    <w:bookmarkEnd w:id="223"/>
    <w:bookmarkStart w:id="225"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24">
        <w:r>
          <w:rPr>
            <w:rStyle w:val="Hyperlink"/>
          </w:rPr>
          <w:t xml:space="preserve">https://doi.org/10.2307/2344614</w:t>
        </w:r>
      </w:hyperlink>
    </w:p>
    <w:bookmarkEnd w:id="225"/>
    <w:bookmarkStart w:id="227"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26">
        <w:r>
          <w:rPr>
            <w:rStyle w:val="Hyperlink"/>
          </w:rPr>
          <w:t xml:space="preserve">https://www.sciencedirect.com/science/article/pii/S0048969723041505</w:t>
        </w:r>
      </w:hyperlink>
    </w:p>
    <w:bookmarkEnd w:id="227"/>
    <w:bookmarkStart w:id="229"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28">
        <w:r>
          <w:rPr>
            <w:rStyle w:val="Hyperlink"/>
          </w:rPr>
          <w:t xml:space="preserve">https://doi.org/10.1093/oxfordjournals.pan.a004873</w:t>
        </w:r>
      </w:hyperlink>
    </w:p>
    <w:bookmarkEnd w:id="229"/>
    <w:bookmarkStart w:id="231"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30">
        <w:r>
          <w:rPr>
            <w:rStyle w:val="Hyperlink"/>
          </w:rPr>
          <w:t xml:space="preserve">https://www.R-project.org/</w:t>
        </w:r>
      </w:hyperlink>
    </w:p>
    <w:bookmarkEnd w:id="231"/>
    <w:bookmarkStart w:id="233"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32">
        <w:r>
          <w:rPr>
            <w:rStyle w:val="Hyperlink"/>
          </w:rPr>
          <w:t xml:space="preserve">https://docs.ropensci.org/rix/</w:t>
        </w:r>
      </w:hyperlink>
    </w:p>
    <w:bookmarkEnd w:id="233"/>
    <w:bookmarkStart w:id="235"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34">
        <w:r>
          <w:rPr>
            <w:rStyle w:val="Hyperlink"/>
          </w:rPr>
          <w:t xml:space="preserve">https://doi.org/10.1177/08902070241239834</w:t>
        </w:r>
      </w:hyperlink>
    </w:p>
    <w:bookmarkEnd w:id="235"/>
    <w:bookmarkStart w:id="237"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36">
        <w:r>
          <w:rPr>
            <w:rStyle w:val="Hyperlink"/>
          </w:rPr>
          <w:t xml:space="preserve">https://doi.org/10.31234/osf.io/4rznt</w:t>
        </w:r>
      </w:hyperlink>
    </w:p>
    <w:bookmarkEnd w:id="237"/>
    <w:bookmarkStart w:id="239"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38">
        <w:r>
          <w:rPr>
            <w:rStyle w:val="Hyperlink"/>
          </w:rPr>
          <w:t xml:space="preserve">https://doi.org/10.1001/jamanetworkopen.2023.53401</w:t>
        </w:r>
      </w:hyperlink>
    </w:p>
    <w:bookmarkEnd w:id="239"/>
    <w:bookmarkStart w:id="241"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40">
        <w:r>
          <w:rPr>
            <w:rStyle w:val="Hyperlink"/>
          </w:rPr>
          <w:t xml:space="preserve">https://doi.org/10.1037/1082-989x.11.1.54</w:t>
        </w:r>
      </w:hyperlink>
    </w:p>
    <w:bookmarkEnd w:id="241"/>
    <w:bookmarkStart w:id="243"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42">
        <w:r>
          <w:rPr>
            <w:rStyle w:val="Hyperlink"/>
          </w:rPr>
          <w:t xml:space="preserve">https://mc-stan.org</w:t>
        </w:r>
      </w:hyperlink>
    </w:p>
    <w:bookmarkEnd w:id="243"/>
    <w:bookmarkStart w:id="245"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44">
        <w:r>
          <w:rPr>
            <w:rStyle w:val="Hyperlink"/>
          </w:rPr>
          <w:t xml:space="preserve">https://doi.org/10.1007/s11409-017-9175-0</w:t>
        </w:r>
      </w:hyperlink>
    </w:p>
    <w:bookmarkEnd w:id="245"/>
    <w:bookmarkStart w:id="247" w:name="ref-vuorre2019"/>
    <w:p>
      <w:pPr>
        <w:pStyle w:val="Bibliography"/>
      </w:pPr>
      <w:r>
        <w:t xml:space="preserve">Vuorre, M. (2019, February 18).</w:t>
      </w:r>
      <w:r>
        <w:t xml:space="preserve"> </w:t>
      </w:r>
      <w:r>
        <w:rPr>
          <w:i/>
          <w:iCs/>
        </w:rPr>
        <w:t xml:space="preserve">How to Analyze Visual Analog (Slider) Scale Data?</w:t>
      </w:r>
      <w:r>
        <w:t xml:space="preserve"> </w:t>
      </w:r>
      <w:hyperlink r:id="rId246">
        <w:r>
          <w:rPr>
            <w:rStyle w:val="Hyperlink"/>
          </w:rPr>
          <w:t xml:space="preserve">https://vuorre.com/posts/2019-02-18-analyze-analog-scale-ratings-with-zero-one-inflated-beta-models</w:t>
        </w:r>
      </w:hyperlink>
    </w:p>
    <w:bookmarkEnd w:id="247"/>
    <w:bookmarkStart w:id="249"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48">
        <w:r>
          <w:rPr>
            <w:rStyle w:val="Hyperlink"/>
          </w:rPr>
          <w:t xml:space="preserve">https://r4ds.hadley.nz/</w:t>
        </w:r>
      </w:hyperlink>
    </w:p>
    <w:bookmarkEnd w:id="249"/>
    <w:bookmarkStart w:id="251"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50">
        <w:r>
          <w:rPr>
            <w:rStyle w:val="Hyperlink"/>
          </w:rPr>
          <w:t xml:space="preserve">https://doi.org/10.1002/acp.3724</w:t>
        </w:r>
      </w:hyperlink>
    </w:p>
    <w:bookmarkEnd w:id="251"/>
    <w:bookmarkStart w:id="253"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52">
        <w:r>
          <w:rPr>
            <w:rStyle w:val="Hyperlink"/>
          </w:rPr>
          <w:t xml:space="preserve">https://doi.org/10.1111/gcb.17422</w:t>
        </w:r>
      </w:hyperlink>
    </w:p>
    <w:bookmarkEnd w:id="253"/>
    <w:bookmarkStart w:id="255"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54">
        <w:r>
          <w:rPr>
            <w:rStyle w:val="Hyperlink"/>
          </w:rPr>
          <w:t xml:space="preserve">https://doi.org/10.1037/mac0000003</w:t>
        </w:r>
      </w:hyperlink>
    </w:p>
    <w:bookmarkEnd w:id="255"/>
    <w:bookmarkStart w:id="257"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56">
        <w:r>
          <w:rPr>
            <w:rStyle w:val="Hyperlink"/>
          </w:rPr>
          <w:t xml:space="preserve">https://stats.andrewheiss.com/compassionate-clam/manuscript/output/manuscript.html</w:t>
        </w:r>
      </w:hyperlink>
    </w:p>
    <w:bookmarkEnd w:id="257"/>
    <w:bookmarkEnd w:id="258"/>
    <w:sectPr>
      <w:lnNumType w:countBy="1" w:restart="continuous"/>
    </w:sectPr>
    <w:bookmarkEnd w:id="259"/>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Specifically, for any continous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3">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5">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53">
    <w:p>
      <w:pPr>
        <w:pStyle w:val="FootnoteText"/>
      </w:pPr>
      <w:r>
        <w:rPr>
          <w:rStyle w:val="FootnoteReference"/>
        </w:rPr>
        <w:footnoteRef/>
      </w:r>
      <w:r>
        <w:t xml:space="preserve"> </w:t>
      </w:r>
      <w:r>
        <w:t xml:space="preserve">The Stan team recommends 2,000 draws as a default, so this is a conservative standard. We note that Stan can converge in as few as 500 draws for less complex models, which may be an easier standard when engaging in model-building.</w:t>
      </w:r>
    </w:p>
  </w:footnote>
  <w:footnote w:id="68">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87">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05">
    <w:p>
      <w:pPr>
        <w:pStyle w:val="FootnoteText"/>
      </w:pPr>
      <w:r>
        <w:rPr>
          <w:rStyle w:val="FootnoteReference"/>
        </w:rPr>
        <w:footnoteRef/>
      </w:r>
      <w:r>
        <w:t xml:space="preserve"> </w:t>
      </w:r>
      <w:r>
        <w:rPr>
          <w:rStyle w:val="VerbatimChar"/>
        </w:rPr>
        <w:t xml:space="preserve">bayestestr</w:t>
      </w:r>
      <w:r>
        <w:t xml:space="preserve"> </w:t>
      </w:r>
      <w:r>
        <w:t xml:space="preserve">also has functions that will allow users to compute Bayes Factors.</w:t>
      </w:r>
    </w:p>
  </w:footnote>
  <w:footnote w:id="111">
    <w:p>
      <w:pPr>
        <w:pStyle w:val="FootnoteText"/>
      </w:pPr>
      <w:r>
        <w:rPr>
          <w:rStyle w:val="FootnoteReference"/>
        </w:rPr>
        <w:footnoteRef/>
      </w:r>
      <w:r>
        <w:t xml:space="preserve"> </w:t>
      </w:r>
      <w:r>
        <w:t xml:space="preserve">There is an additional version of this model, the zero-or-one-inflated Beta (ZOIB), which can accomodate discrete values at both the lower and upper limits of the scale with</w:t>
      </w:r>
      <w:r>
        <w:t xml:space="preserve"> </w:t>
      </w:r>
      <w:r>
        <w:rPr>
          <w:rStyle w:val="VerbatimChar"/>
        </w:rPr>
        <w:t xml:space="preserve">brms</w:t>
      </w:r>
      <w:r>
        <w:t xml:space="preserve">.</w:t>
      </w:r>
    </w:p>
  </w:footnote>
  <w:footnote w:id="123">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footnote>
  <w:footnote w:id="133">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w:t>
      </w:r>
      <w:hyperlink w:anchor="ref-kubinec2022">
        <w:r>
          <w:rPr>
            <w:rStyle w:val="Hyperlink"/>
          </w:rPr>
          <w:t xml:space="preserve">2022</w:t>
        </w:r>
      </w:hyperlink>
      <w:r>
        <w:t xml:space="preserve">)</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46" Target="media/rId46.png" /><Relationship Type="http://schemas.openxmlformats.org/officeDocument/2006/relationships/image" Id="rId98" Target="media/rId98.png" /><Relationship Type="http://schemas.openxmlformats.org/officeDocument/2006/relationships/image" Id="rId63" Target="media/rId63.png" /><Relationship Type="http://schemas.openxmlformats.org/officeDocument/2006/relationships/image" Id="rId146" Target="media/rId146.png" /><Relationship Type="http://schemas.openxmlformats.org/officeDocument/2006/relationships/image" Id="rId54" Target="media/rId54.png" /><Relationship Type="http://schemas.openxmlformats.org/officeDocument/2006/relationships/image" Id="rId88" Target="media/rId88.png" /><Relationship Type="http://schemas.openxmlformats.org/officeDocument/2006/relationships/image" Id="rId80" Target="media/rId80.png" /><Relationship Type="http://schemas.openxmlformats.org/officeDocument/2006/relationships/image" Id="rId142" Target="media/rId142.png" /><Relationship Type="http://schemas.openxmlformats.org/officeDocument/2006/relationships/image" Id="rId76" Target="media/rId76.png" /><Relationship Type="http://schemas.openxmlformats.org/officeDocument/2006/relationships/image" Id="rId117" Target="media/rId117.png" /><Relationship Type="http://schemas.openxmlformats.org/officeDocument/2006/relationships/image" Id="rId124" Target="media/rId124.png" /><Relationship Type="http://schemas.openxmlformats.org/officeDocument/2006/relationships/hyperlink" Id="rId191" Target="http://dx.doi.org/10.59350/7p1a4-0tw75" TargetMode="External" /><Relationship Type="http://schemas.openxmlformats.org/officeDocument/2006/relationships/hyperlink" Id="rId156" Target="https://CRAN.R-project.org/package=marginaleffects" TargetMode="External" /><Relationship Type="http://schemas.openxmlformats.org/officeDocument/2006/relationships/hyperlink" Id="rId206" Target="https://CRAN.R-project.org/package=ordbetareg" TargetMode="External" /><Relationship Type="http://schemas.openxmlformats.org/officeDocument/2006/relationships/hyperlink" Id="rId232" Target="https://docs.ropensci.org/rix/" TargetMode="External" /><Relationship Type="http://schemas.openxmlformats.org/officeDocument/2006/relationships/hyperlink" Id="rId238" Target="https://doi.org/10.1001/jamanetworkopen.2023.53401" TargetMode="External" /><Relationship Type="http://schemas.openxmlformats.org/officeDocument/2006/relationships/hyperlink" Id="rId250" Target="https://doi.org/10.1002/acp.3724" TargetMode="External" /><Relationship Type="http://schemas.openxmlformats.org/officeDocument/2006/relationships/hyperlink" Id="rId185" Target="https://doi.org/10.1007/s11121-021-01302-y" TargetMode="External" /><Relationship Type="http://schemas.openxmlformats.org/officeDocument/2006/relationships/hyperlink" Id="rId244" Target="https://doi.org/10.1007/s11409-017-9175-0" TargetMode="External" /><Relationship Type="http://schemas.openxmlformats.org/officeDocument/2006/relationships/hyperlink" Id="rId199" Target="https://doi.org/10.1016/j.wocn.2016.08.006" TargetMode="External" /><Relationship Type="http://schemas.openxmlformats.org/officeDocument/2006/relationships/hyperlink" Id="rId204" Target="https://doi.org/10.1017/pan.2022.20" TargetMode="External" /><Relationship Type="http://schemas.openxmlformats.org/officeDocument/2006/relationships/hyperlink" Id="rId240" Target="https://doi.org/10.1037/1082-989x.11.1.54" TargetMode="External" /><Relationship Type="http://schemas.openxmlformats.org/officeDocument/2006/relationships/hyperlink" Id="rId254" Target="https://doi.org/10.1037/mac0000003" TargetMode="External" /><Relationship Type="http://schemas.openxmlformats.org/officeDocument/2006/relationships/hyperlink" Id="rId162" Target="https://doi.org/10.1037/met0000553" TargetMode="External" /><Relationship Type="http://schemas.openxmlformats.org/officeDocument/2006/relationships/hyperlink" Id="rId197" Target="https://doi.org/10.1080/01621459.1995.10476572" TargetMode="External" /><Relationship Type="http://schemas.openxmlformats.org/officeDocument/2006/relationships/hyperlink" Id="rId183" Target="https://doi.org/10.1080/0266476042000214501" TargetMode="External" /><Relationship Type="http://schemas.openxmlformats.org/officeDocument/2006/relationships/hyperlink" Id="rId228" Target="https://doi.org/10.1093/oxfordjournals.pan.a004873" TargetMode="External" /><Relationship Type="http://schemas.openxmlformats.org/officeDocument/2006/relationships/hyperlink" Id="rId220" Target="https://doi.org/10.1098/rsos.231713" TargetMode="External" /><Relationship Type="http://schemas.openxmlformats.org/officeDocument/2006/relationships/hyperlink" Id="rId252" Target="https://doi.org/10.1111/gcb.17422" TargetMode="External" /><Relationship Type="http://schemas.openxmlformats.org/officeDocument/2006/relationships/hyperlink" Id="rId201" Target="https://doi.org/10.1111/j.1467-9280.2008.02127.x" TargetMode="External" /><Relationship Type="http://schemas.openxmlformats.org/officeDocument/2006/relationships/hyperlink" Id="rId177" Target="https://doi.org/10.1126/science.adq1814" TargetMode="External" /><Relationship Type="http://schemas.openxmlformats.org/officeDocument/2006/relationships/hyperlink" Id="rId218" Target="https://doi.org/10.1177/0013164416669201" TargetMode="External" /><Relationship Type="http://schemas.openxmlformats.org/officeDocument/2006/relationships/hyperlink" Id="rId234" Target="https://doi.org/10.1177/08902070241239834" TargetMode="External" /><Relationship Type="http://schemas.openxmlformats.org/officeDocument/2006/relationships/hyperlink" Id="rId170" Target="https://doi.org/10.1177/2515245918823199" TargetMode="External" /><Relationship Type="http://schemas.openxmlformats.org/officeDocument/2006/relationships/hyperlink" Id="rId222" Target="https://doi.org/10.1201/9780429029608" TargetMode="External" /><Relationship Type="http://schemas.openxmlformats.org/officeDocument/2006/relationships/hyperlink" Id="rId193" Target="https://doi.org/10.1525/collabra.140755" TargetMode="External" /><Relationship Type="http://schemas.openxmlformats.org/officeDocument/2006/relationships/hyperlink" Id="rId179" Target="https://doi.org/10.18637/jss.v034.i02" TargetMode="External" /><Relationship Type="http://schemas.openxmlformats.org/officeDocument/2006/relationships/hyperlink" Id="rId166" Target="https://doi.org/10.18637/jss.v080.i01" TargetMode="External" /><Relationship Type="http://schemas.openxmlformats.org/officeDocument/2006/relationships/hyperlink" Id="rId158" Target="https://doi.org/10.18637/jss.v111.i09" TargetMode="External" /><Relationship Type="http://schemas.openxmlformats.org/officeDocument/2006/relationships/hyperlink" Id="rId216" Target="https://doi.org/10.21105/joss.01541" TargetMode="External" /><Relationship Type="http://schemas.openxmlformats.org/officeDocument/2006/relationships/hyperlink" Id="rId224" Target="https://doi.org/10.2307/2344614" TargetMode="External" /><Relationship Type="http://schemas.openxmlformats.org/officeDocument/2006/relationships/hyperlink" Id="rId160" Target="https://doi.org/10.2307/2983678" TargetMode="External" /><Relationship Type="http://schemas.openxmlformats.org/officeDocument/2006/relationships/hyperlink" Id="rId175" Target="https://doi.org/10.31219/osf.io/f9rqg_v1" TargetMode="External" /><Relationship Type="http://schemas.openxmlformats.org/officeDocument/2006/relationships/hyperlink" Id="rId236" Target="https://doi.org/10.31234/osf.io/4rznt" TargetMode="External" /><Relationship Type="http://schemas.openxmlformats.org/officeDocument/2006/relationships/hyperlink" Id="rId208" Target="https://doi.org/10.32614/CRAN.package.emmeans" TargetMode="External" /><Relationship Type="http://schemas.openxmlformats.org/officeDocument/2006/relationships/hyperlink" Id="rId164" Target="https://doi.org/10.32614/RJ-2017-066" TargetMode="External" /><Relationship Type="http://schemas.openxmlformats.org/officeDocument/2006/relationships/hyperlink" Id="rId210" Target="https://doi.org/10.32614/rj-2015-019" TargetMode="External" /><Relationship Type="http://schemas.openxmlformats.org/officeDocument/2006/relationships/hyperlink" Id="rId214" Target="https://doi.org/10.3389/fpsyg.2019.02767" TargetMode="External" /><Relationship Type="http://schemas.openxmlformats.org/officeDocument/2006/relationships/hyperlink" Id="rId172" Target="https://doi.org/10.3758/s13423-013-0442-z" TargetMode="External" /><Relationship Type="http://schemas.openxmlformats.org/officeDocument/2006/relationships/hyperlink" Id="rId212"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2" Target="https://mc-stan.org" TargetMode="External" /><Relationship Type="http://schemas.openxmlformats.org/officeDocument/2006/relationships/hyperlink" Id="rId187" Target="https://mc-stan.org/cmdstanr/" TargetMode="External" /><Relationship Type="http://schemas.openxmlformats.org/officeDocument/2006/relationships/hyperlink" Id="rId168" Target="https://mc-stan.org/posterior/" TargetMode="External" /><Relationship Type="http://schemas.openxmlformats.org/officeDocument/2006/relationships/hyperlink" Id="rId181"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8" Target="https://r4ds.hadley.nz/" TargetMode="External" /><Relationship Type="http://schemas.openxmlformats.org/officeDocument/2006/relationships/hyperlink" Id="rId189" Target="https://stat.columbia.edu/~gelman/book/" TargetMode="External" /><Relationship Type="http://schemas.openxmlformats.org/officeDocument/2006/relationships/hyperlink" Id="rId256" Target="https://stats.andrewheiss.com/compassionate-clam/manuscript/output/manuscript.html" TargetMode="External" /><Relationship Type="http://schemas.openxmlformats.org/officeDocument/2006/relationships/hyperlink" Id="rId246" Target="https://vuorre.com/posts/2019-02-18-analyze-analog-scale-ratings-with-zero-one-inflated-beta-models" TargetMode="External" /><Relationship Type="http://schemas.openxmlformats.org/officeDocument/2006/relationships/hyperlink" Id="rId230" Target="https://www.R-project.org/" TargetMode="External" /><Relationship Type="http://schemas.openxmlformats.org/officeDocument/2006/relationships/hyperlink" Id="rId260" Target="https://www.routledge.com/Bayes-Rules-An-Introduction-to-Applied-Bayesian-Modeling/Johnson-Ott-Dogucu/p/book/9780367255398" TargetMode="External" /><Relationship Type="http://schemas.openxmlformats.org/officeDocument/2006/relationships/hyperlink" Id="rId226"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91" Target="http://dx.doi.org/10.59350/7p1a4-0tw75" TargetMode="External" /><Relationship Type="http://schemas.openxmlformats.org/officeDocument/2006/relationships/hyperlink" Id="rId156" Target="https://CRAN.R-project.org/package=marginaleffects" TargetMode="External" /><Relationship Type="http://schemas.openxmlformats.org/officeDocument/2006/relationships/hyperlink" Id="rId206" Target="https://CRAN.R-project.org/package=ordbetareg" TargetMode="External" /><Relationship Type="http://schemas.openxmlformats.org/officeDocument/2006/relationships/hyperlink" Id="rId232" Target="https://docs.ropensci.org/rix/" TargetMode="External" /><Relationship Type="http://schemas.openxmlformats.org/officeDocument/2006/relationships/hyperlink" Id="rId238" Target="https://doi.org/10.1001/jamanetworkopen.2023.53401" TargetMode="External" /><Relationship Type="http://schemas.openxmlformats.org/officeDocument/2006/relationships/hyperlink" Id="rId250" Target="https://doi.org/10.1002/acp.3724" TargetMode="External" /><Relationship Type="http://schemas.openxmlformats.org/officeDocument/2006/relationships/hyperlink" Id="rId185" Target="https://doi.org/10.1007/s11121-021-01302-y" TargetMode="External" /><Relationship Type="http://schemas.openxmlformats.org/officeDocument/2006/relationships/hyperlink" Id="rId244" Target="https://doi.org/10.1007/s11409-017-9175-0" TargetMode="External" /><Relationship Type="http://schemas.openxmlformats.org/officeDocument/2006/relationships/hyperlink" Id="rId199" Target="https://doi.org/10.1016/j.wocn.2016.08.006" TargetMode="External" /><Relationship Type="http://schemas.openxmlformats.org/officeDocument/2006/relationships/hyperlink" Id="rId204" Target="https://doi.org/10.1017/pan.2022.20" TargetMode="External" /><Relationship Type="http://schemas.openxmlformats.org/officeDocument/2006/relationships/hyperlink" Id="rId240" Target="https://doi.org/10.1037/1082-989x.11.1.54" TargetMode="External" /><Relationship Type="http://schemas.openxmlformats.org/officeDocument/2006/relationships/hyperlink" Id="rId254" Target="https://doi.org/10.1037/mac0000003" TargetMode="External" /><Relationship Type="http://schemas.openxmlformats.org/officeDocument/2006/relationships/hyperlink" Id="rId162" Target="https://doi.org/10.1037/met0000553" TargetMode="External" /><Relationship Type="http://schemas.openxmlformats.org/officeDocument/2006/relationships/hyperlink" Id="rId197" Target="https://doi.org/10.1080/01621459.1995.10476572" TargetMode="External" /><Relationship Type="http://schemas.openxmlformats.org/officeDocument/2006/relationships/hyperlink" Id="rId183" Target="https://doi.org/10.1080/0266476042000214501" TargetMode="External" /><Relationship Type="http://schemas.openxmlformats.org/officeDocument/2006/relationships/hyperlink" Id="rId228" Target="https://doi.org/10.1093/oxfordjournals.pan.a004873" TargetMode="External" /><Relationship Type="http://schemas.openxmlformats.org/officeDocument/2006/relationships/hyperlink" Id="rId220" Target="https://doi.org/10.1098/rsos.231713" TargetMode="External" /><Relationship Type="http://schemas.openxmlformats.org/officeDocument/2006/relationships/hyperlink" Id="rId252" Target="https://doi.org/10.1111/gcb.17422" TargetMode="External" /><Relationship Type="http://schemas.openxmlformats.org/officeDocument/2006/relationships/hyperlink" Id="rId201" Target="https://doi.org/10.1111/j.1467-9280.2008.02127.x" TargetMode="External" /><Relationship Type="http://schemas.openxmlformats.org/officeDocument/2006/relationships/hyperlink" Id="rId177" Target="https://doi.org/10.1126/science.adq1814" TargetMode="External" /><Relationship Type="http://schemas.openxmlformats.org/officeDocument/2006/relationships/hyperlink" Id="rId218" Target="https://doi.org/10.1177/0013164416669201" TargetMode="External" /><Relationship Type="http://schemas.openxmlformats.org/officeDocument/2006/relationships/hyperlink" Id="rId234" Target="https://doi.org/10.1177/08902070241239834" TargetMode="External" /><Relationship Type="http://schemas.openxmlformats.org/officeDocument/2006/relationships/hyperlink" Id="rId170" Target="https://doi.org/10.1177/2515245918823199" TargetMode="External" /><Relationship Type="http://schemas.openxmlformats.org/officeDocument/2006/relationships/hyperlink" Id="rId222" Target="https://doi.org/10.1201/9780429029608" TargetMode="External" /><Relationship Type="http://schemas.openxmlformats.org/officeDocument/2006/relationships/hyperlink" Id="rId193" Target="https://doi.org/10.1525/collabra.140755" TargetMode="External" /><Relationship Type="http://schemas.openxmlformats.org/officeDocument/2006/relationships/hyperlink" Id="rId179" Target="https://doi.org/10.18637/jss.v034.i02" TargetMode="External" /><Relationship Type="http://schemas.openxmlformats.org/officeDocument/2006/relationships/hyperlink" Id="rId166" Target="https://doi.org/10.18637/jss.v080.i01" TargetMode="External" /><Relationship Type="http://schemas.openxmlformats.org/officeDocument/2006/relationships/hyperlink" Id="rId158" Target="https://doi.org/10.18637/jss.v111.i09" TargetMode="External" /><Relationship Type="http://schemas.openxmlformats.org/officeDocument/2006/relationships/hyperlink" Id="rId216" Target="https://doi.org/10.21105/joss.01541" TargetMode="External" /><Relationship Type="http://schemas.openxmlformats.org/officeDocument/2006/relationships/hyperlink" Id="rId224" Target="https://doi.org/10.2307/2344614" TargetMode="External" /><Relationship Type="http://schemas.openxmlformats.org/officeDocument/2006/relationships/hyperlink" Id="rId160" Target="https://doi.org/10.2307/2983678" TargetMode="External" /><Relationship Type="http://schemas.openxmlformats.org/officeDocument/2006/relationships/hyperlink" Id="rId175" Target="https://doi.org/10.31219/osf.io/f9rqg_v1" TargetMode="External" /><Relationship Type="http://schemas.openxmlformats.org/officeDocument/2006/relationships/hyperlink" Id="rId236" Target="https://doi.org/10.31234/osf.io/4rznt" TargetMode="External" /><Relationship Type="http://schemas.openxmlformats.org/officeDocument/2006/relationships/hyperlink" Id="rId208" Target="https://doi.org/10.32614/CRAN.package.emmeans" TargetMode="External" /><Relationship Type="http://schemas.openxmlformats.org/officeDocument/2006/relationships/hyperlink" Id="rId164" Target="https://doi.org/10.32614/RJ-2017-066" TargetMode="External" /><Relationship Type="http://schemas.openxmlformats.org/officeDocument/2006/relationships/hyperlink" Id="rId210" Target="https://doi.org/10.32614/rj-2015-019" TargetMode="External" /><Relationship Type="http://schemas.openxmlformats.org/officeDocument/2006/relationships/hyperlink" Id="rId214" Target="https://doi.org/10.3389/fpsyg.2019.02767" TargetMode="External" /><Relationship Type="http://schemas.openxmlformats.org/officeDocument/2006/relationships/hyperlink" Id="rId172" Target="https://doi.org/10.3758/s13423-013-0442-z" TargetMode="External" /><Relationship Type="http://schemas.openxmlformats.org/officeDocument/2006/relationships/hyperlink" Id="rId212"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2" Target="https://mc-stan.org" TargetMode="External" /><Relationship Type="http://schemas.openxmlformats.org/officeDocument/2006/relationships/hyperlink" Id="rId187" Target="https://mc-stan.org/cmdstanr/" TargetMode="External" /><Relationship Type="http://schemas.openxmlformats.org/officeDocument/2006/relationships/hyperlink" Id="rId168" Target="https://mc-stan.org/posterior/" TargetMode="External" /><Relationship Type="http://schemas.openxmlformats.org/officeDocument/2006/relationships/hyperlink" Id="rId181"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8" Target="https://r4ds.hadley.nz/" TargetMode="External" /><Relationship Type="http://schemas.openxmlformats.org/officeDocument/2006/relationships/hyperlink" Id="rId189" Target="https://stat.columbia.edu/~gelman/book/" TargetMode="External" /><Relationship Type="http://schemas.openxmlformats.org/officeDocument/2006/relationships/hyperlink" Id="rId256" Target="https://stats.andrewheiss.com/compassionate-clam/manuscript/output/manuscript.html" TargetMode="External" /><Relationship Type="http://schemas.openxmlformats.org/officeDocument/2006/relationships/hyperlink" Id="rId246" Target="https://vuorre.com/posts/2019-02-18-analyze-analog-scale-ratings-with-zero-one-inflated-beta-models" TargetMode="External" /><Relationship Type="http://schemas.openxmlformats.org/officeDocument/2006/relationships/hyperlink" Id="rId230" Target="https://www.R-project.org/" TargetMode="External" /><Relationship Type="http://schemas.openxmlformats.org/officeDocument/2006/relationships/hyperlink" Id="rId260" Target="https://www.routledge.com/Bayes-Rules-An-Introduction-to-Applied-Bayesian-Modeling/Johnson-Ott-Dogucu/p/book/9780367255398" TargetMode="External" /><Relationship Type="http://schemas.openxmlformats.org/officeDocument/2006/relationships/hyperlink" Id="rId226"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True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10515</vt:lpwstr>
  </property>
  <property fmtid="{D5CDD505-2E9C-101B-9397-08002B2CF9AE}" pid="63" name="zerocitations">
    <vt:lpwstr>False</vt:lpwstr>
  </property>
</Properties>
</file>