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46.png" ContentType="image/png"/>
  <Override PartName="/word/media/rId94.png" ContentType="image/png"/>
  <Override PartName="/word/media/rId59.png" ContentType="image/png"/>
  <Override PartName="/word/media/rId142.png" ContentType="image/png"/>
  <Override PartName="/word/media/rId84.png" ContentType="image/png"/>
  <Override PartName="/word/media/rId76.png" ContentType="image/png"/>
  <Override PartName="/word/media/rId138.png" ContentType="image/png"/>
  <Override PartName="/word/media/rId72.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10388</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percentages—for example,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directed at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 or belief</w:t>
      </w:r>
      <w:r>
        <w:t xml:space="preserve"> </w:t>
      </w:r>
      <w:r>
        <w:t xml:space="preserve">(e.g.,</w:t>
      </w:r>
      <w:r>
        <w:t xml:space="preserve"> </w:t>
      </w:r>
      <w:hyperlink w:anchor="ref-Costello2024">
        <w:r>
          <w:rPr>
            <w:rStyle w:val="Hyperlink"/>
          </w:rPr>
          <w:t xml:space="preserve">Costello et al., 2024</w:t>
        </w:r>
      </w:hyperlink>
      <w:r>
        <w:t xml:space="preserve">)</w:t>
      </w:r>
      <w:r>
        <w:t xml:space="preserve">. In educational and cognitive research, one common way to assess learning is by measuring the proportion of correct responses on a test.</w:t>
      </w:r>
    </w:p>
    <w:p>
      <w:pPr>
        <w:pStyle w:val="BodyText"/>
      </w:pPr>
      <w:r>
        <w:t xml:space="preserve">Consider a memory experiment in which participants read a short passage, engage in a brief distractor task, and then complete a final memory test with 10 short-answer questions. Each question may have a different point value (e.g., question 1 is worth 4 points, question 2 is worth 1 point). A meaningful outcome measure could be the proportion of points earned on each question relative to its total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w:t>
      </w:r>
      <w:hyperlink w:anchor="ref-sladekova2024unicorns">
        <w:r>
          <w:rPr>
            <w:rStyle w:val="Hyperlink"/>
          </w:rPr>
          <w:t xml:space="preserve">Sladekova &amp; Field, 2024</w:t>
        </w:r>
      </w:hyperlink>
      <w:r>
        <w:t xml:space="preserve">)</w:t>
      </w:r>
      <w:r>
        <w:t xml:space="preserve">, and they are especially ill-suited for proportional outcomes, which are bounded between 0 and 1 and often exhibit heteroscedasticity—non-constant variance, 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w:t>
      </w:r>
      <w:hyperlink w:anchor="ref-sladekova2024unicorns">
        <w:r>
          <w:rPr>
            <w:rStyle w:val="Hyperlink"/>
          </w:rPr>
          <w:t xml:space="preserve">Sladekova &amp; Field, 2024</w:t>
        </w:r>
      </w:hyperlink>
      <w:r>
        <w:t xml:space="preserve">)</w:t>
      </w:r>
      <w:r>
        <w:t xml:space="preserve">. In addition, the direct modeling of proportions allows comparability across tasks and scales, and can be particularly valuable when only the proportion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0"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63"/>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69"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4"/>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w:t>
      </w:r>
      <w:r>
        <w:t xml:space="preserve"> </w:t>
      </w:r>
      <w:r>
        <w:rPr>
          <w:i/>
          <w:iCs/>
        </w:rPr>
        <w:t xml:space="preserve">disfluent</w:t>
      </w:r>
      <w:r>
        <w:t xml:space="preserve"> </w:t>
      </w:r>
      <w:r>
        <w:t xml:space="preserve">condition, M = 0.256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0.004 to 0.168.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4043     2751</w:t>
      </w:r>
      <w:r>
        <w:br/>
      </w:r>
      <w:r>
        <w:rPr>
          <w:rStyle w:val="VerbatimChar"/>
        </w:rPr>
        <w:t xml:space="preserve">FluencyFluent     0.08      0.04     0.00     0.17 1.00     3947     2694</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0.01     0.18     0.24 1.00     3461     3162</w:t>
      </w:r>
    </w:p>
    <w:p>
      <w:pPr>
        <w:pStyle w:val="FirstParagraph"/>
      </w:pPr>
      <w:r>
        <w:t xml:space="preserve">The output also includes the effective sample size (ESS) and R̂ (R-hat) values, both of which fall within acceptable ranges, indicating good model convergence. Throughout the tutorial, we focus on posterior mean estimates and their 95% credible intervals. In addition, we include the</w:t>
      </w:r>
      <w:r>
        <w:t xml:space="preserve"> </w:t>
      </w:r>
      <w:r>
        <w:rPr>
          <w:i/>
          <w:iCs/>
        </w:rPr>
        <w:t xml:space="preserve">pd</w:t>
      </w:r>
      <w:r>
        <w:t xml:space="preserve"> </w:t>
      </w:r>
      <w:r>
        <w:t xml:space="preserve">measure in the main summary table (</w:t>
      </w:r>
      <w:hyperlink w:anchor="tbl-all">
        <w:r>
          <w:rPr>
            <w:rStyle w:val="Hyperlink"/>
          </w:rPr>
          <w:t xml:space="preserve">Table 2</w:t>
        </w:r>
      </w:hyperlink>
      <w:r>
        <w:t xml:space="preserve">), which is provided by the</w:t>
      </w:r>
      <w:r>
        <w:t xml:space="preserve"> </w:t>
      </w:r>
      <w:r>
        <w:rPr>
          <w:rStyle w:val="VerbatimChar"/>
        </w:rPr>
        <w:t xml:space="preserve">bayestestR</w:t>
      </w:r>
      <w:r>
        <w:t xml:space="preserve"> </w:t>
      </w:r>
      <w:r>
        <w:t xml:space="preserve">package</w:t>
      </w:r>
      <w:r>
        <w:t xml:space="preserve"> </w:t>
      </w:r>
      <w:r>
        <w:t xml:space="preserve">(</w:t>
      </w:r>
      <w:hyperlink w:anchor="ref-makowski2019a">
        <w:r>
          <w:rPr>
            <w:rStyle w:val="Hyperlink"/>
          </w:rPr>
          <w:t xml:space="preserve">Makowski, Ben-Shachar, Chen, et al., 2019</w:t>
        </w:r>
      </w:hyperlink>
      <w:r>
        <w:t xml:space="preserve">;</w:t>
      </w:r>
      <w:r>
        <w:t xml:space="preserve"> </w:t>
      </w:r>
      <w:hyperlink w:anchor="ref-makowski2019">
        <w:r>
          <w:rPr>
            <w:rStyle w:val="Hyperlink"/>
          </w:rPr>
          <w:t xml:space="preserve">Makowski, Ben-Shachar, &amp; Lüdecke, 2019</w:t>
        </w:r>
      </w:hyperlink>
      <w:r>
        <w:t xml:space="preserve">)</w:t>
      </w:r>
      <w:r>
        <w:t xml:space="preserve">. This measure offers an intuitive parallel to p-values that many readers may be familiar with.</w:t>
      </w:r>
    </w:p>
    <w:tbl>
      <w:tblPr>
        <w:tblStyle w:val="Table"/>
        <w:tblW w:type="pct" w:w="5000"/>
        <w:tblLayout w:type="fixed"/>
        <w:tblLook w:firstRow="0" w:lastRow="0" w:firstColumn="0" w:lastColumn="0" w:noHBand="0" w:noVBand="0" w:val="0000"/>
      </w:tblPr>
      <w:tblGrid>
        <w:gridCol w:w="7920"/>
      </w:tblGrid>
      <w:tr>
        <w:tc>
          <w:tcPr/>
          <w:bookmarkStart w:id="67" w:name="lst-hypo"/>
          <w:p>
            <w:pPr>
              <w:jc w:val="center"/>
            </w:pPr>
            <w:pPr>
              <w:jc w:val="start"/>
              <w:spacing w:before="200"/>
              <w:pStyle w:val="ImageCaption"/>
            </w:pPr>
            <w:r>
              <w:t xml:space="preserve">Listing 4: Getting BF using</w:t>
            </w:r>
            <w:r>
              <w:t xml:space="preserve"> </w:t>
            </w:r>
            <w:r>
              <w:rPr>
                <w:rStyle w:val="VerbatimChar"/>
              </w:rPr>
              <w:t xml:space="preserve">hypothesis()</w:t>
            </w:r>
            <w:r>
              <w:t xml:space="preserve"> </w:t>
            </w:r>
            <w:r>
              <w:t xml:space="preserve">function from</w:t>
            </w:r>
            <w:r>
              <w:t xml:space="preserve"> </w:t>
            </w:r>
            <w:r>
              <w:rPr>
                <w:rStyle w:val="VerbatimChar"/>
              </w:rPr>
              <w:t xml:space="preserve">brms</w:t>
            </w:r>
          </w:p>
          <w:p>
            <w:pPr>
              <w:pStyle w:val="SourceCode"/>
              <w:jc w:val="center"/>
            </w:pPr>
            <w:r>
              <w:rPr>
                <w:rStyle w:val="VerbatimChar"/>
              </w:rPr>
              <w:t xml:space="preserve"># test non-zero effect</w:t>
            </w:r>
            <w:r>
              <w:br/>
            </w:r>
            <w:r>
              <w:br/>
            </w:r>
            <w:r>
              <w:rPr>
                <w:rStyle w:val="VerbatimChar"/>
              </w:rPr>
              <w:t xml:space="preserve">fluency_effect &lt;- hypothesis(bayes_reg_model, "FluencyFluent &gt; 0")</w:t>
            </w:r>
          </w:p>
          <w:bookmarkEnd w:id="67"/>
        </w:tc>
      </w:tr>
    </w:tbl>
    <w:bookmarkStart w:id="68" w:name="tbl-hypothesis"/>
    <w:tbl>
      <w:tblPr>
        <w:tblStyle w:val="Table"/>
        <w:tblW w:type="pct" w:w="3611"/>
        <w:tblLayout w:type="fixed"/>
        <w:tblLook w:firstRow="1" w:lastRow="0" w:firstColumn="0" w:lastColumn="0" w:noHBand="0" w:noVBand="0" w:val="0020"/>
      </w:tblPr>
      <w:tblGrid>
        <w:gridCol w:w="2420"/>
        <w:gridCol w:w="880"/>
        <w:gridCol w:w="1870"/>
        <w:gridCol w:w="550"/>
      </w:tblGrid>
      <w:tr>
        <w:trPr>
          <w:tblHeader w:val="on"/>
        </w:trPr>
        <w:tc>
          <w:tcPr/>
          <w:p>
            <w:pPr>
              <w:pStyle w:val="Compact"/>
            </w:pPr>
            <w:r>
              <w:t xml:space="preserve">Hypothesis</w:t>
            </w:r>
          </w:p>
        </w:tc>
        <w:tc>
          <w:tcPr/>
          <w:p>
            <w:pPr>
              <w:pStyle w:val="Compact"/>
            </w:pPr>
            <w:r>
              <w:t xml:space="preserve">Mean</w:t>
            </w:r>
          </w:p>
        </w:tc>
        <w:tc>
          <w:tcPr/>
          <w:p>
            <w:pPr>
              <w:pStyle w:val="Compact"/>
            </w:pPr>
            <w:r>
              <w:t xml:space="preserve">95% Cr.I</w:t>
            </w:r>
          </w:p>
        </w:tc>
        <w:tc>
          <w:tcPr/>
          <w:p>
            <w:pPr>
              <w:pStyle w:val="Compact"/>
            </w:pPr>
            <w:r>
              <w:t xml:space="preserve">ER</w:t>
            </w:r>
          </w:p>
        </w:tc>
      </w:tr>
      <w:tr>
        <w:tc>
          <w:tcPr/>
          <w:p>
            <w:pPr>
              <w:pStyle w:val="Compact"/>
            </w:pPr>
            <w:r>
              <w:t xml:space="preserve">(FluencyFluent) &gt; 0</w:t>
            </w:r>
          </w:p>
        </w:tc>
        <w:tc>
          <w:tcPr/>
          <w:p>
            <w:pPr>
              <w:pStyle w:val="Compact"/>
            </w:pPr>
            <w:r>
              <w:t xml:space="preserve">0.085</w:t>
            </w:r>
          </w:p>
        </w:tc>
        <w:tc>
          <w:tcPr/>
          <w:p>
            <w:pPr>
              <w:pStyle w:val="Compact"/>
            </w:pPr>
            <w:r>
              <w:t xml:space="preserve">[0.016, 0.156]</w:t>
            </w:r>
          </w:p>
        </w:tc>
        <w:tc>
          <w:tcPr/>
          <w:p>
            <w:pPr>
              <w:pStyle w:val="Compact"/>
            </w:pPr>
            <w:r>
              <w:t xml:space="preserve">49</w:t>
            </w:r>
          </w:p>
        </w:tc>
      </w:tr>
    </w:tbl>
    <w:bookmarkEnd w:id="68"/>
    <w:p>
      <w:pPr>
        <w:pStyle w:val="AfterWithoutNote"/>
      </w:pPr>
      <w:r>
        <w:t xml:space="preserve">For example, the fluency effect has a</w:t>
      </w:r>
      <w:r>
        <w:t xml:space="preserve"> </w:t>
      </w:r>
      <w:r>
        <w:rPr>
          <w:i/>
          <w:iCs/>
        </w:rPr>
        <w:t xml:space="preserve">pd</w:t>
      </w:r>
      <w:r>
        <w:t xml:space="preserve"> </w:t>
      </w:r>
      <w:r>
        <w:t xml:space="preserve">of .977, which indicates a high probability that the effect is positive rather than negative (akin to p &lt; .05). However,</w:t>
      </w:r>
      <w:r>
        <w:t xml:space="preserve"> </w:t>
      </w:r>
      <w:r>
        <w:rPr>
          <w:i/>
          <w:iCs/>
        </w:rPr>
        <w:t xml:space="preserve">pd</w:t>
      </w:r>
      <w:r>
        <w:t xml:space="preserve"> </w:t>
      </w:r>
      <w:r>
        <w:t xml:space="preserve">does not tell us the probability that the effect is</w:t>
      </w:r>
      <w:r>
        <w:t xml:space="preserve"> </w:t>
      </w:r>
      <w:r>
        <w:rPr>
          <w:i/>
          <w:iCs/>
        </w:rPr>
        <w:t xml:space="preserve">non-zero</w:t>
      </w:r>
      <w:r>
        <w:t xml:space="preserve">. To assess this, we can compare a model where the effect is greater than 0 to an alternative model where the effect is less than 0. The</w:t>
      </w:r>
      <w:r>
        <w:t xml:space="preserve"> </w:t>
      </w:r>
      <w:r>
        <w:rPr>
          <w:rStyle w:val="VerbatimChar"/>
        </w:rPr>
        <w:t xml:space="preserve">hypothesis()</w:t>
      </w:r>
      <w:r>
        <w:t xml:space="preserve"> </w:t>
      </w:r>
      <w:r>
        <w:t xml:space="preserve">function in</w:t>
      </w:r>
      <w:r>
        <w:t xml:space="preserve"> </w:t>
      </w:r>
      <w:r>
        <w:rPr>
          <w:rStyle w:val="VerbatimChar"/>
        </w:rPr>
        <w:t xml:space="preserve">brms</w:t>
      </w:r>
      <w:r>
        <w:t xml:space="preserve"> </w:t>
      </w:r>
      <w:r>
        <w:t xml:space="preserve">(see</w:t>
      </w:r>
      <w:r>
        <w:t xml:space="preserve"> </w:t>
      </w:r>
      <w:hyperlink w:anchor="lst-hypo">
        <w:r>
          <w:rPr>
            <w:rStyle w:val="Hyperlink"/>
          </w:rPr>
          <w:t xml:space="preserve">Listing 4</w:t>
        </w:r>
      </w:hyperlink>
      <w:r>
        <w:t xml:space="preserve">) allows us to perform this comparison. Running the code returns a column called</w:t>
      </w:r>
      <w:r>
        <w:t xml:space="preserve"> </w:t>
      </w:r>
      <w:r>
        <w:rPr>
          <w:rStyle w:val="VerbatimChar"/>
        </w:rPr>
        <w:t xml:space="preserve">ER</w:t>
      </w:r>
      <w:r>
        <w:t xml:space="preserve"> </w:t>
      </w:r>
      <w:r>
        <w:t xml:space="preserve">(</w:t>
      </w:r>
      <w:r>
        <w:rPr>
          <w:rStyle w:val="VerbatimChar"/>
        </w:rPr>
        <w:t xml:space="preserve">Evid.Ratio</w:t>
      </w:r>
      <w:r>
        <w:t xml:space="preserve">), which contains a numerical value that represents the Bayes factor for a directional hypothesis (</w:t>
      </w:r>
      <w:r>
        <w:rPr>
          <w:b/>
          <w:bCs/>
        </w:rPr>
        <w:t xml:space="preserve">?@tbl-hypothesis</w:t>
      </w:r>
      <w:r>
        <w:t xml:space="preserve">) The evidence ratio (ER) for the fluency effect is 49, providing very strong evidence that the effect is both non-zero and positive</w:t>
      </w:r>
      <w:r>
        <w:t xml:space="preserve"> </w:t>
      </w:r>
      <w:r>
        <w:t xml:space="preserve">(</w:t>
      </w:r>
      <w:hyperlink w:anchor="ref-jeffries1961">
        <w:r>
          <w:rPr>
            <w:rStyle w:val="Hyperlink"/>
          </w:rPr>
          <w:t xml:space="preserve">Jeffries, 1961</w:t>
        </w:r>
      </w:hyperlink>
      <w:r>
        <w:t xml:space="preserve">;</w:t>
      </w:r>
      <w:r>
        <w:t xml:space="preserve"> </w:t>
      </w:r>
      <w:hyperlink w:anchor="ref-kass1995">
        <w:r>
          <w:rPr>
            <w:rStyle w:val="Hyperlink"/>
          </w:rPr>
          <w:t xml:space="preserve">Kass &amp; Raftery, 1995</w:t>
        </w:r>
      </w:hyperlink>
      <w:r>
        <w:t xml:space="preserve">)</w:t>
      </w:r>
      <w:r>
        <w:t xml:space="preserve">.</w:t>
      </w:r>
    </w:p>
    <w:bookmarkEnd w:id="69"/>
    <w:bookmarkEnd w:id="70"/>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5</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1" w:name="lst-check1"/>
          <w:p>
            <w:pPr>
              <w:pStyle w:val="FigureWithoutNote"/>
              <w:jc w:val="center"/>
            </w:pPr>
            <w:pPr>
              <w:jc w:val="start"/>
              <w:spacing w:before="200"/>
              <w:pStyle w:val="ImageCaption"/>
            </w:pPr>
            <w:r>
              <w:t xml:space="preserve">Listing 5: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1"/>
        </w:tc>
      </w:tr>
    </w:tbl>
    <w:bookmarkStart w:id="75" w:name="fig-reg-assump"/>
    <w:p>
      <w:pPr>
        <w:pStyle w:val="FigureTitle"/>
      </w:pPr>
      <w:r>
        <w:t xml:space="preserve">Figure 3</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73" name="Picture"/>
            <a:graphic>
              <a:graphicData uri="http://schemas.openxmlformats.org/drawingml/2006/picture">
                <pic:pic>
                  <pic:nvPicPr>
                    <pic:cNvPr descr="ms_files/figure-docx/fig-reg-assump-1.png" id="74" name="Picture"/>
                    <pic:cNvPicPr>
                      <a:picLocks noChangeArrowheads="1" noChangeAspect="1"/>
                    </pic:cNvPicPr>
                  </pic:nvPicPr>
                  <pic:blipFill>
                    <a:blip r:embed="rId72"/>
                    <a:stretch>
                      <a:fillRect/>
                    </a:stretch>
                  </pic:blipFill>
                  <pic:spPr bwMode="auto">
                    <a:xfrm>
                      <a:off x="0" y="0"/>
                      <a:ext cx="5504749" cy="3400711"/>
                    </a:xfrm>
                    <a:prstGeom prst="rect">
                      <a:avLst/>
                    </a:prstGeom>
                    <a:noFill/>
                    <a:ln w="9525">
                      <a:noFill/>
                      <a:headEnd/>
                      <a:tailEnd/>
                    </a:ln>
                  </pic:spPr>
                </pic:pic>
              </a:graphicData>
            </a:graphic>
          </wp:inline>
        </w:drawing>
      </w:r>
    </w:p>
    <w:bookmarkEnd w:id="75"/>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9" w:name="fig-ppcheckall"/>
    <w:p>
      <w:pPr>
        <w:pStyle w:val="FigureTitle"/>
      </w:pPr>
      <w:r>
        <w:t xml:space="preserve">Figure 4</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77" name="Picture"/>
            <a:graphic>
              <a:graphicData uri="http://schemas.openxmlformats.org/drawingml/2006/picture">
                <pic:pic>
                  <pic:nvPicPr>
                    <pic:cNvPr descr="ms_files/figure-docx/fig-ppcheckall-1.png" id="78" name="Picture"/>
                    <pic:cNvPicPr>
                      <a:picLocks noChangeArrowheads="1" noChangeAspect="1"/>
                    </pic:cNvPicPr>
                  </pic:nvPicPr>
                  <pic:blipFill>
                    <a:blip r:embed="rId76"/>
                    <a:stretch>
                      <a:fillRect/>
                    </a:stretch>
                  </pic:blipFill>
                  <pic:spPr bwMode="auto">
                    <a:xfrm>
                      <a:off x="0" y="0"/>
                      <a:ext cx="5943600" cy="3672649"/>
                    </a:xfrm>
                    <a:prstGeom prst="rect">
                      <a:avLst/>
                    </a:prstGeom>
                    <a:noFill/>
                    <a:ln w="9525">
                      <a:noFill/>
                      <a:headEnd/>
                      <a:tailEnd/>
                    </a:ln>
                  </pic:spPr>
                </pic:pic>
              </a:graphicData>
            </a:graphic>
          </wp:inline>
        </w:drawing>
      </w:r>
    </w:p>
    <w:bookmarkEnd w:id="79"/>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6</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6</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0" w:name="lst-beta01"/>
          <w:p>
            <w:pPr>
              <w:jc w:val="center"/>
            </w:pPr>
            <w:pPr>
              <w:jc w:val="start"/>
              <w:spacing w:before="200"/>
              <w:pStyle w:val="ImageCaption"/>
            </w:pPr>
            <w:r>
              <w:t xml:space="preserve">Listing 6: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0"/>
        </w:tc>
      </w:tr>
    </w:tbl>
    <w:bookmarkStart w:id="88"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lst-betadis"/>
          <w:p>
            <w:pPr>
              <w:jc w:val="center"/>
            </w:pPr>
            <w:pPr>
              <w:jc w:val="start"/>
              <w:spacing w:before="200"/>
              <w:pStyle w:val="ImageCaption"/>
            </w:pPr>
            <w:r>
              <w:t xml:space="preserve">Listing 7: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1"/>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2" w:name="tbl-phi-beta-exp"/>
    <w:p>
      <w:pPr>
        <w:pStyle w:val="FigureTitle"/>
      </w:pPr>
      <w:r>
        <w:t xml:space="preserve">Table 4</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[3.313, 7.263]</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[0.855, 2.686]</w:t>
            </w:r>
          </w:p>
        </w:tc>
        <w:tc>
          <w:tcPr/>
          <w:p>
            <w:pPr>
              <w:pStyle w:val="Compact"/>
            </w:pPr>
            <w:r>
              <w:t xml:space="preserve">0.921</w:t>
            </w:r>
          </w:p>
        </w:tc>
      </w:tr>
    </w:tbl>
    <w:bookmarkEnd w:id="82"/>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3"/>
      </w:r>
    </w:p>
    <w:bookmarkStart w:id="87"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5" name="Picture"/>
            <a:graphic>
              <a:graphicData uri="http://schemas.openxmlformats.org/drawingml/2006/picture">
                <pic:pic>
                  <pic:nvPicPr>
                    <pic:cNvPr descr="ms_files/figure-docx/fig-plt-diff-1.png" id="86" name="Picture"/>
                    <pic:cNvPicPr>
                      <a:picLocks noChangeArrowheads="1" noChangeAspect="1"/>
                    </pic:cNvPicPr>
                  </pic:nvPicPr>
                  <pic:blipFill>
                    <a:blip r:embed="rId84"/>
                    <a:stretch>
                      <a:fillRect/>
                    </a:stretch>
                  </pic:blipFill>
                  <pic:spPr bwMode="auto">
                    <a:xfrm>
                      <a:off x="0" y="0"/>
                      <a:ext cx="5504749" cy="3400711"/>
                    </a:xfrm>
                    <a:prstGeom prst="rect">
                      <a:avLst/>
                    </a:prstGeom>
                    <a:noFill/>
                    <a:ln w="9525">
                      <a:noFill/>
                      <a:headEnd/>
                      <a:tailEnd/>
                    </a:ln>
                  </pic:spPr>
                </pic:pic>
              </a:graphicData>
            </a:graphic>
          </wp:inline>
        </w:drawing>
      </w:r>
    </w:p>
    <w:bookmarkEnd w:id="87"/>
    <w:bookmarkEnd w:id="88"/>
    <w:bookmarkStart w:id="98"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8</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5</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9" w:name="lst-me"/>
          <w:p>
            <w:pPr>
              <w:jc w:val="center"/>
            </w:pPr>
            <w:pPr>
              <w:jc w:val="start"/>
              <w:spacing w:before="200"/>
              <w:pStyle w:val="ImageCaption"/>
            </w:pPr>
            <w:r>
              <w:t xml:space="preserve">Listing 8: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9"/>
        </w:tc>
      </w:tr>
    </w:tbl>
    <w:tbl>
      <w:tblPr>
        <w:tblStyle w:val="Table"/>
        <w:tblW w:type="pct" w:w="5000"/>
        <w:tblLayout w:type="fixed"/>
        <w:tblLook w:firstRow="0" w:lastRow="0" w:firstColumn="0" w:lastColumn="0" w:noHBand="0" w:noVBand="0" w:val="0000"/>
      </w:tblPr>
      <w:tblGrid>
        <w:gridCol w:w="7920"/>
      </w:tblGrid>
      <w:tr>
        <w:tc>
          <w:tcPr/>
          <w:bookmarkStart w:id="90" w:name="lst-pred"/>
          <w:p>
            <w:pPr>
              <w:jc w:val="center"/>
            </w:pPr>
            <w:pPr>
              <w:jc w:val="start"/>
              <w:spacing w:before="200"/>
              <w:pStyle w:val="ImageCaption"/>
            </w:pPr>
            <w:r>
              <w:t xml:space="preserve">Listing 9: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0"/>
        </w:tc>
      </w:tr>
    </w:tbl>
    <w:bookmarkStart w:id="91" w:name="tbl-predict-prob"/>
    <w:p>
      <w:pPr>
        <w:pStyle w:val="FigureTitle"/>
      </w:pPr>
      <w:r>
        <w:t xml:space="preserve">Table 5</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[0.248, 0.35]</w:t>
            </w:r>
          </w:p>
        </w:tc>
      </w:tr>
      <w:tr>
        <w:tc>
          <w:tcPr/>
          <w:p>
            <w:pPr>
              <w:pStyle w:val="Compact"/>
            </w:pPr>
            <w:r>
              <w:t xml:space="preserve">Fluent</w:t>
            </w:r>
          </w:p>
        </w:tc>
        <w:tc>
          <w:tcPr/>
          <w:p>
            <w:pPr>
              <w:pStyle w:val="Compact"/>
            </w:pPr>
            <w:r>
              <w:t xml:space="preserve">0.353</w:t>
            </w:r>
          </w:p>
        </w:tc>
        <w:tc>
          <w:tcPr/>
          <w:p>
            <w:pPr>
              <w:pStyle w:val="Compact"/>
            </w:pPr>
            <w:r>
              <w:t xml:space="preserve">[0.299, 0.406]</w:t>
            </w:r>
          </w:p>
        </w:tc>
      </w:tr>
    </w:tbl>
    <w:bookmarkEnd w:id="91"/>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lst-plotbeta"/>
          <w:p>
            <w:pPr>
              <w:jc w:val="center"/>
            </w:pPr>
            <w:pPr>
              <w:jc w:val="start"/>
              <w:spacing w:before="200"/>
              <w:pStyle w:val="ImageCaption"/>
            </w:pPr>
            <w:r>
              <w:t xml:space="preserve">Listing 10: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2"/>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11</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osdraws"/>
          <w:p>
            <w:pPr>
              <w:jc w:val="center"/>
            </w:pPr>
            <w:pPr>
              <w:jc w:val="start"/>
              <w:spacing w:before="200"/>
              <w:pStyle w:val="ImageCaption"/>
            </w:pPr>
            <w:r>
              <w:t xml:space="preserve">Listing 11: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3"/>
        </w:tc>
      </w:tr>
    </w:tbl>
    <w:bookmarkStart w:id="97"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5" name="Picture"/>
            <a:graphic>
              <a:graphicData uri="http://schemas.openxmlformats.org/drawingml/2006/picture">
                <pic:pic>
                  <pic:nvPicPr>
                    <pic:cNvPr descr="ms_files/figure-docx/fig-draws-fluency-1.png" id="96" name="Picture"/>
                    <pic:cNvPicPr>
                      <a:picLocks noChangeArrowheads="1" noChangeAspect="1"/>
                    </pic:cNvPicPr>
                  </pic:nvPicPr>
                  <pic:blipFill>
                    <a:blip r:embed="rId94"/>
                    <a:stretch>
                      <a:fillRect/>
                    </a:stretch>
                  </pic:blipFill>
                  <pic:spPr bwMode="auto">
                    <a:xfrm>
                      <a:off x="0" y="0"/>
                      <a:ext cx="5504749" cy="3400711"/>
                    </a:xfrm>
                    <a:prstGeom prst="rect">
                      <a:avLst/>
                    </a:prstGeom>
                    <a:noFill/>
                    <a:ln w="9525">
                      <a:noFill/>
                      <a:headEnd/>
                      <a:tailEnd/>
                    </a:ln>
                  </pic:spPr>
                </pic:pic>
              </a:graphicData>
            </a:graphic>
          </wp:inline>
        </w:drawing>
      </w:r>
    </w:p>
    <w:bookmarkEnd w:id="97"/>
    <w:bookmarkEnd w:id="98"/>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12</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9" w:name="lst-avgcomp"/>
          <w:p>
            <w:pPr>
              <w:jc w:val="center"/>
            </w:pPr>
            <w:pPr>
              <w:jc w:val="start"/>
              <w:spacing w:before="200"/>
              <w:pStyle w:val="ImageCaption"/>
            </w:pPr>
            <w:r>
              <w:t xml:space="preserve">Listing 12: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9"/>
        </w:tc>
      </w:tr>
    </w:tbl>
    <w:bookmarkStart w:id="100" w:name="tbl-ame1"/>
    <w:p>
      <w:pPr>
        <w:pStyle w:val="FigureTitle"/>
      </w:pPr>
      <w:r>
        <w:t xml:space="preserve">Table 6</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0.055</w:t>
            </w:r>
          </w:p>
        </w:tc>
        <w:tc>
          <w:tcPr/>
          <w:p>
            <w:pPr>
              <w:pStyle w:val="Compact"/>
            </w:pPr>
            <w:r>
              <w:t xml:space="preserve">[-0.018, 0.127]</w:t>
            </w:r>
          </w:p>
        </w:tc>
      </w:tr>
    </w:tbl>
    <w:bookmarkEnd w:id="100"/>
    <w:p>
      <w:pPr>
        <w:pStyle w:val="AfterWithoutNote"/>
      </w:pPr>
      <w:hyperlink w:anchor="tbl-ame1">
        <w:r>
          <w:rPr>
            <w:rStyle w:val="Hyperlink"/>
          </w:rPr>
          <w:t xml:space="preserve">Table 6</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To formally assess evidence in favor of the null hypothesis (i.e., that the effect is exactly zero), we can use the</w:t>
      </w:r>
      <w:r>
        <w:t xml:space="preserve"> </w:t>
      </w:r>
      <w:r>
        <w:rPr>
          <w:rStyle w:val="VerbatimChar"/>
        </w:rPr>
        <w:t xml:space="preserve">hypothesis()</w:t>
      </w:r>
      <w:r>
        <w:t xml:space="preserve"> </w:t>
      </w:r>
      <w:r>
        <w:t xml:space="preserve">function from the</w:t>
      </w:r>
      <w:r>
        <w:t xml:space="preserve"> </w:t>
      </w:r>
      <w:r>
        <w:rPr>
          <w:rStyle w:val="VerbatimChar"/>
        </w:rPr>
        <w:t xml:space="preserve">brms</w:t>
      </w:r>
      <w:r>
        <w:t xml:space="preserve"> </w:t>
      </w:r>
      <w:r>
        <w:t xml:space="preserve">package to compute an evidence ratio (ER), which is a Bayes factor for directional or point hypotheses.</w:t>
      </w:r>
      <w:r>
        <w:rPr>
          <w:rStyle w:val="FootnoteReference"/>
        </w:rPr>
        <w:footnoteReference w:id="101"/>
      </w:r>
      <w:r>
        <w:t xml:space="preserve">However, it is important to note that this procedure requires weakly informative or informative priors; the default priors in</w:t>
      </w:r>
      <w:r>
        <w:t xml:space="preserve"> </w:t>
      </w:r>
      <w:r>
        <w:rPr>
          <w:rStyle w:val="VerbatimChar"/>
        </w:rPr>
        <w:t xml:space="preserve">brms</w:t>
      </w:r>
      <w:r>
        <w:t xml:space="preserve"> </w:t>
      </w:r>
      <w:r>
        <w:t xml:space="preserve">are too vague and therefore cannot be used to accurately compute the ER in favor of a point null hypothesis.</w:t>
      </w:r>
    </w:p>
    <w:bookmarkStart w:id="102" w:name="tbl-or"/>
    <w:p>
      <w:pPr>
        <w:pStyle w:val="FigureTitle"/>
      </w:pPr>
      <w:r>
        <w:t xml:space="preserve">Table 7</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w:t>
            </w:r>
          </w:p>
        </w:tc>
        <w:tc>
          <w:tcPr/>
          <w:p>
            <w:pPr>
              <w:pStyle w:val="Compact"/>
            </w:pPr>
            <w:r>
              <w:t xml:space="preserve">[0.924, 1.788]</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13: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8</w:t>
        </w:r>
      </w:hyperlink>
      <w:r>
        <w:t xml:space="preserve">, there is little evidence for an effect of Fluency – the 95% Cr.I includes zero, suggesting substantial uncertainty about the direction and magnitude of the effect.</w:t>
      </w:r>
    </w:p>
    <w:bookmarkStart w:id="110" w:name="tbl-marg-mu-brms"/>
    <w:p>
      <w:pPr>
        <w:pStyle w:val="FigureTitle"/>
      </w:pPr>
      <w:r>
        <w:t xml:space="preserve">Table 8</w:t>
      </w:r>
    </w:p>
    <w:p>
      <w:pPr>
        <w:pStyle w:val="Caption"/>
      </w:pPr>
      <w:r>
        <w:t xml:space="preserve">Probablity fluency difference (</w:t>
      </w:r>
      <m:oMath>
        <m:r>
          <m:t>μ</m:t>
        </m:r>
      </m:oMath>
      <w:r>
        <w:t xml:space="preserv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0.12]</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9</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meaningful differences in precision.</w:t>
      </w:r>
    </w:p>
    <w:bookmarkStart w:id="111" w:name="tbl-marg-phi-brms"/>
    <w:p>
      <w:pPr>
        <w:pStyle w:val="FigureTitle"/>
      </w:pPr>
      <w:r>
        <w:t xml:space="preserve">Table 9</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2.69</w:t>
            </w:r>
          </w:p>
        </w:tc>
        <w:tc>
          <w:tcPr/>
          <w:p>
            <w:pPr>
              <w:pStyle w:val="Compact"/>
            </w:pPr>
            <w:r>
              <w:t xml:space="preserve">[-1.03, 6.599]</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14</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14: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15: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16: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17: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18</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18: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11</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[-0.018, 0.139]</w:t>
            </w:r>
          </w:p>
        </w:tc>
      </w:tr>
    </w:tbl>
    <w:bookmarkEnd w:id="135"/>
    <w:p>
      <w:pPr>
        <w:pStyle w:val="AfterWithoutNote"/>
      </w:pPr>
      <w:r>
        <w:t xml:space="preserve">In</w:t>
      </w:r>
      <w:r>
        <w:t xml:space="preserve"> </w:t>
      </w:r>
      <w:hyperlink w:anchor="tbl-ordbeta">
        <w:r>
          <w:rPr>
            <w:rStyle w:val="Hyperlink"/>
          </w:rPr>
          <w:t xml:space="preserve">Table 11</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[-3.57,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6"/>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5" w:name="references"/>
    <w:p>
      <w:pPr>
        <w:pStyle w:val="Heading1"/>
      </w:pPr>
      <w:r>
        <w:t xml:space="preserve">References</w:t>
      </w:r>
    </w:p>
    <w:bookmarkStart w:id="254"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jeffries1961"/>
    <w:p>
      <w:pPr>
        <w:pStyle w:val="Bibliography"/>
      </w:pPr>
      <w:r>
        <w:t xml:space="preserve">Jeffries, H. (1961).</w:t>
      </w:r>
      <w:r>
        <w:t xml:space="preserve"> </w:t>
      </w:r>
      <w:r>
        <w:rPr>
          <w:i/>
          <w:iCs/>
        </w:rPr>
        <w:t xml:space="preserve">Theory of probability</w:t>
      </w:r>
      <w:r>
        <w:t xml:space="preserve">. Clarendon Press, Oxford.</w:t>
      </w:r>
    </w:p>
    <w:bookmarkEnd w:id="191"/>
    <w:bookmarkStart w:id="192"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2"/>
    <w:bookmarkStart w:id="194" w:name="ref-kass1995"/>
    <w:p>
      <w:pPr>
        <w:pStyle w:val="Bibliography"/>
      </w:pPr>
      <w:r>
        <w:t xml:space="preserve">Kass, R. E., &amp; Raftery, A. E. (1995). Bayes Factors.</w:t>
      </w:r>
      <w:r>
        <w:t xml:space="preserve"> </w:t>
      </w:r>
      <w:r>
        <w:rPr>
          <w:i/>
          <w:iCs/>
        </w:rPr>
        <w:t xml:space="preserve">Journal of the American Statistical Association</w:t>
      </w:r>
      <w:r>
        <w:t xml:space="preserve">,</w:t>
      </w:r>
      <w:r>
        <w:t xml:space="preserve"> </w:t>
      </w:r>
      <w:r>
        <w:rPr>
          <w:i/>
          <w:iCs/>
        </w:rPr>
        <w:t xml:space="preserve">90</w:t>
      </w:r>
      <w:r>
        <w:t xml:space="preserve">(430), 773–795.</w:t>
      </w:r>
      <w:r>
        <w:t xml:space="preserve"> </w:t>
      </w:r>
      <w:hyperlink r:id="rId193">
        <w:r>
          <w:rPr>
            <w:rStyle w:val="Hyperlink"/>
          </w:rPr>
          <w:t xml:space="preserve">https://doi.org/10.1080/01621459.1995.10476572</w:t>
        </w:r>
      </w:hyperlink>
    </w:p>
    <w:bookmarkEnd w:id="194"/>
    <w:bookmarkStart w:id="19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5">
        <w:r>
          <w:rPr>
            <w:rStyle w:val="Hyperlink"/>
          </w:rPr>
          <w:t xml:space="preserve">https://doi.org/10.1016/j.wocn.2016.08.006</w:t>
        </w:r>
      </w:hyperlink>
    </w:p>
    <w:bookmarkEnd w:id="196"/>
    <w:bookmarkStart w:id="19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7">
        <w:r>
          <w:rPr>
            <w:rStyle w:val="Hyperlink"/>
          </w:rPr>
          <w:t xml:space="preserve">https://doi.org/10.1111/j.1467-9280.2008.02127.x</w:t>
        </w:r>
      </w:hyperlink>
    </w:p>
    <w:bookmarkEnd w:id="198"/>
    <w:bookmarkStart w:id="19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9"/>
    <w:bookmarkStart w:id="20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0">
        <w:r>
          <w:rPr>
            <w:rStyle w:val="Hyperlink"/>
          </w:rPr>
          <w:t xml:space="preserve">https://doi.org/10.1017/pan.2022.20</w:t>
        </w:r>
      </w:hyperlink>
    </w:p>
    <w:bookmarkEnd w:id="201"/>
    <w:bookmarkStart w:id="20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2">
        <w:r>
          <w:rPr>
            <w:rStyle w:val="Hyperlink"/>
          </w:rPr>
          <w:t xml:space="preserve">https://CRAN.R-project.org/package=ordbetareg</w:t>
        </w:r>
      </w:hyperlink>
    </w:p>
    <w:bookmarkEnd w:id="203"/>
    <w:bookmarkStart w:id="20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4">
        <w:r>
          <w:rPr>
            <w:rStyle w:val="Hyperlink"/>
          </w:rPr>
          <w:t xml:space="preserve">https://doi.org/10.32614/CRAN.package.emmeans</w:t>
        </w:r>
      </w:hyperlink>
    </w:p>
    <w:bookmarkEnd w:id="205"/>
    <w:bookmarkStart w:id="20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6">
        <w:r>
          <w:rPr>
            <w:rStyle w:val="Hyperlink"/>
          </w:rPr>
          <w:t xml:space="preserve">https://doi.org/10.32614/rj-2015-019</w:t>
        </w:r>
      </w:hyperlink>
    </w:p>
    <w:bookmarkEnd w:id="207"/>
    <w:bookmarkStart w:id="20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8">
        <w:r>
          <w:rPr>
            <w:rStyle w:val="Hyperlink"/>
          </w:rPr>
          <w:t xml:space="preserve">https://easystats.github.io/easystats/</w:t>
        </w:r>
      </w:hyperlink>
    </w:p>
    <w:bookmarkEnd w:id="209"/>
    <w:bookmarkStart w:id="21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0">
        <w:r>
          <w:rPr>
            <w:rStyle w:val="Hyperlink"/>
          </w:rPr>
          <w:t xml:space="preserve">https://doi.org/10.3389/fpsyg.2019.02767</w:t>
        </w:r>
      </w:hyperlink>
    </w:p>
    <w:bookmarkEnd w:id="211"/>
    <w:bookmarkStart w:id="21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2">
        <w:r>
          <w:rPr>
            <w:rStyle w:val="Hyperlink"/>
          </w:rPr>
          <w:t xml:space="preserve">https://doi.org/10.21105/joss.01541</w:t>
        </w:r>
      </w:hyperlink>
    </w:p>
    <w:bookmarkEnd w:id="213"/>
    <w:bookmarkStart w:id="21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4">
        <w:r>
          <w:rPr>
            <w:rStyle w:val="Hyperlink"/>
          </w:rPr>
          <w:t xml:space="preserve">https://doi.org/10.1177/0013164416669201</w:t>
        </w:r>
      </w:hyperlink>
    </w:p>
    <w:bookmarkEnd w:id="215"/>
    <w:bookmarkStart w:id="21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6">
        <w:r>
          <w:rPr>
            <w:rStyle w:val="Hyperlink"/>
          </w:rPr>
          <w:t xml:space="preserve">https://doi.org/10.1098/rsos.231713</w:t>
        </w:r>
      </w:hyperlink>
    </w:p>
    <w:bookmarkEnd w:id="217"/>
    <w:bookmarkStart w:id="21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8">
        <w:r>
          <w:rPr>
            <w:rStyle w:val="Hyperlink"/>
          </w:rPr>
          <w:t xml:space="preserve">https://doi.org/10.1201/9780429029608</w:t>
        </w:r>
      </w:hyperlink>
    </w:p>
    <w:bookmarkEnd w:id="219"/>
    <w:bookmarkStart w:id="22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20">
        <w:r>
          <w:rPr>
            <w:rStyle w:val="Hyperlink"/>
          </w:rPr>
          <w:t xml:space="preserve">https://doi.org/10.2307/2344614</w:t>
        </w:r>
      </w:hyperlink>
    </w:p>
    <w:bookmarkEnd w:id="221"/>
    <w:bookmarkStart w:id="22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22">
        <w:r>
          <w:rPr>
            <w:rStyle w:val="Hyperlink"/>
          </w:rPr>
          <w:t xml:space="preserve">https://www.sciencedirect.com/science/article/pii/S0048969723041505</w:t>
        </w:r>
      </w:hyperlink>
    </w:p>
    <w:bookmarkEnd w:id="223"/>
    <w:bookmarkStart w:id="22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4">
        <w:r>
          <w:rPr>
            <w:rStyle w:val="Hyperlink"/>
          </w:rPr>
          <w:t xml:space="preserve">https://doi.org/10.1093/oxfordjournals.pan.a004873</w:t>
        </w:r>
      </w:hyperlink>
    </w:p>
    <w:bookmarkEnd w:id="225"/>
    <w:bookmarkStart w:id="22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6">
        <w:r>
          <w:rPr>
            <w:rStyle w:val="Hyperlink"/>
          </w:rPr>
          <w:t xml:space="preserve">https://www.R-project.org/</w:t>
        </w:r>
      </w:hyperlink>
    </w:p>
    <w:bookmarkEnd w:id="227"/>
    <w:bookmarkStart w:id="22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8">
        <w:r>
          <w:rPr>
            <w:rStyle w:val="Hyperlink"/>
          </w:rPr>
          <w:t xml:space="preserve">https://docs.ropensci.org/rix/</w:t>
        </w:r>
      </w:hyperlink>
    </w:p>
    <w:bookmarkEnd w:id="229"/>
    <w:bookmarkStart w:id="23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30">
        <w:r>
          <w:rPr>
            <w:rStyle w:val="Hyperlink"/>
          </w:rPr>
          <w:t xml:space="preserve">https://doi.org/10.1177/08902070241239834</w:t>
        </w:r>
      </w:hyperlink>
    </w:p>
    <w:bookmarkEnd w:id="231"/>
    <w:bookmarkStart w:id="23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32">
        <w:r>
          <w:rPr>
            <w:rStyle w:val="Hyperlink"/>
          </w:rPr>
          <w:t xml:space="preserve">https://doi.org/10.31234/osf.io/4rznt</w:t>
        </w:r>
      </w:hyperlink>
    </w:p>
    <w:bookmarkEnd w:id="233"/>
    <w:bookmarkStart w:id="23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4">
        <w:r>
          <w:rPr>
            <w:rStyle w:val="Hyperlink"/>
          </w:rPr>
          <w:t xml:space="preserve">https://doi.org/10.1001/jamanetworkopen.2023.53401</w:t>
        </w:r>
      </w:hyperlink>
    </w:p>
    <w:bookmarkEnd w:id="235"/>
    <w:bookmarkStart w:id="23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6">
        <w:r>
          <w:rPr>
            <w:rStyle w:val="Hyperlink"/>
          </w:rPr>
          <w:t xml:space="preserve">https://doi.org/10.1037/1082-989x.11.1.54</w:t>
        </w:r>
      </w:hyperlink>
    </w:p>
    <w:bookmarkEnd w:id="237"/>
    <w:bookmarkStart w:id="23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8">
        <w:r>
          <w:rPr>
            <w:rStyle w:val="Hyperlink"/>
          </w:rPr>
          <w:t xml:space="preserve">https://mc-stan.org</w:t>
        </w:r>
      </w:hyperlink>
    </w:p>
    <w:bookmarkEnd w:id="239"/>
    <w:bookmarkStart w:id="24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40">
        <w:r>
          <w:rPr>
            <w:rStyle w:val="Hyperlink"/>
          </w:rPr>
          <w:t xml:space="preserve">https://doi.org/10.1007/s11409-017-9175-0</w:t>
        </w:r>
      </w:hyperlink>
    </w:p>
    <w:bookmarkEnd w:id="241"/>
    <w:bookmarkStart w:id="24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42">
        <w:r>
          <w:rPr>
            <w:rStyle w:val="Hyperlink"/>
          </w:rPr>
          <w:t xml:space="preserve">https://vuorre.com/posts/2019-02-18-analyze-analog-scale-ratings-with-zero-one-inflated-beta-models</w:t>
        </w:r>
      </w:hyperlink>
    </w:p>
    <w:bookmarkEnd w:id="243"/>
    <w:bookmarkStart w:id="24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4">
        <w:r>
          <w:rPr>
            <w:rStyle w:val="Hyperlink"/>
          </w:rPr>
          <w:t xml:space="preserve">https://r4ds.hadley.nz/</w:t>
        </w:r>
      </w:hyperlink>
    </w:p>
    <w:bookmarkEnd w:id="245"/>
    <w:bookmarkStart w:id="24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6">
        <w:r>
          <w:rPr>
            <w:rStyle w:val="Hyperlink"/>
          </w:rPr>
          <w:t xml:space="preserve">https://doi.org/10.1002/acp.3724</w:t>
        </w:r>
      </w:hyperlink>
    </w:p>
    <w:bookmarkEnd w:id="247"/>
    <w:bookmarkStart w:id="24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8">
        <w:r>
          <w:rPr>
            <w:rStyle w:val="Hyperlink"/>
          </w:rPr>
          <w:t xml:space="preserve">https://doi.org/10.1111/gcb.17422</w:t>
        </w:r>
      </w:hyperlink>
    </w:p>
    <w:bookmarkEnd w:id="249"/>
    <w:bookmarkStart w:id="25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50">
        <w:r>
          <w:rPr>
            <w:rStyle w:val="Hyperlink"/>
          </w:rPr>
          <w:t xml:space="preserve">https://doi.org/10.1037/mac0000003</w:t>
        </w:r>
      </w:hyperlink>
    </w:p>
    <w:bookmarkEnd w:id="251"/>
    <w:bookmarkStart w:id="253"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52">
        <w:r>
          <w:rPr>
            <w:rStyle w:val="Hyperlink"/>
          </w:rPr>
          <w:t xml:space="preserve">https://stats.andrewheiss.com/compassionate-clam/manuscript/output/manuscript.html</w:t>
        </w:r>
      </w:hyperlink>
    </w:p>
    <w:bookmarkEnd w:id="253"/>
    <w:bookmarkEnd w:id="254"/>
    <w:sectPr>
      <w:lnNumType w:countBy="1" w:restart="continuous"/>
    </w:sectPr>
    <w:bookmarkEnd w:id="255"/>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3">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1">
    <w:p>
      <w:pPr>
        <w:pStyle w:val="FootnoteText"/>
      </w:pPr>
      <w:r>
        <w:rPr>
          <w:rStyle w:val="FootnoteReference"/>
        </w:rPr>
        <w:footnoteRef/>
      </w:r>
      <w:r>
        <w:t xml:space="preserve"> </w:t>
      </w:r>
      <w:r>
        <w:rPr>
          <w:rStyle w:val="VerbatimChar"/>
        </w:rPr>
        <w:t xml:space="preserve">bayestestr</w:t>
      </w:r>
      <w:r>
        <w:t xml:space="preserve"> </w:t>
      </w:r>
      <w:r>
        <w:t xml:space="preserve">also has functions that will allow users to compute Bayes Factors.</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4" Target="media/rId94.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138" Target="media/rId138.png" /><Relationship Type="http://schemas.openxmlformats.org/officeDocument/2006/relationships/image" Id="rId72" Target="media/rId72.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202" Target="https://CRAN.R-project.org/package=ordbetareg" TargetMode="External" /><Relationship Type="http://schemas.openxmlformats.org/officeDocument/2006/relationships/hyperlink" Id="rId228" Target="https://docs.ropensci.org/rix/" TargetMode="External" /><Relationship Type="http://schemas.openxmlformats.org/officeDocument/2006/relationships/hyperlink" Id="rId234" Target="https://doi.org/10.1001/jamanetworkopen.2023.53401" TargetMode="External" /><Relationship Type="http://schemas.openxmlformats.org/officeDocument/2006/relationships/hyperlink" Id="rId246"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40" Target="https://doi.org/10.1007/s11409-017-9175-0" TargetMode="External" /><Relationship Type="http://schemas.openxmlformats.org/officeDocument/2006/relationships/hyperlink" Id="rId195" Target="https://doi.org/10.1016/j.wocn.2016.08.006" TargetMode="External" /><Relationship Type="http://schemas.openxmlformats.org/officeDocument/2006/relationships/hyperlink" Id="rId200" Target="https://doi.org/10.1017/pan.2022.20" TargetMode="External" /><Relationship Type="http://schemas.openxmlformats.org/officeDocument/2006/relationships/hyperlink" Id="rId236" Target="https://doi.org/10.1037/1082-989x.11.1.54" TargetMode="External" /><Relationship Type="http://schemas.openxmlformats.org/officeDocument/2006/relationships/hyperlink" Id="rId250"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93" Target="https://doi.org/10.1080/01621459.1995.10476572" TargetMode="External" /><Relationship Type="http://schemas.openxmlformats.org/officeDocument/2006/relationships/hyperlink" Id="rId179" Target="https://doi.org/10.1080/0266476042000214501" TargetMode="External" /><Relationship Type="http://schemas.openxmlformats.org/officeDocument/2006/relationships/hyperlink" Id="rId224" Target="https://doi.org/10.1093/oxfordjournals.pan.a004873" TargetMode="External" /><Relationship Type="http://schemas.openxmlformats.org/officeDocument/2006/relationships/hyperlink" Id="rId216" Target="https://doi.org/10.1098/rsos.231713" TargetMode="External" /><Relationship Type="http://schemas.openxmlformats.org/officeDocument/2006/relationships/hyperlink" Id="rId248" Target="https://doi.org/10.1111/gcb.17422" TargetMode="External" /><Relationship Type="http://schemas.openxmlformats.org/officeDocument/2006/relationships/hyperlink" Id="rId197"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4" Target="https://doi.org/10.1177/0013164416669201" TargetMode="External" /><Relationship Type="http://schemas.openxmlformats.org/officeDocument/2006/relationships/hyperlink" Id="rId230"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8"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12" Target="https://doi.org/10.21105/joss.01541" TargetMode="External" /><Relationship Type="http://schemas.openxmlformats.org/officeDocument/2006/relationships/hyperlink" Id="rId220"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32" Target="https://doi.org/10.31234/osf.io/4rznt" TargetMode="External" /><Relationship Type="http://schemas.openxmlformats.org/officeDocument/2006/relationships/hyperlink" Id="rId204"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6" Target="https://doi.org/10.32614/rj-2015-019" TargetMode="External" /><Relationship Type="http://schemas.openxmlformats.org/officeDocument/2006/relationships/hyperlink" Id="rId210"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8"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8"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4"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52" Target="https://stats.andrewheiss.com/compassionate-clam/manuscript/output/manuscript.html" TargetMode="External" /><Relationship Type="http://schemas.openxmlformats.org/officeDocument/2006/relationships/hyperlink" Id="rId242" Target="https://vuorre.com/posts/2019-02-18-analyze-analog-scale-ratings-with-zero-one-inflated-beta-models" TargetMode="External" /><Relationship Type="http://schemas.openxmlformats.org/officeDocument/2006/relationships/hyperlink" Id="rId226" Target="https://www.R-project.org/" TargetMode="External" /><Relationship Type="http://schemas.openxmlformats.org/officeDocument/2006/relationships/hyperlink" Id="rId256" Target="https://www.routledge.com/Bayes-Rules-An-Introduction-to-Applied-Bayesian-Modeling/Johnson-Ott-Dogucu/p/book/9780367255398" TargetMode="External" /><Relationship Type="http://schemas.openxmlformats.org/officeDocument/2006/relationships/hyperlink" Id="rId22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10388</vt:lpwstr>
  </property>
  <property fmtid="{D5CDD505-2E9C-101B-9397-08002B2CF9AE}" pid="63" name="zerocitations">
    <vt:lpwstr>False</vt:lpwstr>
  </property>
</Properties>
</file>