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9.png" ContentType="image/png"/>
  <Override PartName="/word/media/rId45.png" ContentType="image/png"/>
  <Override PartName="/word/media/rId64.png" ContentType="image/png"/>
  <Override PartName="/word/media/rId136.png" ContentType="image/png"/>
  <Override PartName="/word/media/rId71.png" ContentType="image/png"/>
  <Override PartName="/word/media/rId86.png" ContentType="image/png"/>
  <Override PartName="/word/media/rId96.png" ContentType="image/png"/>
  <Override PartName="/word/media/rId101.png" ContentType="image/png"/>
  <Override PartName="/word/media/rId75.png" ContentType="image/png"/>
  <Override PartName="/word/media/rId132.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Psychological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Chelsea M. Parlett Pelleriti</w:t>
      </w:r>
      <w:r>
        <w:rPr>
          <w:vertAlign w:val="superscript"/>
        </w:rPr>
        <w:t xml:space="preserve">3</w:t>
      </w:r>
      <w:r>
        <w:t xml:space="preserve">, and Matti Vuorre</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School</w:t>
      </w:r>
    </w:p>
    <w:p>
      <w:pPr>
        <w:pStyle w:val="Author"/>
      </w:pPr>
      <w:r>
        <w:rPr>
          <w:vertAlign w:val="superscript"/>
        </w:rPr>
        <w:t xml:space="preserve">4</w:t>
      </w:r>
      <w:r>
        <w:t xml:space="preserve">Tilburg University</w:t>
      </w:r>
    </w:p>
    <w:p>
      <w:pPr>
        <w:pStyle w:val="BodyText"/>
      </w:pPr>
      <w:r>
        <w:t xml:space="preserve"> </w:t>
      </w:r>
    </w:p>
    <w:p>
      <w:pPr>
        <w:pStyle w:val="BodyText"/>
      </w:pPr>
      <w:r>
        <w:t xml:space="preserve"> </w:t>
      </w:r>
    </w:p>
    <w:bookmarkEnd w:id="20"/>
    <w:bookmarkStart w:id="39"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https://orcid.org/0000-0001-6655-4119</w:t>
        </w:r>
      </w:hyperlink>
    </w:p>
    <w:p>
      <w:pPr>
        <w:pStyle w:val="BodyText"/>
      </w:pPr>
      <w:r>
        <w:t xml:space="preserve">Chelsea M. Parlett Pelleriti</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https://orcid.org/0000-0001-9301-1398</w:t>
        </w:r>
      </w:hyperlink>
    </w:p>
    <w:p>
      <w:pPr>
        <w:pStyle w:val="BodyText"/>
      </w:pPr>
      <w:r>
        <w:t xml:space="preserve">Matti Vuorre</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https://orcid.org/0000-0001-5052-066X</w:t>
        </w:r>
      </w:hyperlink>
    </w:p>
    <w:p>
      <w:pPr>
        <w:pStyle w:val="BodyText"/>
      </w:pPr>
      <w:r>
        <w:t xml:space="preserve">No preregistration for this paper. Data, code, and materials for this manusscript can be found at. The authors have no conflicts of interest to disclose.</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and formal analysis. </w:t>
      </w:r>
      <w:r>
        <w:rPr>
          <w:i/>
          <w:iCs/>
        </w:rPr>
        <w:t xml:space="preserve">Robert Kubinec</w:t>
      </w:r>
      <w:r>
        <w:rPr>
          <w:b/>
          <w:bCs/>
        </w:rPr>
        <w:t xml:space="preserve">: </w:t>
      </w:r>
      <w:r>
        <w:t xml:space="preserve">writing – original draft, writing – review &amp; editing, and formal analysis. </w:t>
      </w:r>
      <w:r>
        <w:rPr>
          <w:i/>
          <w:iCs/>
        </w:rPr>
        <w:t xml:space="preserve">Chelsea M. Parlett Pelleriti</w:t>
      </w:r>
      <w:r>
        <w:rPr>
          <w:b/>
          <w:bCs/>
        </w:rPr>
        <w:t xml:space="preserve">: </w:t>
      </w:r>
      <w:r>
        <w:t xml:space="preserve">writing – original draft, writing – review &amp; editing, and formal analysis. </w:t>
      </w:r>
      <w:r>
        <w:rPr>
          <w:i/>
          <w:iCs/>
        </w:rPr>
        <w:t xml:space="preserve">Matti Vuorre</w:t>
      </w:r>
      <w:r>
        <w:rPr>
          <w:b/>
          <w:bCs/>
        </w:rPr>
        <w:t xml:space="preserve">: </w:t>
      </w:r>
      <w:r>
        <w:t xml:space="preserve">writing – original draft, writing – review &amp; editing, and formal analysis</w:t>
      </w:r>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8">
        <w:r>
          <w:rPr>
            <w:rStyle w:val="Hyperlink"/>
          </w:rPr>
          <w:t xml:space="preserve">drjasongeller@gmail.com</w:t>
        </w:r>
      </w:hyperlink>
    </w:p>
    <w:p>
      <w:r>
        <w:br w:type="page"/>
      </w:r>
    </w:p>
    <w:bookmarkEnd w:id="39"/>
    <w:bookmarkStart w:id="40" w:name="abstract"/>
    <w:p>
      <w:pPr>
        <w:pStyle w:val="Heading1"/>
      </w:pPr>
      <w:r>
        <w:t xml:space="preserve">Abstract</w:t>
      </w:r>
    </w:p>
    <w:p>
      <w:pPr>
        <w:pStyle w:val="AbstractFirstParagraph"/>
      </w:pPr>
      <w:r>
        <w:t xml:space="preserve">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w:t>
      </w:r>
      <w:r>
        <w:t xml:space="preserve"> </w:t>
      </w:r>
      <w:r>
        <w:rPr>
          <w:rStyle w:val="VerbatimChar"/>
        </w:rPr>
        <w:t xml:space="preserve">brms</w:t>
      </w:r>
      <w:r>
        <w:t xml:space="preserve"> </w:t>
      </w:r>
      <w:r>
        <w:t xml:space="preserve">and how to interpret results using the</w:t>
      </w:r>
      <w:r>
        <w:t xml:space="preserve"> </w:t>
      </w:r>
      <w:r>
        <w:rPr>
          <w:rStyle w:val="VerbatimChar"/>
        </w:rPr>
        <w:t xml:space="preserve">marginaleffects</w:t>
      </w:r>
      <w:r>
        <w:t xml:space="preserve"> </w:t>
      </w:r>
      <w:r>
        <w:t xml:space="preserve">package. We also discuss model extensions, including zero-inflated, zero- and one-inflated, and ordered beta models. To promote wider adoption of these methods, we provide detailed code and materials at https://github.com/jgeller112/beta_regression_tutorial.</w:t>
      </w:r>
    </w:p>
    <w:p>
      <w:pPr>
        <w:pStyle w:val="BodyText"/>
      </w:pPr>
      <w:r>
        <w:rPr>
          <w:i/>
          <w:iCs/>
        </w:rPr>
        <w:t xml:space="preserve">Keywords</w:t>
      </w:r>
      <w:r>
        <w:t xml:space="preserve">: beta regression, beta distribution, R, tutorial, psychology, learning and memory</w:t>
      </w:r>
    </w:p>
    <w:p>
      <w:pPr>
        <w:pStyle w:val="BodyText"/>
      </w:pPr>
      <w:r>
        <w:rPr>
          <w:i/>
          <w:iCs/>
        </w:rPr>
        <w:t xml:space="preserve">Word Count</w:t>
      </w:r>
      <w:r>
        <w:t xml:space="preserve">: 9281</w:t>
      </w:r>
    </w:p>
    <w:p>
      <w:r>
        <w:br w:type="page"/>
      </w:r>
    </w:p>
    <w:bookmarkEnd w:id="40"/>
    <w:bookmarkStart w:id="56" w:name="firstheader"/>
    <w:p>
      <w:pPr>
        <w:pStyle w:val="Heading1"/>
      </w:pPr>
      <w:r>
        <w:t xml:space="preserve">A Beta Way: A Tutorial For Using Beta Regression in Psychological Research</w:t>
      </w:r>
    </w:p>
    <w:p>
      <w:pPr>
        <w:pStyle w:val="FirstParagraph"/>
      </w:pPr>
      <w:r>
        <w:t xml:space="preserve">In psychological research, it is common to measure performance, attitudes, or choices using outcomes expressed as proportions or percentages. For instance, in educational and cognitive research, one popular way to assess learning is by looking at the proportion of correct responses on a test. To illustrate, consider a memory experiment where participants read a short passage on a specific topic. After a brief distractor task, they complete a final memory test consisting of 10 short-answer questions, each assigned a different point value (e.g., question 1 might be worth 4 points, while question 2 might be worth 1 point). The primary outcome could be the proportion of points earned on each question relative to the total possible points for each question.</w:t>
      </w:r>
    </w:p>
    <w:p>
      <w:pPr>
        <w:pStyle w:val="BodyText"/>
      </w:pPr>
      <w:r>
        <w:t xml:space="preserve">A key question arises: how should proportional data like this be analyzed? In psychology, such outcomes are often analyzed using models from the general linear model (GLM) or generalized linear model (GLiM) frameworks. General linear models — including t-tests, ANOVAs, and linear regression — assume the outcome is normally distributed, unbounded, and exhibits constant variance. However, these assumptions are frequently violated when working with proportional data, which are bounded between 0 and 1 and tend to show non-constant variance, especially near the boundaries</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can lead to biased estimates and invalid inferences, making general linear models an unsuitable choice for analyzing proportions.</w:t>
      </w:r>
    </w:p>
    <w:p>
      <w:pPr>
        <w:pStyle w:val="BodyText"/>
      </w:pPr>
      <w:r>
        <w:t xml:space="preserve">Another option are GLiMs, which extend the linear model framework to accommodate non-normal outcome distributions and different link functions. For example, binomial or Bernoulli models with a logit link (commonly referred to as logistic regression) are well-suited for binary outcomes or counts of successes out of a fixed number of trials. However, these models may still fall short when proportions are treated as continuous outcomes or when data exhibit overdispersion or cluster near 0 or 1.</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GLiM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43"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vibrant community of package developers, running analyses such as Beta regression has become increasingly accessible. Yet, adoption of these methods—especially in psychology—remains limited. One reason may be the lack of resources tailored to the needs of psychologists conducting applied research. Although recent years have seen a surge of interest in Beta regression</w:t>
      </w:r>
      <w:r>
        <w:t xml:space="preserve"> </w:t>
      </w:r>
      <w:r>
        <w:t xml:space="preserve">(</w:t>
      </w:r>
      <w:hyperlink w:anchor="ref-bendixen2023">
        <w:r>
          <w:rPr>
            <w:rStyle w:val="Hyperlink"/>
          </w:rPr>
          <w:t xml:space="preserve">Bendixen &amp; Purzycki, 2023</w:t>
        </w:r>
      </w:hyperlink>
      <w:r>
        <w:t xml:space="preserve">;</w:t>
      </w:r>
      <w:r>
        <w:t xml:space="preserve"> </w:t>
      </w:r>
      <w:hyperlink w:anchor="ref-coretta2025bayesian">
        <w:r>
          <w:rPr>
            <w:rStyle w:val="Hyperlink"/>
          </w:rPr>
          <w:t xml:space="preserve">Coretta &amp; Bürkner, 2025</w:t>
        </w:r>
      </w:hyperlink>
      <w:r>
        <w:t xml:space="preserve">;</w:t>
      </w:r>
      <w:r>
        <w:t xml:space="preserve"> </w:t>
      </w:r>
      <w:hyperlink w:anchor="ref-heiss2021">
        <w:r>
          <w:rPr>
            <w:rStyle w:val="Hyperlink"/>
          </w:rPr>
          <w:t xml:space="preserve">Heiss, 2021</w:t>
        </w:r>
      </w:hyperlink>
      <w:r>
        <w:t xml:space="preserve">;</w:t>
      </w:r>
      <w:r>
        <w:t xml:space="preserve"> </w:t>
      </w:r>
      <w:hyperlink w:anchor="ref-vuorre2019">
        <w:r>
          <w:rPr>
            <w:rStyle w:val="Hyperlink"/>
          </w:rPr>
          <w:t xml:space="preserve">Vuorre, 2019</w:t>
        </w:r>
      </w:hyperlink>
      <w:r>
        <w:t xml:space="preserve">)</w:t>
      </w:r>
      <w:r>
        <w:t xml:space="preserve">, these introductions narrowly focus on a few Beta regression models and cover only a limited range of applications. This tutorial aims to fill that gap by providing a more comprehensive overview of Beta regression and its extensions, along with the tools and code psychologists need to apply these methods in their own research.</w:t>
      </w:r>
    </w:p>
    <w:p>
      <w:pPr>
        <w:pStyle w:val="BodyText"/>
      </w:pPr>
      <w:r>
        <w:t xml:space="preserve">In this tutorial, we provide (a) give a brief, non-technical overview of the principles underlying beta regression, (b) walk-through an empirical example of applying Beta regression in the popular R programming language and (c) highlight the the extensions which are most relevant to researchers in psychology (e.g., zero-inflated, zero-one-inflated, and ordered Beta regressions). Moreover, we provide a fully reproducible code supplement at</w:t>
      </w:r>
      <w:r>
        <w:t xml:space="preserve"> </w:t>
      </w:r>
      <w:hyperlink r:id="rId41">
        <w:r>
          <w:rPr>
            <w:rStyle w:val="Hyperlink"/>
          </w:rPr>
          <w:t xml:space="preserve">https://github.com/jgeller112/beta_regression_tutorial</w:t>
        </w:r>
      </w:hyperlink>
      <w:r>
        <w:t xml:space="preserve"> </w:t>
      </w:r>
      <w:r>
        <w:t xml:space="preserve">that provides more detailed code examples.</w:t>
      </w:r>
      <w:r>
        <w:rPr>
          <w:rStyle w:val="FootnoteReference"/>
        </w:rPr>
        <w:footnoteReference w:id="42"/>
      </w:r>
    </w:p>
    <w:bookmarkEnd w:id="43"/>
    <w:bookmarkStart w:id="44" w:name="bayesian-approach-to-beta-regression"/>
    <w:p>
      <w:pPr>
        <w:pStyle w:val="Heading2"/>
      </w:pPr>
      <w:r>
        <w:t xml:space="preserve">Bayesian Approach to Beta Regression</w:t>
      </w:r>
    </w:p>
    <w:p>
      <w:pPr>
        <w:pStyle w:val="FirstParagraph"/>
      </w:pPr>
      <w:r>
        <w:t xml:space="preserve">Beta regression can be estimated using various tools and approached from either a frequentist or Bayesian perspective. We adopt a Bayesian framework primarily due to its practicality and the availability of advanced computational techniques that make it easier to fit complex models</w:t>
      </w:r>
      <w:r>
        <w:t xml:space="preserve"> </w:t>
      </w:r>
      <w:r>
        <w:t xml:space="preserve">(</w:t>
      </w:r>
      <w:hyperlink w:anchor="ref-gelman2013bayesian">
        <w:r>
          <w:rPr>
            <w:rStyle w:val="Hyperlink"/>
          </w:rPr>
          <w:t xml:space="preserve">Gelman et al., 2013</w:t>
        </w:r>
      </w:hyperlink>
      <w:r>
        <w:t xml:space="preserve">;</w:t>
      </w:r>
      <w:r>
        <w:t xml:space="preserve"> </w:t>
      </w:r>
      <w:hyperlink w:anchor="ref-bayes_rules">
        <w:r>
          <w:rPr>
            <w:rStyle w:val="Hyperlink"/>
          </w:rPr>
          <w:t xml:space="preserve">Johnson et al., n.d.</w:t>
        </w:r>
      </w:hyperlink>
      <w:r>
        <w:t xml:space="preserve">;</w:t>
      </w:r>
      <w:r>
        <w:t xml:space="preserve"> </w:t>
      </w:r>
      <w:hyperlink w:anchor="ref-mcelreath2020statistical">
        <w:r>
          <w:rPr>
            <w:rStyle w:val="Hyperlink"/>
          </w:rPr>
          <w:t xml:space="preserve">McElreath, 2020</w:t>
        </w:r>
      </w:hyperlink>
      <w:r>
        <w:t xml:space="preserve">)</w:t>
      </w:r>
      <w:r>
        <w:t xml:space="preserve">. However, similar implementations are available within the frequentist framework.</w:t>
      </w:r>
    </w:p>
    <w:p>
      <w:pPr>
        <w:pStyle w:val="BodyText"/>
      </w:pPr>
      <w:r>
        <w:t xml:space="preserve">In Bayesian estimation, we begin by specifying a prior distribution that reflects our beliefs about the parameters before seeing the data. We then update this prior using the observed data through the likelihood function to produce a posterior distribution. This posterior represents what we believe about the parameters after seeing the data. Unlike frequentist methods, which typically provide point estimates and confidence intervals, Bayesian methods produce full distributions for parameters, allowing us to quantify uncertainty in a more direct and interpretable way.</w:t>
      </w:r>
    </w:p>
    <w:p>
      <w:pPr>
        <w:pStyle w:val="BodyText"/>
      </w:pPr>
      <w:r>
        <w:t xml:space="preserve">In this paper, we demonstrate how to implement Beta regression models and their extensions using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R package, a powerful and flexible tool for Bayesian regression modeling that interfaces with the Stan programming language</w:t>
      </w:r>
      <w:r>
        <w:t xml:space="preserve"> </w:t>
      </w:r>
      <w:r>
        <w:t xml:space="preserve">(</w:t>
      </w:r>
      <w:hyperlink w:anchor="ref-stan2023">
        <w:r>
          <w:rPr>
            <w:rStyle w:val="Hyperlink"/>
          </w:rPr>
          <w:t xml:space="preserve">Team, 2023</w:t>
        </w:r>
      </w:hyperlink>
      <w:r>
        <w:t xml:space="preserve">)</w:t>
      </w:r>
      <w:r>
        <w:t xml:space="preserve">. The</w:t>
      </w:r>
      <w:r>
        <w:t xml:space="preserve"> </w:t>
      </w:r>
      <w:r>
        <w:rPr>
          <w:rStyle w:val="VerbatimChar"/>
        </w:rPr>
        <w:t xml:space="preserve">brms</w:t>
      </w:r>
      <w:r>
        <w:t xml:space="preserve"> </w:t>
      </w:r>
      <w:r>
        <w:t xml:space="preserve">package provides built-in support for the Beta distribution and several of the alternatives discussed in this tutorial. These models are estimated via Markov Chain Monte Carlo (MCMC) sampling, which allows us to draw from the full posterior distribution of model parameters. The posterior is typically summarized using measures of central tendency and credible intervals (the Bayesian analog to confidence intervals), and inference is often based on the entire posterior distribution rather than a single point estimate.</w:t>
      </w:r>
    </w:p>
    <w:bookmarkEnd w:id="44"/>
    <w:bookmarkStart w:id="55" w:name="beta-distribution"/>
    <w:p>
      <w:pPr>
        <w:pStyle w:val="Heading2"/>
      </w:pPr>
      <w:r>
        <w:t xml:space="preserve">Beta Distribution</w:t>
      </w:r>
    </w:p>
    <w:p>
      <w:pPr>
        <w:pStyle w:val="FirstParagraph"/>
      </w:pPr>
      <w:r>
        <w:t xml:space="preserve">Proportional data are bounded between 0 and 1 and often exhibit heteroscedasticity. Common distributions used within the GLM or GLiM frameworks often fail to capture these properties adequately, which can necessitate alternative modeling strategies.</w:t>
      </w:r>
    </w:p>
    <w:p>
      <w:pPr>
        <w:pStyle w:val="BodyText"/>
      </w:pPr>
      <w:r>
        <w:t xml:space="preserve">In any statistical model, the expected value (or mean) of the response variable serves as the central estimand we aim to desCr.Ibe and predict. The model specifies how this expected value depends on explanatory variables through several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 Together, these components provide a flexible framework for modeling data with different distributional properties.</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is continuous, restricted to values between 0 and 1 (exclusive), and highly flexible. Its two shape parameters—commonly called shape1 (</w:t>
      </w:r>
      <m:oMath>
        <m:r>
          <m:t>α</m:t>
        </m:r>
      </m:oMath>
      <w:r>
        <w:t xml:space="preserve">) and shape2 (</w:t>
      </w:r>
      <m:oMath>
        <m:r>
          <m:t>β</m:t>
        </m:r>
      </m:oMath>
      <w:r>
        <w:t xml:space="preserve">)—govern the distribution’s location, skewness, and spread. This is similar to how the Gaussian distribution is determined by its mean and standard deviation. These shape parameters allow the Beta distribution to take on a wide variety of forms, including symmetric, positively or negatively skewed, U-shaped, and uniform-like distributions (see</w:t>
      </w:r>
      <w:r>
        <w:t xml:space="preserve"> </w:t>
      </w:r>
      <w:hyperlink w:anchor="fig-curves">
        <w:r>
          <w:rPr>
            <w:rStyle w:val="Hyperlink"/>
          </w:rPr>
          <w:t xml:space="preserve">Figure 1</w:t>
        </w:r>
      </w:hyperlink>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is continuous, restricted to values between 0 and 1 (exclusive), and flexible. Its two shape parameters—commonly called shape1 (</w:t>
      </w:r>
      <m:oMath>
        <m:r>
          <m:t>α</m:t>
        </m:r>
      </m:oMath>
      <w:r>
        <w:t xml:space="preserve">) and shape2 (</w:t>
      </w:r>
      <m:oMath>
        <m:r>
          <m:t>β</m:t>
        </m:r>
      </m:oMath>
      <w:r>
        <w:t xml:space="preserve">)—govern the distribution’s location, skewness, and spread. This is similar to how the Gaussian distribution is determined by it’s mean (</w:t>
      </w:r>
      <m:oMath>
        <m:r>
          <m:t>μ</m:t>
        </m:r>
      </m:oMath>
      <w:r>
        <w:t xml:space="preserve">) and standard deviation (</w:t>
      </w:r>
      <m:oMath>
        <m:r>
          <m:t>σ</m:t>
        </m:r>
      </m:oMath>
      <w:r>
        <w:t xml:space="preserve">). These shape parameters allow the Beta distribution to take on a wide variety of forms, including symmetric, positively or negatively skewed, U-shaped, and uniform-like distributions (see</w:t>
      </w:r>
      <w:r>
        <w:t xml:space="preserve"> </w:t>
      </w:r>
      <w:hyperlink w:anchor="fig-curves">
        <w:r>
          <w:rPr>
            <w:rStyle w:val="Hyperlink"/>
          </w:rPr>
          <w:t xml:space="preserve">Figure 1</w:t>
        </w:r>
      </w:hyperlink>
      <w:r>
        <w:t xml:space="preserve">).</w:t>
      </w:r>
    </w:p>
    <w:p>
      <w:pPr>
        <w:pStyle w:val="BodyText"/>
      </w:pPr>
      <w:r>
        <w:t xml:space="preserve">To highlight this, let’s go back to our hypothetical example from the introduction. Let’s suppose a participant got 4 out of 6 on a short answer question on a test. We can take the number of correct on that particular test item (4) and divide that by the number of correct (4) + number of incorrect (2) and plot the resulting density curve.</w:t>
      </w:r>
      <w:r>
        <w:t xml:space="preserve"> </w:t>
      </w:r>
      <w:r>
        <w:rPr>
          <w:rStyle w:val="VerbatimChar"/>
        </w:rPr>
        <w:t xml:space="preserve">Shape1</w:t>
      </w:r>
      <w:r>
        <w:t xml:space="preserve"> </w:t>
      </w:r>
      <w:r>
        <w:t xml:space="preserve">in this example would be 4 (i.e., number of points received or successes).</w:t>
      </w:r>
      <w:r>
        <w:t xml:space="preserve"> </w:t>
      </w:r>
      <w:r>
        <w:rPr>
          <w:rStyle w:val="VerbatimChar"/>
        </w:rPr>
        <w:t xml:space="preserve">Shape2</w:t>
      </w:r>
      <w:r>
        <w:t xml:space="preserve"> </w:t>
      </w:r>
      <w:r>
        <w:t xml:space="preserve">would be 2–the number of points not received (i.e., number of failures). Looking at</w:t>
      </w:r>
      <w:r>
        <w:t xml:space="preserve"> </w:t>
      </w:r>
      <w:hyperlink w:anchor="fig-beta-dist">
        <w:r>
          <w:rPr>
            <w:rStyle w:val="Hyperlink"/>
          </w:rPr>
          <w:t xml:space="preserve">Figure 2</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2</w:t>
        </w:r>
      </w:hyperlink>
      <w:r>
        <w:t xml:space="preserve"> </w:t>
      </w:r>
      <w:r>
        <w:t xml:space="preserve">(B), we would get a distribution shifted towards 0, indicating a lower accuracy. In mathematical statistics, the Beta distribution is often used to model probabilities or proportions that can vary continuously between 0 and 1, but do not take the exact values of 0 or 1.</w:t>
      </w:r>
    </w:p>
    <w:bookmarkStart w:id="48" w:name="fig-curves"/>
    <w:p>
      <w:pPr>
        <w:pStyle w:val="FigureTitle"/>
      </w:pPr>
      <w:r>
        <w:t xml:space="preserve">Figure 1</w:t>
      </w:r>
    </w:p>
    <w:p>
      <w:pPr>
        <w:pStyle w:val="Caption"/>
      </w:pPr>
      <w:r>
        <w:t xml:space="preserve">Examples of beta distributions with different shape parameters</w:t>
      </w:r>
    </w:p>
    <w:p>
      <w:pPr>
        <w:pStyle w:val="FigureWithoutNote"/>
      </w:pPr>
      <w:r>
        <w:drawing>
          <wp:inline>
            <wp:extent cx="5943600" cy="2971800"/>
            <wp:effectExtent b="0" l="0" r="0" t="0"/>
            <wp:docPr descr="" title="" id="46" name="Picture"/>
            <a:graphic>
              <a:graphicData uri="http://schemas.openxmlformats.org/drawingml/2006/picture">
                <pic:pic>
                  <pic:nvPicPr>
                    <pic:cNvPr descr="ms_files/figure-docx/fig-curves-1.png" id="47" name="Picture"/>
                    <pic:cNvPicPr>
                      <a:picLocks noChangeArrowheads="1" noChangeAspect="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bookmarkEnd w:id="48"/>
    <w:bookmarkStart w:id="52" w:name="fig-beta-dist"/>
    <w:p>
      <w:pPr>
        <w:pStyle w:val="FigureTitle"/>
      </w:pPr>
      <w:r>
        <w:t xml:space="preserve">Figure 2</w:t>
      </w:r>
    </w:p>
    <w:p>
      <w:pPr>
        <w:pStyle w:val="Caption"/>
      </w:pPr>
      <w:r>
        <w:t xml:space="preserve">A. beta distribution with 4 correct (</w:t>
      </w:r>
      <w:r>
        <w:rPr>
          <w:rStyle w:val="VerbatimChar"/>
        </w:rPr>
        <w:t xml:space="preserve">shape1</w:t>
      </w:r>
      <w:r>
        <w:t xml:space="preserve">) and 2 incorrect (</w:t>
      </w:r>
      <w:r>
        <w:rPr>
          <w:rStyle w:val="VerbatimChar"/>
        </w:rPr>
        <w:t xml:space="preserve">shape2</w:t>
      </w:r>
      <w:r>
        <w:t xml:space="preserve">) responses (</w:t>
      </w:r>
      <w:r>
        <w:rPr>
          <w:rStyle w:val="VerbatimChar"/>
        </w:rPr>
        <w:t xml:space="preserve">shape2</w:t>
      </w:r>
      <w:r>
        <w:t xml:space="preserve">) on one test question. B. beta distribution with 2 correct (</w:t>
      </w:r>
      <w:r>
        <w:rPr>
          <w:rStyle w:val="VerbatimChar"/>
        </w:rPr>
        <w:t xml:space="preserve">shape1</w:t>
      </w:r>
      <w:r>
        <w:t xml:space="preserve">) and 4 incorrect (</w:t>
      </w:r>
      <w:r>
        <w:rPr>
          <w:rStyle w:val="VerbatimChar"/>
        </w:rPr>
        <w:t xml:space="preserve">shape2</w:t>
      </w:r>
      <w:r>
        <w:t xml:space="preserve">) responses on one test question</w:t>
      </w:r>
    </w:p>
    <w:p>
      <w:pPr>
        <w:pStyle w:val="FigureWithoutNote"/>
      </w:pPr>
      <w:r>
        <w:drawing>
          <wp:inline>
            <wp:extent cx="5943600" cy="2971800"/>
            <wp:effectExtent b="0" l="0" r="0" t="0"/>
            <wp:docPr descr="" title="" id="50" name="Picture"/>
            <a:graphic>
              <a:graphicData uri="http://schemas.openxmlformats.org/drawingml/2006/picture">
                <pic:pic>
                  <pic:nvPicPr>
                    <pic:cNvPr descr="ms_files/figure-docx/fig-beta-dist-1.png" id="51" name="Picture"/>
                    <pic:cNvPicPr>
                      <a:picLocks noChangeArrowheads="1" noChangeAspect="1"/>
                    </pic:cNvPicPr>
                  </pic:nvPicPr>
                  <pic:blipFill>
                    <a:blip r:embed="rId49"/>
                    <a:stretch>
                      <a:fillRect/>
                    </a:stretch>
                  </pic:blipFill>
                  <pic:spPr bwMode="auto">
                    <a:xfrm>
                      <a:off x="0" y="0"/>
                      <a:ext cx="5943600" cy="2971800"/>
                    </a:xfrm>
                    <a:prstGeom prst="rect">
                      <a:avLst/>
                    </a:prstGeom>
                    <a:noFill/>
                    <a:ln w="9525">
                      <a:noFill/>
                      <a:headEnd/>
                      <a:tailEnd/>
                    </a:ln>
                  </pic:spPr>
                </pic:pic>
              </a:graphicData>
            </a:graphic>
          </wp:inline>
        </w:drawing>
      </w:r>
    </w:p>
    <w:bookmarkEnd w:id="52"/>
    <w:bookmarkStart w:id="53"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Guassian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3"/>
    <w:bookmarkStart w:id="54" w:name="beta-regression"/>
    <w:p>
      <w:pPr>
        <w:pStyle w:val="Heading3"/>
      </w:pPr>
      <w:r>
        <w:t xml:space="preserve">Beta Regression</w:t>
      </w:r>
    </w:p>
    <w:p>
      <w:pPr>
        <w:pStyle w:val="FirstParagraph"/>
      </w:pPr>
      <w:r>
        <w:t xml:space="preserve">We can use the Beta distribution in regression models to desCr.Ibe a continuous response variable that is bounded between 0 and 1. Although the Beta distribution applies to values in this interval, it is straightforward to rescale other variables to fit this range using normalization formulas.</w:t>
      </w:r>
    </w:p>
    <w:p>
      <w:pPr>
        <w:pStyle w:val="BodyText"/>
      </w:pPr>
      <w:r>
        <w:t xml:space="preserve">In Beta regression, the goal is to model the mean of the response variable (often denoted</w:t>
      </w:r>
      <w:r>
        <w:t xml:space="preserve"> </w:t>
      </w:r>
      <m:oMath>
        <m:r>
          <m:t>μ</m:t>
        </m:r>
      </m:oMath>
      <w:r>
        <w:t xml:space="preserve">) as a function of predictor variables, while optionally modeling a precision or dispersion parameter (often denoted</w:t>
      </w:r>
      <w:r>
        <w:t xml:space="preserve"> </w:t>
      </w:r>
      <m:oMath>
        <m:r>
          <m:t>ϕ</m:t>
        </m:r>
      </m:oMath>
      <w:r>
        <w:t xml:space="preserve">) that captures variability around the mean. To ensure that</w:t>
      </w:r>
      <w:r>
        <w:t xml:space="preserve"> </w:t>
      </w:r>
      <m:oMath>
        <m:r>
          <m:t>μ</m:t>
        </m:r>
      </m:oMath>
      <w:r>
        <w:t xml:space="preserve"> </w:t>
      </w:r>
      <w:r>
        <w:t xml:space="preserve">stays between 0 and 1, we apply a link function, which transforms the mean so that it can be modeled on an unbounded scale. A common choice is the logit link (which is used by default), but other links (such as the probit or complementary log-log) are also available; the logit is not required.</w:t>
      </w:r>
    </w:p>
    <w:p>
      <w:pPr>
        <w:pStyle w:val="BodyText"/>
      </w:pPr>
      <w:r>
        <w:t xml:space="preserve">The logit link is defined as</w:t>
      </w:r>
      <w:r>
        <w:t xml:space="preserve"> </w:t>
      </w:r>
      <m:oMath>
        <m:r>
          <m:rPr>
            <m:nor/>
            <m:sty m:val="p"/>
          </m:rPr>
          <m:t>logit</m:t>
        </m:r>
        <m:d>
          <m:dPr>
            <m:begChr m:val="("/>
            <m:sepChr m:val=""/>
            <m:endChr m:val=")"/>
            <m:grow/>
          </m:dPr>
          <m:e>
            <m:r>
              <m:t>μ</m:t>
            </m:r>
          </m:e>
        </m:d>
        <m:r>
          <m:rPr>
            <m:sty m:val="p"/>
          </m:rPr>
          <m:t>=</m:t>
        </m:r>
        <m:r>
          <m:rPr>
            <m:sty m:val="p"/>
          </m:rPr>
          <m:t>log</m:t>
        </m:r>
        <m:d>
          <m:dPr>
            <m:begChr m:val="("/>
            <m:sepChr m:val=""/>
            <m:endChr m:val=")"/>
            <m:grow/>
          </m:dPr>
          <m:e>
            <m:f>
              <m:fPr>
                <m:type m:val="bar"/>
              </m:fPr>
              <m:num>
                <m:r>
                  <m:t>μ</m:t>
                </m:r>
              </m:num>
              <m:den>
                <m:r>
                  <m:t>1</m:t>
                </m:r>
                <m:r>
                  <m:rPr>
                    <m:sty m:val="p"/>
                  </m:rPr>
                  <m:t>−</m:t>
                </m:r>
                <m:r>
                  <m:t>μ</m:t>
                </m:r>
              </m:den>
            </m:f>
          </m:e>
        </m:d>
      </m:oMath>
      <w:r>
        <w:t xml:space="preserve">. This transforms the mean proportion,</w:t>
      </w:r>
      <w:r>
        <w:t xml:space="preserve"> </w:t>
      </w:r>
      <m:oMath>
        <m:r>
          <m:t>μ</m:t>
        </m:r>
      </m:oMath>
      <w:r>
        <w:t xml:space="preserve">, into log-odds, which can take any real value between</w:t>
      </w:r>
      <w:r>
        <w:t xml:space="preserve"> </w:t>
      </w:r>
      <m:oMath>
        <m:r>
          <m:rPr>
            <m:sty m:val="p"/>
          </m:rPr>
          <m:t>−</m:t>
        </m:r>
        <m:r>
          <m:rPr>
            <m:sty m:val="p"/>
          </m:rPr>
          <m:t>∞</m:t>
        </m:r>
      </m:oMath>
      <w:r>
        <w:t xml:space="preserve"> </w:t>
      </w:r>
      <w:r>
        <w:t xml:space="preserve">and</w:t>
      </w:r>
      <w:r>
        <w:t xml:space="preserve"> </w:t>
      </w:r>
      <m:oMath>
        <m:r>
          <m:rPr>
            <m:sty m:val="p"/>
          </m:rPr>
          <m:t>+</m:t>
        </m:r>
        <m:r>
          <m:rPr>
            <m:sty m:val="p"/>
          </m:rPr>
          <m:t>∞</m:t>
        </m:r>
      </m:oMath>
      <w:r>
        <w:t xml:space="preserve">. This makes it suitable for linear modeling. The inverse of the logit, called the logistic function, maps predictions back onto the 0 to 1 scale:</w:t>
      </w:r>
      <w:r>
        <w:t xml:space="preserve"> </w:t>
      </w:r>
      <m:oMath>
        <m:d>
          <m:dPr>
            <m:begChr m:val="["/>
            <m:sepChr m:val=""/>
            <m:endChr m:val="]"/>
            <m:grow/>
          </m:dPr>
          <m:e>
            <m:r>
              <m:t>μ</m:t>
            </m:r>
            <m:r>
              <m:rPr>
                <m:sty m:val="p"/>
              </m:rPr>
              <m:t>=</m:t>
            </m:r>
            <m:f>
              <m:fPr>
                <m:type m:val="bar"/>
              </m:fPr>
              <m:num>
                <m:r>
                  <m:t>1</m:t>
                </m:r>
              </m:num>
              <m:den>
                <m:r>
                  <m:t>1</m:t>
                </m:r>
                <m:r>
                  <m:rPr>
                    <m:sty m:val="p"/>
                  </m:rPr>
                  <m:t>+</m:t>
                </m:r>
                <m:sSup>
                  <m:e>
                    <m:r>
                      <m:t>e</m:t>
                    </m:r>
                  </m:e>
                  <m:sup>
                    <m:r>
                      <m:rPr>
                        <m:sty m:val="p"/>
                      </m:rPr>
                      <m:t>−</m:t>
                    </m:r>
                    <m:r>
                      <m:t>η</m:t>
                    </m:r>
                  </m:sup>
                </m:sSup>
              </m:den>
            </m:f>
          </m:e>
        </m:d>
      </m:oMath>
      <w:r>
        <w:t xml:space="preserve"> </w:t>
      </w:r>
      <w:r>
        <w:t xml:space="preserve">where</w:t>
      </w:r>
      <w:r>
        <w:t xml:space="preserve"> </w:t>
      </w:r>
      <m:oMath>
        <m:r>
          <m:t>η</m:t>
        </m:r>
      </m:oMath>
      <w:r>
        <w:t xml:space="preserve"> </w:t>
      </w:r>
      <w:r>
        <w:t xml:space="preserve">is the linear predictor (a combination of your model’s coefficients and predictors). Similarly, the dispersion parameter, which must be positive, is often modeled using a log link:</w:t>
      </w:r>
      <w:r>
        <w:t xml:space="preserve"> </w:t>
      </w:r>
      <m:oMath>
        <m:r>
          <m:rPr>
            <m:sty m:val="p"/>
          </m:rPr>
          <m:t>log</m:t>
        </m:r>
        <m:d>
          <m:dPr>
            <m:begChr m:val="("/>
            <m:sepChr m:val=""/>
            <m:endChr m:val=")"/>
            <m:grow/>
          </m:dPr>
          <m:e>
            <m:r>
              <m:t>ϕ</m:t>
            </m:r>
          </m:e>
        </m:d>
        <m:r>
          <m:rPr>
            <m:sty m:val="p"/>
          </m:rPr>
          <m:t>=</m:t>
        </m:r>
        <m:r>
          <m:rPr>
            <m:nor/>
            <m:sty m:val="p"/>
          </m:rPr>
          <m:t>linear predictor</m:t>
        </m:r>
      </m:oMath>
      <w:r>
        <w:t xml:space="preserve">. This ensures the estimated dispersion is strictly positive.</w:t>
      </w:r>
    </w:p>
    <w:p>
      <w:pPr>
        <w:pStyle w:val="BodyText"/>
      </w:pPr>
      <w:r>
        <w:t xml:space="preserve">Overall, Beta regression is well suited for proportional data because it respects the bounded nature of the outcome and can account for heteroscedasticity (i.e., non-constant variance across levels of predictors).</w:t>
      </w:r>
    </w:p>
    <w:bookmarkEnd w:id="54"/>
    <w:bookmarkEnd w:id="55"/>
    <w:bookmarkEnd w:id="56"/>
    <w:bookmarkStart w:id="144" w:name="motivating-example"/>
    <w:p>
      <w:pPr>
        <w:pStyle w:val="Heading1"/>
      </w:pPr>
      <w:r>
        <w:t xml:space="preserve">Motivating Example</w:t>
      </w:r>
    </w:p>
    <w:bookmarkStart w:id="62"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 (2020; Experiment 1A; data:</w:t>
      </w:r>
      <w:r>
        <w:t xml:space="preserve"> </w:t>
      </w:r>
      <w:hyperlink r:id="rId57">
        <w:r>
          <w:rPr>
            <w:rStyle w:val="Hyperlink"/>
          </w:rPr>
          <w:t xml:space="preserve">https://osf.io/6tyn4/</w:t>
        </w:r>
      </w:hyperlink>
      <w:r>
        <w:t xml:space="preserve">).</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58"/>
      </w:r>
      <w:r>
        <w:t xml:space="preserve"> </w:t>
      </w:r>
      <w:r>
        <w:t xml:space="preserve">For each video, metamemory was assessed using judgements of learning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outcome measure.</w:t>
      </w:r>
    </w:p>
    <w:p>
      <w:pPr>
        <w:pStyle w:val="BodyText"/>
      </w:pPr>
      <w:r>
        <w:t xml:space="preserve">Proprotional data is widely used in psychology and is well suited for Beta regression. Despite this, it is common to treat proportional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outcome measure. Here we will be looking at the proportion recalled on the final test.</w:t>
      </w:r>
    </w:p>
    <w:bookmarkEnd w:id="62"/>
    <w:bookmarkStart w:id="117" w:name="X63c945bd42ef63b9db2dba71a0b9a454a63c527"/>
    <w:p>
      <w:pPr>
        <w:pStyle w:val="Heading2"/>
      </w:pPr>
      <w:r>
        <w:t xml:space="preserve">Reanalysis of Wilford et al. Experiment 1A</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3</w:t>
        </w:r>
      </w:hyperlink>
      <w:r>
        <w:t xml:space="preserve">). In our re-analysis, we will run a Bayesain regression model that is comparable to analysis used by</w:t>
      </w:r>
      <w:r>
        <w:t xml:space="preserve"> </w:t>
      </w:r>
      <w:r>
        <w:t xml:space="preserve">Wilford et al. (</w:t>
      </w:r>
      <w:hyperlink w:anchor="ref-wilford2020">
        <w:r>
          <w:rPr>
            <w:rStyle w:val="Hyperlink"/>
          </w:rPr>
          <w:t xml:space="preserve">2020</w:t>
        </w:r>
      </w:hyperlink>
      <w:r>
        <w:t xml:space="preserve">)</w:t>
      </w:r>
      <w:r>
        <w:t xml:space="preserve">. Specifically, we will examine accuracy on final test as our DV (because the score was on a 10 point scale we divided by 10 to get a proportion) and look at fluency of the instructor as our outcome measure (Fluent vs. Disfluent). We used the default treatment (dummy) coding in R, which sets the first level of a factor (alphabetically) as the reference level. In this case, the disfluent level served as the reference. In addition we used default (noninformative priors).</w:t>
      </w:r>
    </w:p>
    <w:bookmarkStart w:id="63" w:name="tbl-dataset"/>
    <w:p>
      <w:pPr>
        <w:pStyle w:val="FigureTitle"/>
      </w:pPr>
      <w:r>
        <w:t xml:space="preserve">Table 1</w:t>
      </w:r>
    </w:p>
    <w:p>
      <w:pPr>
        <w:pStyle w:val="Caption"/>
      </w:pPr>
      <w:r>
        <w:t xml:space="preserve">First six rows of dataset</w:t>
      </w:r>
    </w:p>
    <w:tbl>
      <w:tblPr>
        <w:tblStyle w:val="Table"/>
        <w:tblW w:type="pct" w:w="2431"/>
        <w:tblLayout w:type="fixed"/>
        <w:tblLook w:firstRow="1" w:lastRow="0" w:firstColumn="0" w:lastColumn="0" w:noHBand="0" w:noVBand="0" w:val="0020"/>
      </w:tblPr>
      <w:tblGrid>
        <w:gridCol w:w="1540"/>
        <w:gridCol w:w="1100"/>
        <w:gridCol w:w="1210"/>
      </w:tblGrid>
      <w:tr>
        <w:trPr>
          <w:tblHeader w:val="on"/>
        </w:trPr>
        <w:tc>
          <w:tcPr/>
          <w:p>
            <w:pPr>
              <w:pStyle w:val="Compact"/>
            </w:pPr>
            <w:r>
              <w:t xml:space="preserve">Participant</w:t>
            </w:r>
          </w:p>
        </w:tc>
        <w:tc>
          <w:tcPr/>
          <w:p>
            <w:pPr>
              <w:pStyle w:val="Compact"/>
            </w:pPr>
            <w:r>
              <w:t xml:space="preserve">Fluency</w:t>
            </w:r>
          </w:p>
        </w:tc>
        <w:tc>
          <w:tcPr/>
          <w:p>
            <w:pPr>
              <w:pStyle w:val="Compact"/>
            </w:pPr>
            <w:r>
              <w:t xml:space="preserve">Accuracy</w:t>
            </w:r>
          </w:p>
        </w:tc>
      </w:tr>
      <w:tr>
        <w:tc>
          <w:tcPr/>
          <w:p>
            <w:pPr>
              <w:pStyle w:val="Compact"/>
            </w:pPr>
            <w:r>
              <w:t xml:space="preserve">1</w:t>
            </w:r>
          </w:p>
        </w:tc>
        <w:tc>
          <w:tcPr/>
          <w:p>
            <w:pPr>
              <w:pStyle w:val="Compact"/>
            </w:pPr>
            <w:r>
              <w:t xml:space="preserve">Fluent</w:t>
            </w:r>
          </w:p>
        </w:tc>
        <w:tc>
          <w:tcPr/>
          <w:p>
            <w:pPr>
              <w:pStyle w:val="Compact"/>
            </w:pPr>
            <w:r>
              <w:t xml:space="preserve">0.45</w:t>
            </w:r>
          </w:p>
        </w:tc>
      </w:tr>
      <w:tr>
        <w:tc>
          <w:tcPr/>
          <w:p>
            <w:pPr>
              <w:pStyle w:val="Compact"/>
            </w:pPr>
            <w:r>
              <w:t xml:space="preserve">8</w:t>
            </w:r>
          </w:p>
        </w:tc>
        <w:tc>
          <w:tcPr/>
          <w:p>
            <w:pPr>
              <w:pStyle w:val="Compact"/>
            </w:pPr>
            <w:r>
              <w:t xml:space="preserve">Fluent</w:t>
            </w:r>
          </w:p>
        </w:tc>
        <w:tc>
          <w:tcPr/>
          <w:p>
            <w:pPr>
              <w:pStyle w:val="Compact"/>
            </w:pPr>
            <w:r>
              <w:t xml:space="preserve">0.30</w:t>
            </w:r>
          </w:p>
        </w:tc>
      </w:tr>
      <w:tr>
        <w:tc>
          <w:tcPr/>
          <w:p>
            <w:pPr>
              <w:pStyle w:val="Compact"/>
            </w:pPr>
            <w:r>
              <w:t xml:space="preserve">10</w:t>
            </w:r>
          </w:p>
        </w:tc>
        <w:tc>
          <w:tcPr/>
          <w:p>
            <w:pPr>
              <w:pStyle w:val="Compact"/>
            </w:pPr>
            <w:r>
              <w:t xml:space="preserve">Fluent</w:t>
            </w:r>
          </w:p>
        </w:tc>
        <w:tc>
          <w:tcPr/>
          <w:p>
            <w:pPr>
              <w:pStyle w:val="Compact"/>
            </w:pPr>
            <w:r>
              <w:t xml:space="preserve">0.40</w:t>
            </w:r>
          </w:p>
        </w:tc>
      </w:tr>
      <w:tr>
        <w:tc>
          <w:tcPr/>
          <w:p>
            <w:pPr>
              <w:pStyle w:val="Compact"/>
            </w:pPr>
            <w:r>
              <w:t xml:space="preserve">18</w:t>
            </w:r>
          </w:p>
        </w:tc>
        <w:tc>
          <w:tcPr/>
          <w:p>
            <w:pPr>
              <w:pStyle w:val="Compact"/>
            </w:pPr>
            <w:r>
              <w:t xml:space="preserve">Fluent</w:t>
            </w:r>
          </w:p>
        </w:tc>
        <w:tc>
          <w:tcPr/>
          <w:p>
            <w:pPr>
              <w:pStyle w:val="Compact"/>
            </w:pPr>
            <w:r>
              <w:t xml:space="preserve">0.15</w:t>
            </w:r>
          </w:p>
        </w:tc>
      </w:tr>
      <w:tr>
        <w:tc>
          <w:tcPr/>
          <w:p>
            <w:pPr>
              <w:pStyle w:val="Compact"/>
            </w:pPr>
            <w:r>
              <w:t xml:space="preserve">19</w:t>
            </w:r>
          </w:p>
        </w:tc>
        <w:tc>
          <w:tcPr/>
          <w:p>
            <w:pPr>
              <w:pStyle w:val="Compact"/>
            </w:pPr>
            <w:r>
              <w:t xml:space="preserve">Fluent</w:t>
            </w:r>
          </w:p>
        </w:tc>
        <w:tc>
          <w:tcPr/>
          <w:p>
            <w:pPr>
              <w:pStyle w:val="Compact"/>
            </w:pPr>
            <w:r>
              <w:t xml:space="preserve">0.50</w:t>
            </w:r>
          </w:p>
        </w:tc>
      </w:tr>
      <w:tr>
        <w:tc>
          <w:tcPr/>
          <w:p>
            <w:pPr>
              <w:pStyle w:val="Compact"/>
            </w:pPr>
            <w:r>
              <w:t xml:space="preserve">14</w:t>
            </w:r>
          </w:p>
        </w:tc>
        <w:tc>
          <w:tcPr/>
          <w:p>
            <w:pPr>
              <w:pStyle w:val="Compact"/>
            </w:pPr>
            <w:r>
              <w:t xml:space="preserve">Fluent</w:t>
            </w:r>
          </w:p>
        </w:tc>
        <w:tc>
          <w:tcPr/>
          <w:p>
            <w:pPr>
              <w:pStyle w:val="Compact"/>
            </w:pPr>
            <w:r>
              <w:t xml:space="preserve">0.70</w:t>
            </w:r>
          </w:p>
        </w:tc>
      </w:tr>
    </w:tbl>
    <w:bookmarkEnd w:id="63"/>
    <w:bookmarkStart w:id="67" w:name="fig-flu1"/>
    <w:p>
      <w:pPr>
        <w:pStyle w:val="FigureTitle"/>
      </w:pPr>
      <w:r>
        <w:t xml:space="preserve">Figure 3</w:t>
      </w:r>
    </w:p>
    <w:p>
      <w:pPr>
        <w:pStyle w:val="Caption"/>
      </w:pPr>
      <w:r>
        <w:t xml:space="preserve">Fluency accuracy: Raw data (points), half-boxplot, and Mean marker (diamond)</w:t>
      </w:r>
    </w:p>
    <w:p>
      <w:pPr>
        <w:pStyle w:val="FigureWithoutNote"/>
      </w:pPr>
      <w:r>
        <w:drawing>
          <wp:inline>
            <wp:extent cx="5943600" cy="2971800"/>
            <wp:effectExtent b="0" l="0" r="0" t="0"/>
            <wp:docPr descr="" title="" id="65" name="Picture"/>
            <a:graphic>
              <a:graphicData uri="http://schemas.openxmlformats.org/drawingml/2006/picture">
                <pic:pic>
                  <pic:nvPicPr>
                    <pic:cNvPr descr="ms_files/figure-docx/fig-flu1-1.png" id="66" name="Picture"/>
                    <pic:cNvPicPr>
                      <a:picLocks noChangeArrowheads="1" noChangeAspect="1"/>
                    </pic:cNvPicPr>
                  </pic:nvPicPr>
                  <pic:blipFill>
                    <a:blip r:embed="rId64"/>
                    <a:stretch>
                      <a:fillRect/>
                    </a:stretch>
                  </pic:blipFill>
                  <pic:spPr bwMode="auto">
                    <a:xfrm>
                      <a:off x="0" y="0"/>
                      <a:ext cx="5943600" cy="2971800"/>
                    </a:xfrm>
                    <a:prstGeom prst="rect">
                      <a:avLst/>
                    </a:prstGeom>
                    <a:noFill/>
                    <a:ln w="9525">
                      <a:noFill/>
                      <a:headEnd/>
                      <a:tailEnd/>
                    </a:ln>
                  </pic:spPr>
                </pic:pic>
              </a:graphicData>
            </a:graphic>
          </wp:inline>
        </w:drawing>
      </w:r>
    </w:p>
    <w:bookmarkEnd w:id="67"/>
    <w:p>
      <w:pPr>
        <w:pStyle w:val="Heading4"/>
        <w:rPr>
          <w:vanish/>
          <w:specVanish/>
        </w:rPr>
      </w:pPr>
      <w:r>
        <w:t>Data.</w:t>
      </w:r>
      <w:r>
        <w:t xml:space="preserve"> </w:t>
      </w:r>
    </w:p>
    <w:p>
      <w:pPr>
        <w:pStyle w:val="BodyText"/>
      </w:pPr>
      <w:r>
        <w:t xml:space="preserve">Before we fit the regression model, we will read in the data.</w:t>
      </w:r>
    </w:p>
    <w:p>
      <w:pPr>
        <w:pStyle w:val="BodyText"/>
      </w:pPr>
      <w:r>
        <w:t xml:space="preserve">The first few rows of the data are displayed in</w:t>
      </w:r>
      <w:r>
        <w:t xml:space="preserve"> </w:t>
      </w:r>
      <w:hyperlink w:anchor="tbl-dataset">
        <w:r>
          <w:rPr>
            <w:rStyle w:val="Hyperlink"/>
          </w:rPr>
          <w:t xml:space="preserve">Table 1</w:t>
        </w:r>
      </w:hyperlink>
      <w:r>
        <w:t xml:space="preserve">. The dataset contains three columns:</w:t>
      </w:r>
    </w:p>
    <w:p>
      <w:pPr>
        <w:numPr>
          <w:ilvl w:val="0"/>
          <w:numId w:val="1001"/>
        </w:numPr>
      </w:pPr>
      <w:r>
        <w:rPr>
          <w:b/>
          <w:bCs/>
        </w:rPr>
        <w:t xml:space="preserve">Participant:</w:t>
      </w:r>
      <w:r>
        <w:t xml:space="preserve"> </w:t>
      </w:r>
      <w:r>
        <w:t xml:space="preserve">Participant ID number</w:t>
      </w:r>
    </w:p>
    <w:p>
      <w:pPr>
        <w:numPr>
          <w:ilvl w:val="0"/>
          <w:numId w:val="1001"/>
        </w:numPr>
      </w:pPr>
      <w:r>
        <w:rPr>
          <w:b/>
          <w:bCs/>
        </w:rPr>
        <w:t xml:space="preserve">Fluency:</w:t>
      </w:r>
      <w:r>
        <w:t xml:space="preserve"> </w:t>
      </w:r>
      <w:r>
        <w:t xml:space="preserve">Fluent vs. Disfluent</w:t>
      </w:r>
    </w:p>
    <w:p>
      <w:pPr>
        <w:numPr>
          <w:ilvl w:val="0"/>
          <w:numId w:val="1001"/>
        </w:numPr>
      </w:pPr>
      <w:r>
        <w:rPr>
          <w:b/>
          <w:bCs/>
        </w:rPr>
        <w:t xml:space="preserve">Accuracy:</w:t>
      </w:r>
      <w:r>
        <w:t xml:space="preserve"> </w:t>
      </w:r>
      <w:r>
        <w:t xml:space="preserve">Proportion recalled (idea units)</w:t>
      </w:r>
    </w:p>
    <w:bookmarkStart w:id="70" w:name="bayesian-regression"/>
    <w:p>
      <w:pPr>
        <w:pStyle w:val="Heading3"/>
      </w:pPr>
      <w:r>
        <w:t xml:space="preserve">Bayesian Regression</w:t>
      </w:r>
    </w:p>
    <w:p>
      <w:pPr>
        <w:pStyle w:val="FirstParagraph"/>
      </w:pPr>
      <w:r>
        <w:t xml:space="preserve">To fit our Bayesian regression models, we will be using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R package. For reference,</w:t>
      </w:r>
      <w:r>
        <w:t xml:space="preserve"> </w:t>
      </w:r>
      <w:hyperlink w:anchor="tbl-all">
        <w:r>
          <w:rPr>
            <w:rStyle w:val="Hyperlink"/>
          </w:rPr>
          <w:t xml:space="preserve">Table 20</w:t>
        </w:r>
      </w:hyperlink>
      <w:r>
        <w:t xml:space="preserve"> </w:t>
      </w:r>
      <w:r>
        <w:t xml:space="preserve">lists each model that was run, along with the model parameters and posterior summaries, including the mean, 95% credible intervals (Cr.I), and posterior probabilities of direction (pd). 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To create a regression model from in</w:t>
      </w:r>
      <w:r>
        <w:t xml:space="preserve"> </w:t>
      </w:r>
      <w:r>
        <w:rPr>
          <w:rStyle w:val="VerbatimChar"/>
        </w:rPr>
        <w:t xml:space="preserve">brms</w:t>
      </w:r>
      <w:r>
        <w:t xml:space="preserve"> </w:t>
      </w:r>
      <w:r>
        <w:t xml:space="preserve">we will use the</w:t>
      </w:r>
      <w:r>
        <w:t xml:space="preserve"> </w:t>
      </w:r>
      <w:r>
        <w:rPr>
          <w:rStyle w:val="VerbatimChar"/>
        </w:rPr>
        <w:t xml:space="preserve">brm()</w:t>
      </w:r>
      <w:r>
        <w:t xml:space="preserve"> </w:t>
      </w:r>
      <w:r>
        <w:t xml:space="preserve">function and fit a model looking at final test accuracy (</w:t>
      </w:r>
      <w:r>
        <w:rPr>
          <w:rStyle w:val="VerbatimChar"/>
        </w:rPr>
        <w:t xml:space="preserve">Accuracy</w:t>
      </w:r>
      <w:r>
        <w:t xml:space="preserve">) as a function of instructor fluency (</w:t>
      </w:r>
      <w:r>
        <w:rPr>
          <w:rStyle w:val="VerbatimChar"/>
        </w:rPr>
        <w:t xml:space="preserve">fluency</w:t>
      </w:r>
      <w:r>
        <w:t xml:space="preserve">). The syntax is similar to how you run a regression using the popular</w:t>
      </w:r>
      <w:r>
        <w:t xml:space="preserve"> </w:t>
      </w:r>
      <w:r>
        <w:rPr>
          <w:rStyle w:val="VerbatimChar"/>
        </w:rPr>
        <w:t xml:space="preserve">lm</w:t>
      </w:r>
      <w:r>
        <w:t xml:space="preserve"> </w:t>
      </w:r>
      <w:r>
        <w:t xml:space="preserve">function in R. Here we are concerned with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w:t>
      </w:r>
      <w:r>
        <w:rPr>
          <w:rStyle w:val="FootnoteReference"/>
        </w:rPr>
        <w:footnoteReference w:id="68"/>
      </w:r>
    </w:p>
    <w:p>
      <w:pPr>
        <w:pStyle w:val="SourceCode"/>
      </w:pPr>
      <w:r>
        <w:rPr>
          <w:rStyle w:val="CommentTok"/>
        </w:rPr>
        <w:t xml:space="preserve"># load brms and cmdstanr</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(cmdstanr) </w:t>
      </w:r>
    </w:p>
    <w:p>
      <w:pPr>
        <w:pStyle w:val="FirstParagraph"/>
      </w:pPr>
      <w:r>
        <w:t xml:space="preserve">We fit the model using the</w:t>
      </w:r>
      <w:r>
        <w:t xml:space="preserve"> </w:t>
      </w:r>
      <w:r>
        <w:rPr>
          <w:rStyle w:val="VerbatimChar"/>
        </w:rPr>
        <w:t xml:space="preserve">brm()</w:t>
      </w:r>
      <w:r>
        <w:t xml:space="preserve"> </w:t>
      </w:r>
      <w:r>
        <w:t xml:space="preserve">function, as shown in the code below. To speed up processing we set</w:t>
      </w:r>
      <w:r>
        <w:t xml:space="preserve"> </w:t>
      </w:r>
      <w:r>
        <w:rPr>
          <w:rStyle w:val="VerbatimChar"/>
        </w:rPr>
        <w:t xml:space="preserve">cores</w:t>
      </w:r>
      <w:r>
        <w:t xml:space="preserve"> </w:t>
      </w:r>
      <w:r>
        <w:t xml:space="preserve">= 4, and use the</w:t>
      </w:r>
      <w:r>
        <w:t xml:space="preserve"> </w:t>
      </w:r>
      <w:r>
        <w:rPr>
          <w:rStyle w:val="VerbatimChar"/>
        </w:rPr>
        <w:t xml:space="preserve">cmdstand</w:t>
      </w:r>
      <w:r>
        <w:t xml:space="preserve"> </w:t>
      </w:r>
      <w:r>
        <w:t xml:space="preserve">backend. The output provides estimates for each effect: the coefficient (</w:t>
      </w:r>
      <w:r>
        <w:rPr>
          <w:rStyle w:val="VerbatimChar"/>
        </w:rPr>
        <w:t xml:space="preserve">b_,</w:t>
      </w:r>
      <w:r>
        <w:t xml:space="preserve">) representing the mean of the posterior distribution), its estimation error (the standard deviation of the posterior distribution), and the 95% credible interval (Cr.I), which indicate the most credible values within the distribution. We inferred evidence for an effect when the 95% Cr.I did not include zero.</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69" w:name="tbl-brms-ols"/>
    <w:p>
      <w:pPr>
        <w:pStyle w:val="FigureTitle"/>
      </w:pPr>
      <w:r>
        <w:t xml:space="preserve">Table 2</w:t>
      </w:r>
    </w:p>
    <w:p>
      <w:pPr>
        <w:pStyle w:val="Caption"/>
      </w:pPr>
      <w:r>
        <w:t xml:space="preserve">Bayesian regression model coefficents</w:t>
      </w:r>
    </w:p>
    <w:tbl>
      <w:tblPr>
        <w:tblStyle w:val="Table"/>
        <w:tblW w:type="pct" w:w="3542"/>
        <w:tblLayout w:type="fixed"/>
        <w:tblLook w:firstRow="1" w:lastRow="0" w:firstColumn="0" w:lastColumn="0" w:noHBand="0" w:noVBand="0" w:val="0020"/>
      </w:tblPr>
      <w:tblGrid>
        <w:gridCol w:w="1980"/>
        <w:gridCol w:w="880"/>
        <w:gridCol w:w="198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0.257</w:t>
            </w:r>
          </w:p>
        </w:tc>
        <w:tc>
          <w:tcPr/>
          <w:p>
            <w:pPr>
              <w:pStyle w:val="Compact"/>
            </w:pPr>
            <w:r>
              <w:t xml:space="preserve">[0.2, 0.315]</w:t>
            </w:r>
          </w:p>
        </w:tc>
        <w:tc>
          <w:tcPr/>
          <w:p>
            <w:pPr>
              <w:pStyle w:val="Compact"/>
            </w:pPr>
            <w:r>
              <w:t xml:space="preserve">1</w:t>
            </w:r>
          </w:p>
        </w:tc>
      </w:tr>
      <w:tr>
        <w:tc>
          <w:tcPr/>
          <w:p>
            <w:pPr>
              <w:pStyle w:val="Compact"/>
            </w:pPr>
            <w:r>
              <w:t xml:space="preserve">b_FluencyFluent</w:t>
            </w:r>
          </w:p>
        </w:tc>
        <w:tc>
          <w:tcPr/>
          <w:p>
            <w:pPr>
              <w:pStyle w:val="Compact"/>
            </w:pPr>
            <w:r>
              <w:t xml:space="preserve">0.084</w:t>
            </w:r>
          </w:p>
        </w:tc>
        <w:tc>
          <w:tcPr/>
          <w:p>
            <w:pPr>
              <w:pStyle w:val="Compact"/>
            </w:pPr>
            <w:r>
              <w:t xml:space="preserve">[-0.002, 0.167]</w:t>
            </w:r>
          </w:p>
        </w:tc>
        <w:tc>
          <w:tcPr/>
          <w:p>
            <w:pPr>
              <w:pStyle w:val="Compact"/>
            </w:pPr>
            <w:r>
              <w:t xml:space="preserve">0.97</w:t>
            </w:r>
          </w:p>
        </w:tc>
      </w:tr>
    </w:tbl>
    <w:bookmarkEnd w:id="69"/>
    <w:p>
      <w:pPr>
        <w:pStyle w:val="AfterWithoutNote"/>
      </w:pPr>
      <w:hyperlink w:anchor="tbl-brms-ols">
        <w:r>
          <w:rPr>
            <w:rStyle w:val="Hyperlink"/>
          </w:rPr>
          <w:t xml:space="preserve">Table 2</w:t>
        </w:r>
      </w:hyperlink>
      <w:r>
        <w:t xml:space="preserve"> </w:t>
      </w:r>
      <w:r>
        <w:t xml:space="preserve">displays the summary of the Bayesian regression model. To make the output more readable, each model parameter is labeled with a prefix before the variable name. The</w:t>
      </w:r>
      <w:r>
        <w:t xml:space="preserve"> </w:t>
      </w:r>
      <w:r>
        <w:rPr>
          <w:rStyle w:val="VerbatimChar"/>
        </w:rPr>
        <w:t xml:space="preserve">b_Intercept</w:t>
      </w:r>
      <w:r>
        <w:t xml:space="preserve"> </w:t>
      </w:r>
      <w:r>
        <w:t xml:space="preserve">value refers to the accuracy in the disfluent condition (because we dummy coded our variable). The Fluency coefficient (</w:t>
      </w:r>
      <w:r>
        <w:rPr>
          <w:rStyle w:val="VerbatimChar"/>
        </w:rPr>
        <w:t xml:space="preserve">b_Fluency1</w:t>
      </w:r>
      <w:r>
        <w:t xml:space="preserve">) highlights the difference between the fluent and disfluent conditions, b = 0.084, 95% Cr.Is = [-0.002,0.167], pd =1. Our results are very similar to the results reported by</w:t>
      </w:r>
      <w:r>
        <w:t xml:space="preserve"> </w:t>
      </w:r>
      <w:r>
        <w:t xml:space="preserve">(</w:t>
      </w:r>
      <w:hyperlink w:anchor="ref-Wilford2020">
        <w:r>
          <w:rPr>
            <w:rStyle w:val="Hyperlink"/>
            <w:b/>
            <w:bCs/>
          </w:rPr>
          <w:t xml:space="preserve">Wilford2020?</w:t>
        </w:r>
      </w:hyperlink>
      <w:r>
        <w:t xml:space="preserve">)</w:t>
      </w:r>
      <w:r>
        <w:t xml:space="preserve">:</w:t>
      </w:r>
      <w:r>
        <w:t xml:space="preserve"> </w:t>
      </w:r>
      <w:r>
        <w:rPr>
          <w:i/>
          <w:iCs/>
        </w:rPr>
        <w:t xml:space="preserve">t</w:t>
      </w:r>
      <w:r>
        <w:t xml:space="preserve">(94) = 2.00,</w:t>
      </w:r>
      <w:r>
        <w:t xml:space="preserve"> </w:t>
      </w:r>
      <w:r>
        <w:rPr>
          <w:i/>
          <w:iCs/>
        </w:rPr>
        <w:t xml:space="preserve">p = .048,</w:t>
      </w:r>
      <w:r>
        <w:t xml:space="preserve"> </w:t>
      </w:r>
      <w:r>
        <w:t xml:space="preserve">95% CI: 0.06, 16.56].</w:t>
      </w:r>
    </w:p>
    <w:p>
      <w:pPr>
        <w:pStyle w:val="BodyText"/>
      </w:pPr>
      <w:r>
        <w:t xml:space="preserve">There are some notable differences between our Bayesian analysis and the frequenist analyses readers might be more sued to seeing,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w:t>
      </w:r>
      <w:hyperlink w:anchor="ref-makowski2019">
        <w:r>
          <w:rPr>
            <w:rStyle w:val="Hyperlink"/>
          </w:rPr>
          <w:t xml:space="preserve">Makowski, Ben-Shachar, &amp; Lüdecke, 2019</w:t>
        </w:r>
      </w:hyperlink>
      <w:r>
        <w:t xml:space="preserve">)</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 pd of 95%, 97.5%, 99.5% and 99.95% correspond approximately to two-sided p-value of respectively .1, .05, .01 and .001. In addition to the pd value, one can look at the 95% credible interval (sometimes called highest probability density, depending on the package being used) to see if it includes 0–if it does not then the effect can be said to be significant. In the table below, the 95% credible intervals are located in the 95% Cr.Is column.</w:t>
      </w:r>
    </w:p>
    <w:bookmarkEnd w:id="70"/>
    <w:bookmarkStart w:id="82"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GLM approach, observed that instructor fluency impacts actual learning.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data we have 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4</w:t>
        </w:r>
      </w:hyperlink>
      <w:r>
        <w:t xml:space="preserve"> </w:t>
      </w:r>
      <w:r>
        <w:t xml:space="preserve">, we see there definitely some issues with our model. Specifically, there appears to be violations of normality constant variance (homogeneity).</w:t>
      </w:r>
    </w:p>
    <w:p>
      <w:pPr>
        <w:pStyle w:val="BodyText"/>
      </w:pPr>
      <w:r>
        <w:t xml:space="preserve">We can also examine how well the data fits the model by performing a posterior predictive check. In</w:t>
      </w:r>
      <w:r>
        <w:t xml:space="preserve"> </w:t>
      </w:r>
      <w:hyperlink w:anchor="fig-ppcheck-normal">
        <w:r>
          <w:rPr>
            <w:rStyle w:val="Hyperlink"/>
          </w:rPr>
          <w:t xml:space="preserve">Figure 5</w:t>
        </w:r>
      </w:hyperlink>
      <w:r>
        <w:t xml:space="preserve">, multiple draws or repetitions from the posterior distribution are plotted (light blue lines) against the observed data. (dark green). Ideally, the predictive draws (the light blue lines) should show reasonable resemblance with the observed data (dark blue line). In our example, the model-predicted density is slightly too peaked and narrow compared to the data. In addition, some of the draws extend into negative accuracy values.</w:t>
      </w:r>
    </w:p>
    <w:bookmarkStart w:id="74" w:name="fig-ols-assump"/>
    <w:p>
      <w:pPr>
        <w:pStyle w:val="FigureTitle"/>
      </w:pPr>
      <w:r>
        <w:t xml:space="preserve">Figure 4</w:t>
      </w:r>
    </w:p>
    <w:p>
      <w:pPr>
        <w:pStyle w:val="Caption"/>
      </w:pPr>
      <w:r>
        <w:t xml:space="preserve">Two assumption checks for our OLS model: Normality (left) and Homogeneity (right)</w:t>
      </w:r>
    </w:p>
    <w:p>
      <w:pPr>
        <w:pStyle w:val="FigureWithoutNote"/>
      </w:pPr>
      <w:r>
        <w:drawing>
          <wp:inline>
            <wp:extent cx="5943600" cy="2971800"/>
            <wp:effectExtent b="0" l="0" r="0" t="0"/>
            <wp:docPr descr="" title="" id="72" name="Picture"/>
            <a:graphic>
              <a:graphicData uri="http://schemas.openxmlformats.org/drawingml/2006/picture">
                <pic:pic>
                  <pic:nvPicPr>
                    <pic:cNvPr descr="ms_files/figure-docx/fig-ols-assump-1.png" id="73" name="Picture"/>
                    <pic:cNvPicPr>
                      <a:picLocks noChangeArrowheads="1" noChangeAspect="1"/>
                    </pic:cNvPicPr>
                  </pic:nvPicPr>
                  <pic:blipFill>
                    <a:blip r:embed="rId71"/>
                    <a:stretch>
                      <a:fillRect/>
                    </a:stretch>
                  </pic:blipFill>
                  <pic:spPr bwMode="auto">
                    <a:xfrm>
                      <a:off x="0" y="0"/>
                      <a:ext cx="5943600" cy="2971800"/>
                    </a:xfrm>
                    <a:prstGeom prst="rect">
                      <a:avLst/>
                    </a:prstGeom>
                    <a:noFill/>
                    <a:ln w="9525">
                      <a:noFill/>
                      <a:headEnd/>
                      <a:tailEnd/>
                    </a:ln>
                  </pic:spPr>
                </pic:pic>
              </a:graphicData>
            </a:graphic>
          </wp:inline>
        </w:drawing>
      </w:r>
    </w:p>
    <w:bookmarkEnd w:id="74"/>
    <w:bookmarkStart w:id="78" w:name="fig-ppcheck-normal"/>
    <w:p>
      <w:pPr>
        <w:pStyle w:val="FigureTitle"/>
      </w:pPr>
      <w:r>
        <w:t xml:space="preserve">Figure 5</w:t>
      </w:r>
    </w:p>
    <w:p>
      <w:pPr>
        <w:pStyle w:val="Caption"/>
      </w:pPr>
      <w:r>
        <w:t xml:space="preserve">Posterior predictive check</w:t>
      </w:r>
    </w:p>
    <w:p>
      <w:pPr>
        <w:pStyle w:val="FigureWithoutNote"/>
      </w:pPr>
      <w:r>
        <w:drawing>
          <wp:inline>
            <wp:extent cx="5943600" cy="2971800"/>
            <wp:effectExtent b="0" l="0" r="0" t="0"/>
            <wp:docPr descr="" title="" id="76" name="Picture"/>
            <a:graphic>
              <a:graphicData uri="http://schemas.openxmlformats.org/drawingml/2006/picture">
                <pic:pic>
                  <pic:nvPicPr>
                    <pic:cNvPr descr="ms_files/figure-docx/fig-ppcheck-normal-1.png" id="77" name="Picture"/>
                    <pic:cNvPicPr>
                      <a:picLocks noChangeArrowheads="1" noChangeAspect="1"/>
                    </pic:cNvPicPr>
                  </pic:nvPicPr>
                  <pic:blipFill>
                    <a:blip r:embed="rId75"/>
                    <a:stretch>
                      <a:fillRect/>
                    </a:stretch>
                  </pic:blipFill>
                  <pic:spPr bwMode="auto">
                    <a:xfrm>
                      <a:off x="0" y="0"/>
                      <a:ext cx="5943600" cy="2971800"/>
                    </a:xfrm>
                    <a:prstGeom prst="rect">
                      <a:avLst/>
                    </a:prstGeom>
                    <a:noFill/>
                    <a:ln w="9525">
                      <a:noFill/>
                      <a:headEnd/>
                      <a:tailEnd/>
                    </a:ln>
                  </pic:spPr>
                </pic:pic>
              </a:graphicData>
            </a:graphic>
          </wp:inline>
        </w:drawing>
      </w:r>
    </w:p>
    <w:bookmarkEnd w:id="78"/>
    <w:p>
      <w:pPr>
        <w:pStyle w:val="AfterWithoutNote"/>
      </w:pPr>
      <w:r>
        <w:t xml:space="preserve">Given the outcome variable is proportional, one solution would be to run a beta regression model.</w:t>
      </w:r>
    </w:p>
    <w:p>
      <w:pPr>
        <w:pStyle w:val="BodyText"/>
      </w:pPr>
      <w:r>
        <w:t xml:space="preserve">Again, 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model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however, 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bookmarkStart w:id="79" w:name="tbl-01s"/>
    <w:p>
      <w:pPr>
        <w:pStyle w:val="FigureTitle"/>
      </w:pPr>
      <w:r>
        <w:t xml:space="preserve">Table 3</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9</w:t>
            </w:r>
          </w:p>
        </w:tc>
      </w:tr>
      <w:tr>
        <w:tc>
          <w:tcPr/>
          <w:p>
            <w:pPr>
              <w:pStyle w:val="Compact"/>
            </w:pPr>
            <w:r>
              <w:t xml:space="preserve">1</w:t>
            </w:r>
          </w:p>
        </w:tc>
        <w:tc>
          <w:tcPr/>
          <w:p>
            <w:pPr>
              <w:pStyle w:val="Compact"/>
            </w:pPr>
            <w:r>
              <w:t xml:space="preserve">1</w:t>
            </w:r>
          </w:p>
        </w:tc>
      </w:tr>
    </w:tbl>
    <w:bookmarkEnd w:id="79"/>
    <w:p>
      <w:pPr>
        <w:pStyle w:val="AfterWithoutNote"/>
      </w:pPr>
      <w:hyperlink w:anchor="tbl-01s">
        <w:r>
          <w:rPr>
            <w:rStyle w:val="Hyperlink"/>
          </w:rPr>
          <w:t xml:space="preserve">Table 3</w:t>
        </w:r>
      </w:hyperlink>
      <w:r>
        <w:t xml:space="preserve"> </w:t>
      </w:r>
      <w:r>
        <w:t xml:space="preserve">shows we have 9 rows with accuracy of 0, and 1 row with an accuracy of exactly 1. To run a Beta regression, a common hack is to nudge our 0s towards .01 and our 1s to .99 so they fall within the interval of [0-1]. The model</w:t>
      </w:r>
      <w:r>
        <w:t xml:space="preserve"> </w:t>
      </w:r>
      <w:r>
        <w:rPr>
          <w:rStyle w:val="VerbatimChar"/>
        </w:rPr>
        <w:t xml:space="preserve">beta_brms</w:t>
      </w:r>
      <w:r>
        <w:t xml:space="preserve"> </w:t>
      </w:r>
      <w:r>
        <w:t xml:space="preserve">uses data where 0s and 1s are changed to .01 and .99, respectively.</w:t>
      </w:r>
    </w:p>
    <w:p>
      <w:pPr>
        <w:pStyle w:val="BodyText"/>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BodyText"/>
      </w:pPr>
      <w:r>
        <w:t xml:space="preserve">No errors this time! We will perform the Beta regression using the nudged values of .01 and .99 values and report our results.</w:t>
      </w:r>
    </w:p>
    <w:p>
      <w:pPr>
        <w:pStyle w:val="Heading4"/>
        <w:rPr>
          <w:vanish/>
          <w:specVanish/>
        </w:rPr>
      </w:pPr>
      <w:r>
        <w:t>Model Parameters.</w:t>
      </w:r>
      <w:r>
        <w:t xml:space="preserve"> </w:t>
      </w:r>
    </w:p>
    <w:p>
      <w:pPr>
        <w:pStyle w:val="BodyText"/>
      </w:pPr>
      <w:hyperlink w:anchor="tbl-beta-brms">
        <w:r>
          <w:rPr>
            <w:rStyle w:val="Hyperlink"/>
          </w:rPr>
          <w:t xml:space="preserve">Table 4</w:t>
        </w:r>
      </w:hyperlink>
      <w:r>
        <w:t xml:space="preserve"> </w:t>
      </w:r>
      <w:r>
        <w:t xml:space="preserve">displays the summary from our Bayesian implementation.</w:t>
      </w:r>
      <w:r>
        <w:t xml:space="preserve"> </w:t>
      </w:r>
      <w:r>
        <w:rPr>
          <w:rStyle w:val="FootnoteReference"/>
        </w:rPr>
        <w:footnoteReference w:id="80"/>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1" w:name="tbl-beta-brms"/>
    <w:p>
      <w:pPr>
        <w:pStyle w:val="FigureTitle"/>
      </w:pPr>
      <w:r>
        <w:t xml:space="preserve">Table 4</w:t>
      </w:r>
    </w:p>
    <w:p>
      <w:pPr>
        <w:pStyle w:val="Caption"/>
      </w:pPr>
      <w:r>
        <w:t xml:space="preserve">Regression coefficients of a beta regression</w:t>
      </w:r>
      <w:r>
        <w:t xml:space="preserve"> </w:t>
      </w:r>
      <w:r>
        <w:rPr>
          <w:rStyle w:val="VerbatimChar"/>
        </w:rPr>
        <w:t xml:space="preserve">(beta_brms</w:t>
      </w:r>
      <w:r>
        <w:t xml:space="preserve"> </w:t>
      </w:r>
      <w:r>
        <w:t xml:space="preserve">model).</w:t>
      </w:r>
    </w:p>
    <w:tbl>
      <w:tblPr>
        <w:tblStyle w:val="Table"/>
        <w:tblW w:type="pct" w:w="3750"/>
        <w:tblLayout w:type="fixed"/>
        <w:tblLook w:firstRow="1" w:lastRow="0" w:firstColumn="0" w:lastColumn="0" w:noHBand="0" w:noVBand="0" w:val="0020"/>
      </w:tblPr>
      <w:tblGrid>
        <w:gridCol w:w="198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-1.033</w:t>
            </w:r>
          </w:p>
        </w:tc>
        <w:tc>
          <w:tcPr/>
          <w:p>
            <w:pPr>
              <w:pStyle w:val="Compact"/>
            </w:pPr>
            <w:r>
              <w:t xml:space="preserve">[-1.306, -0.758]</w:t>
            </w:r>
          </w:p>
        </w:tc>
        <w:tc>
          <w:tcPr/>
          <w:p>
            <w:pPr>
              <w:pStyle w:val="Compact"/>
            </w:pPr>
            <w:r>
              <w:t xml:space="preserve">1</w:t>
            </w:r>
          </w:p>
        </w:tc>
      </w:tr>
      <w:tr>
        <w:tc>
          <w:tcPr/>
          <w:p>
            <w:pPr>
              <w:pStyle w:val="Compact"/>
            </w:pPr>
            <w:r>
              <w:t xml:space="preserve">b_phi_Intercept</w:t>
            </w:r>
          </w:p>
        </w:tc>
        <w:tc>
          <w:tcPr/>
          <w:p>
            <w:pPr>
              <w:pStyle w:val="Compact"/>
            </w:pPr>
            <w:r>
              <w:t xml:space="preserve">1.214</w:t>
            </w:r>
          </w:p>
        </w:tc>
        <w:tc>
          <w:tcPr/>
          <w:p>
            <w:pPr>
              <w:pStyle w:val="Compact"/>
            </w:pPr>
            <w:r>
              <w:t xml:space="preserve">[0.943, 1.469]</w:t>
            </w:r>
          </w:p>
        </w:tc>
        <w:tc>
          <w:tcPr/>
          <w:p>
            <w:pPr>
              <w:pStyle w:val="Compact"/>
            </w:pPr>
            <w:r>
              <w:t xml:space="preserve">1</w:t>
            </w:r>
          </w:p>
        </w:tc>
      </w:tr>
      <w:tr>
        <w:tc>
          <w:tcPr/>
          <w:p>
            <w:pPr>
              <w:pStyle w:val="Compact"/>
            </w:pPr>
            <w:r>
              <w:t xml:space="preserve">b_FluencyFluent</w:t>
            </w:r>
          </w:p>
        </w:tc>
        <w:tc>
          <w:tcPr/>
          <w:p>
            <w:pPr>
              <w:pStyle w:val="Compact"/>
            </w:pPr>
            <w:r>
              <w:t xml:space="preserve">0.438</w:t>
            </w:r>
          </w:p>
        </w:tc>
        <w:tc>
          <w:tcPr/>
          <w:p>
            <w:pPr>
              <w:pStyle w:val="Compact"/>
            </w:pPr>
            <w:r>
              <w:t xml:space="preserve">[0.047, 0.831]</w:t>
            </w:r>
          </w:p>
        </w:tc>
        <w:tc>
          <w:tcPr/>
          <w:p>
            <w:pPr>
              <w:pStyle w:val="Compact"/>
            </w:pPr>
            <w:r>
              <w:t xml:space="preserve">0.985</w:t>
            </w:r>
          </w:p>
        </w:tc>
      </w:tr>
    </w:tbl>
    <w:bookmarkEnd w:id="81"/>
    <w:bookmarkEnd w:id="82"/>
    <w:bookmarkStart w:id="92" w:name="mean-mu-parameter"/>
    <w:p>
      <w:pPr>
        <w:pStyle w:val="Heading3"/>
      </w:pPr>
      <w:r>
        <w:t xml:space="preserve">Mean</w:t>
      </w:r>
      <w:r>
        <w:t xml:space="preserve"> </w:t>
      </w:r>
      <m:oMath>
        <m:r>
          <m:t>μ</m:t>
        </m:r>
      </m:oMath>
      <w:r>
        <w:t xml:space="preserve"> </w:t>
      </w:r>
      <w:r>
        <w:t xml:space="preserve">parameter</w:t>
      </w:r>
    </w:p>
    <w:bookmarkStart w:id="83" w:name="tbl-beta-mu"/>
    <w:p>
      <w:pPr>
        <w:pStyle w:val="FigureTitle"/>
      </w:pPr>
      <w:r>
        <w:t xml:space="preserve">Table 5</w:t>
      </w:r>
    </w:p>
    <w:p>
      <w:pPr>
        <w:pStyle w:val="Caption"/>
      </w:pPr>
      <w:r>
        <w:t xml:space="preserve">Regression coefficients for</w:t>
      </w:r>
      <w:r>
        <w:t xml:space="preserve"> </w:t>
      </w:r>
      <m:oMath>
        <m:r>
          <m:t>μ</m:t>
        </m:r>
      </m:oMath>
      <w:r>
        <w:t xml:space="preserve"> </w:t>
      </w:r>
      <w:r>
        <w:t xml:space="preserve">parameter (</w:t>
      </w:r>
      <w:r>
        <w:rPr>
          <w:rStyle w:val="VerbatimChar"/>
        </w:rPr>
        <w:t xml:space="preserve">beta_brms</w:t>
      </w:r>
      <w:r>
        <w:t xml:space="preserve"> </w:t>
      </w:r>
      <w:r>
        <w:t xml:space="preserve">model)</w:t>
      </w:r>
    </w:p>
    <w:tbl>
      <w:tblPr>
        <w:tblStyle w:val="Table"/>
        <w:tblW w:type="pct" w:w="3750"/>
        <w:tblLayout w:type="fixed"/>
        <w:tblLook w:firstRow="1" w:lastRow="0" w:firstColumn="0" w:lastColumn="0" w:noHBand="0" w:noVBand="0" w:val="0020"/>
      </w:tblPr>
      <w:tblGrid>
        <w:gridCol w:w="198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-1.033</w:t>
            </w:r>
          </w:p>
        </w:tc>
        <w:tc>
          <w:tcPr/>
          <w:p>
            <w:pPr>
              <w:pStyle w:val="Compact"/>
            </w:pPr>
            <w:r>
              <w:t xml:space="preserve">[-1.306, -0.758]</w:t>
            </w:r>
          </w:p>
        </w:tc>
        <w:tc>
          <w:tcPr/>
          <w:p>
            <w:pPr>
              <w:pStyle w:val="Compact"/>
            </w:pPr>
            <w:r>
              <w:t xml:space="preserve">1</w:t>
            </w:r>
          </w:p>
        </w:tc>
      </w:tr>
      <w:tr>
        <w:tc>
          <w:tcPr/>
          <w:p>
            <w:pPr>
              <w:pStyle w:val="Compact"/>
            </w:pPr>
            <w:r>
              <w:t xml:space="preserve">b_FluencyFluent</w:t>
            </w:r>
          </w:p>
        </w:tc>
        <w:tc>
          <w:tcPr/>
          <w:p>
            <w:pPr>
              <w:pStyle w:val="Compact"/>
            </w:pPr>
            <w:r>
              <w:t xml:space="preserve">0.438</w:t>
            </w:r>
          </w:p>
        </w:tc>
        <w:tc>
          <w:tcPr/>
          <w:p>
            <w:pPr>
              <w:pStyle w:val="Compact"/>
            </w:pPr>
            <w:r>
              <w:t xml:space="preserve">[0.047, 0.831]</w:t>
            </w:r>
          </w:p>
        </w:tc>
        <w:tc>
          <w:tcPr/>
          <w:p>
            <w:pPr>
              <w:pStyle w:val="Compact"/>
            </w:pPr>
            <w:r>
              <w:t xml:space="preserve">0.985</w:t>
            </w:r>
          </w:p>
        </w:tc>
      </w:tr>
    </w:tbl>
    <w:bookmarkEnd w:id="83"/>
    <w:p>
      <w:pPr>
        <w:pStyle w:val="AfterWithoutNote"/>
      </w:pPr>
      <w:r>
        <w:t xml:space="preserve">In</w:t>
      </w:r>
      <w:r>
        <w:t xml:space="preserve"> </w:t>
      </w:r>
      <w:hyperlink w:anchor="tbl-beta-mu">
        <w:r>
          <w:rPr>
            <w:rStyle w:val="Hyperlink"/>
          </w:rPr>
          <w:t xml:space="preserve">Table 5</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4"/>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6</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CommentTok"/>
        </w:rPr>
        <w:t xml:space="preserve"># use predictions to get predicted probs for each condition</w:t>
      </w:r>
      <w:r>
        <w:br/>
      </w:r>
      <w:r>
        <w:br/>
      </w: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 =</w:t>
      </w:r>
      <w:r>
        <w:rPr>
          <w:rStyle w:val="NormalTok"/>
        </w:rPr>
        <w:t xml:space="preserve"> </w:t>
      </w:r>
      <w:r>
        <w:rPr>
          <w:rStyle w:val="FunctionTok"/>
        </w:rPr>
        <w:t xml:space="preserve">c</w:t>
      </w:r>
      <w:r>
        <w:rPr>
          <w:rStyle w:val="NormalTok"/>
        </w:rPr>
        <w:t xml:space="preserve">(</w:t>
      </w:r>
      <w:r>
        <w:rPr>
          <w:rStyle w:val="StringTok"/>
        </w:rPr>
        <w:t xml:space="preserve">"Disfluent"</w:t>
      </w:r>
      <w:r>
        <w:rPr>
          <w:rStyle w:val="NormalTok"/>
        </w:rPr>
        <w:t xml:space="preserve">, </w:t>
      </w:r>
      <w:r>
        <w:rPr>
          <w:rStyle w:val="StringTok"/>
        </w:rPr>
        <w:t xml:space="preserve">"Fluent"</w:t>
      </w:r>
      <w:r>
        <w:rPr>
          <w:rStyle w:val="NormalTok"/>
        </w:rPr>
        <w:t xml:space="preserve">)) </w:t>
      </w:r>
      <w:r>
        <w:br/>
      </w:r>
      <w:r>
        <w:rPr>
          <w:rStyle w:val="NormalTok"/>
        </w:rPr>
        <w:t xml:space="preserve">)</w:t>
      </w:r>
    </w:p>
    <w:bookmarkStart w:id="85" w:name="tbl-predict-prob"/>
    <w:p>
      <w:pPr>
        <w:pStyle w:val="FigureTitle"/>
      </w:pPr>
      <w:r>
        <w:t xml:space="preserve">Table 6</w:t>
      </w:r>
    </w:p>
    <w:p>
      <w:pPr>
        <w:pStyle w:val="Caption"/>
      </w:pPr>
      <w:r>
        <w:t xml:space="preserve">Predicted probablities for fluency factor</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Fluency</w:t>
            </w:r>
          </w:p>
        </w:tc>
        <w:tc>
          <w:tcPr/>
          <w:p>
            <w:pPr>
              <w:pStyle w:val="Compact"/>
            </w:pPr>
            <w:r>
              <w:t xml:space="preserve">Mean</w:t>
            </w:r>
          </w:p>
        </w:tc>
        <w:tc>
          <w:tcPr/>
          <w:p>
            <w:pPr>
              <w:pStyle w:val="Compact"/>
            </w:pPr>
            <w:r>
              <w:t xml:space="preserve">95% Cr.I</w:t>
            </w:r>
          </w:p>
        </w:tc>
      </w:tr>
      <w:tr>
        <w:tc>
          <w:tcPr/>
          <w:p>
            <w:pPr>
              <w:pStyle w:val="Compact"/>
            </w:pPr>
            <w:r>
              <w:t xml:space="preserve">Disfluent</w:t>
            </w:r>
          </w:p>
        </w:tc>
        <w:tc>
          <w:tcPr/>
          <w:p>
            <w:pPr>
              <w:pStyle w:val="Compact"/>
            </w:pPr>
            <w:r>
              <w:t xml:space="preserve">0.263</w:t>
            </w:r>
          </w:p>
        </w:tc>
        <w:tc>
          <w:tcPr/>
          <w:p>
            <w:pPr>
              <w:pStyle w:val="Compact"/>
            </w:pPr>
            <w:r>
              <w:t xml:space="preserve">[0.213, 0.319]</w:t>
            </w:r>
          </w:p>
        </w:tc>
      </w:tr>
      <w:tr>
        <w:tc>
          <w:tcPr/>
          <w:p>
            <w:pPr>
              <w:pStyle w:val="Compact"/>
            </w:pPr>
            <w:r>
              <w:t xml:space="preserve">Fluent</w:t>
            </w:r>
          </w:p>
        </w:tc>
        <w:tc>
          <w:tcPr/>
          <w:p>
            <w:pPr>
              <w:pStyle w:val="Compact"/>
            </w:pPr>
            <w:r>
              <w:t xml:space="preserve">0.356</w:t>
            </w:r>
          </w:p>
        </w:tc>
        <w:tc>
          <w:tcPr/>
          <w:p>
            <w:pPr>
              <w:pStyle w:val="Compact"/>
            </w:pPr>
            <w:r>
              <w:t xml:space="preserve">[0.291, 0.424]</w:t>
            </w:r>
          </w:p>
        </w:tc>
      </w:tr>
    </w:tbl>
    <w:bookmarkEnd w:id="85"/>
    <w:p>
      <w:pPr>
        <w:pStyle w:val="AfterWithoutNote"/>
      </w:pPr>
      <w:r>
        <w:t xml:space="preserve">For the</w:t>
      </w:r>
      <w:r>
        <w:t xml:space="preserve"> </w:t>
      </w:r>
      <w:r>
        <w:rPr>
          <w:rStyle w:val="VerbatimChar"/>
        </w:rPr>
        <w:t xml:space="preserve">Fluency</w:t>
      </w:r>
      <w:r>
        <w:t xml:space="preserve"> </w:t>
      </w:r>
      <w:r>
        <w:t xml:space="preserve">factor, we can interpret the</w:t>
      </w:r>
      <w:r>
        <w:t xml:space="preserve"> </w:t>
      </w:r>
      <w:r>
        <w:rPr>
          <w:rStyle w:val="VerbatimChar"/>
        </w:rPr>
        <w:t xml:space="preserve">Mean</w:t>
      </w:r>
      <w:r>
        <w:t xml:space="preserve"> </w:t>
      </w:r>
      <w:r>
        <w:t xml:space="preserve">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6</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w:t>
      </w:r>
      <w:r>
        <w:rPr>
          <w:rStyle w:val="NormalTok"/>
        </w:rPr>
        <w:t xml:space="preserve">)</w:t>
      </w:r>
    </w:p>
    <w:bookmarkStart w:id="89" w:name="fig-plot-pre"/>
    <w:p>
      <w:pPr>
        <w:pStyle w:val="FigureTitle"/>
      </w:pPr>
      <w:r>
        <w:t xml:space="preserve">Figure 6</w:t>
      </w:r>
    </w:p>
    <w:p>
      <w:pPr>
        <w:pStyle w:val="Caption"/>
      </w:pPr>
      <w:r>
        <w:t xml:space="preserve">Predicted probablities for fluency factor</w:t>
      </w:r>
    </w:p>
    <w:p>
      <w:pPr>
        <w:pStyle w:val="FigureWithoutNote"/>
      </w:pPr>
      <w:r>
        <w:drawing>
          <wp:inline>
            <wp:extent cx="5943600" cy="2971800"/>
            <wp:effectExtent b="0" l="0" r="0" t="0"/>
            <wp:docPr descr="" title="" id="87" name="Picture"/>
            <a:graphic>
              <a:graphicData uri="http://schemas.openxmlformats.org/drawingml/2006/picture">
                <pic:pic>
                  <pic:nvPicPr>
                    <pic:cNvPr descr="ms_files/figure-docx/fig-plot-pre-1.png" id="88" name="Picture"/>
                    <pic:cNvPicPr>
                      <a:picLocks noChangeArrowheads="1" noChangeAspect="1"/>
                    </pic:cNvPicPr>
                  </pic:nvPicPr>
                  <pic:blipFill>
                    <a:blip r:embed="rId86"/>
                    <a:stretch>
                      <a:fillRect/>
                    </a:stretch>
                  </pic:blipFill>
                  <pic:spPr bwMode="auto">
                    <a:xfrm>
                      <a:off x="0" y="0"/>
                      <a:ext cx="5943600" cy="2971800"/>
                    </a:xfrm>
                    <a:prstGeom prst="rect">
                      <a:avLst/>
                    </a:prstGeom>
                    <a:noFill/>
                    <a:ln w="9525">
                      <a:noFill/>
                      <a:headEnd/>
                      <a:tailEnd/>
                    </a:ln>
                  </pic:spPr>
                </pic:pic>
              </a:graphicData>
            </a:graphic>
          </wp:inline>
        </w:drawing>
      </w:r>
    </w:p>
    <w:bookmarkEnd w:id="89"/>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8</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0" w:name="tbl-ame1"/>
    <w:p>
      <w:pPr>
        <w:pStyle w:val="FigureTitle"/>
      </w:pPr>
      <w:r>
        <w:t xml:space="preserve">Table 7</w:t>
      </w:r>
    </w:p>
    <w:p>
      <w:pPr>
        <w:pStyle w:val="Caption"/>
      </w:pPr>
      <w:r>
        <w:t xml:space="preserve">Risk difference for instructor fluency</w:t>
      </w:r>
    </w:p>
    <w:tbl>
      <w:tblPr>
        <w:tblStyle w:val="Table"/>
        <w:tblW w:type="pct" w:w="3819"/>
        <w:tblLayout w:type="fixed"/>
        <w:tblLook w:firstRow="1" w:lastRow="0" w:firstColumn="0" w:lastColumn="0" w:noHBand="0" w:noVBand="0" w:val="0020"/>
      </w:tblPr>
      <w:tblGrid>
        <w:gridCol w:w="1100"/>
        <w:gridCol w:w="2310"/>
        <w:gridCol w:w="880"/>
        <w:gridCol w:w="176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0.093</w:t>
            </w:r>
          </w:p>
        </w:tc>
        <w:tc>
          <w:tcPr/>
          <w:p>
            <w:pPr>
              <w:pStyle w:val="Compact"/>
            </w:pPr>
            <w:r>
              <w:t xml:space="preserve">[0.01, 0.175]</w:t>
            </w:r>
          </w:p>
        </w:tc>
      </w:tr>
    </w:tbl>
    <w:bookmarkEnd w:id="90"/>
    <w:p>
      <w:pPr>
        <w:pStyle w:val="AfterWithoutNote"/>
      </w:pPr>
      <w:hyperlink w:anchor="tbl-ame1">
        <w:r>
          <w:rPr>
            <w:rStyle w:val="Hyperlink"/>
          </w:rPr>
          <w:t xml:space="preserve">Table 7</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.09. That is, participants who watched a fluent instructor scored 9% higher on the final recall test than participants who watched the disfluent instructor.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8</w:t>
        </w:r>
      </w:hyperlink>
      <w:r>
        <w:t xml:space="preserve">).</w:t>
      </w:r>
    </w:p>
    <w:bookmarkStart w:id="91" w:name="tbl-or"/>
    <w:p>
      <w:pPr>
        <w:pStyle w:val="FigureTitle"/>
      </w:pPr>
      <w:r>
        <w:t xml:space="preserve">Table 8</w:t>
      </w:r>
    </w:p>
    <w:p>
      <w:pPr>
        <w:pStyle w:val="Caption"/>
      </w:pPr>
      <w:r>
        <w:t xml:space="preserve">Odds ratio for fluency factor</w:t>
      </w:r>
    </w:p>
    <w:tbl>
      <w:tblPr>
        <w:tblStyle w:val="Table"/>
        <w:tblW w:type="pct" w:w="4863"/>
        <w:tblLayout w:type="fixed"/>
        <w:tblLook w:firstRow="1" w:lastRow="0" w:firstColumn="0" w:lastColumn="0" w:noHBand="0" w:noVBand="0" w:val="0020"/>
      </w:tblPr>
      <w:tblGrid>
        <w:gridCol w:w="1084"/>
        <w:gridCol w:w="4014"/>
        <w:gridCol w:w="759"/>
        <w:gridCol w:w="1844"/>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ln(odds(Fluent) / odds(Disfluent))</w:t>
            </w:r>
          </w:p>
        </w:tc>
        <w:tc>
          <w:tcPr/>
          <w:p>
            <w:pPr>
              <w:pStyle w:val="Compact"/>
            </w:pPr>
            <w:r>
              <w:t xml:space="preserve">1.55</w:t>
            </w:r>
          </w:p>
        </w:tc>
        <w:tc>
          <w:tcPr/>
          <w:p>
            <w:pPr>
              <w:pStyle w:val="Compact"/>
            </w:pPr>
            <w:r>
              <w:t xml:space="preserve">[1.048, 2.294]</w:t>
            </w:r>
          </w:p>
        </w:tc>
      </w:tr>
    </w:tbl>
    <w:bookmarkEnd w:id="91"/>
    <w:p>
      <w:pPr>
        <w:pStyle w:val="AfterWithoutNote"/>
      </w:pPr>
      <w:r>
        <w:t xml:space="preserve">In psychology, it is common to report effect size measures like Cohen’s</w:t>
      </w:r>
      <w:r>
        <w:t xml:space="preserve"> </w:t>
      </w:r>
      <w:r>
        <w:rPr>
          <w:i/>
          <w:iCs/>
        </w:rPr>
        <w:t xml:space="preserve">d</w:t>
      </w:r>
      <w:r>
        <w:t xml:space="preserve"> </w:t>
      </w:r>
      <w:r>
        <w:t xml:space="preserve">(</w:t>
      </w:r>
      <w:hyperlink w:anchor="ref-cohen1977">
        <w:r>
          <w:rPr>
            <w:rStyle w:val="Hyperlink"/>
          </w:rPr>
          <w:t xml:space="preserve">Cohen, 1977</w:t>
        </w:r>
      </w:hyperlink>
      <w:r>
        <w:t xml:space="preserve">)</w:t>
      </w:r>
      <w:r>
        <w:t xml:space="preserve">.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Cr.Is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VerbatimChar"/>
        </w:rPr>
        <w:t xml:space="preserve">[1] 0.17</w:t>
      </w:r>
    </w:p>
    <w:p>
      <w:pPr>
        <w:pStyle w:val="FirstParagraph"/>
      </w:pPr>
      <w:r>
        <w:t xml:space="preserve">Using this metric we see the effect size is small (0.17), 95% Cr.I [-0.002, 0.361].</w:t>
      </w:r>
    </w:p>
    <w:bookmarkEnd w:id="92"/>
    <w:bookmarkStart w:id="100"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9</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9</w:t>
        </w:r>
      </w:hyperlink>
      <w:r>
        <w:t xml:space="preserve">).</w:t>
      </w:r>
    </w:p>
    <w:bookmarkStart w:id="93" w:name="tbl-phi-dis"/>
    <w:p>
      <w:pPr>
        <w:pStyle w:val="FigureTitle"/>
      </w:pPr>
      <w:r>
        <w:t xml:space="preserve">Table 9</w:t>
      </w:r>
    </w:p>
    <w:p>
      <w:pPr>
        <w:pStyle w:val="Caption"/>
      </w:pPr>
      <w:r>
        <w:t xml:space="preserve">Dispersion parameter</w:t>
      </w:r>
    </w:p>
    <w:tbl>
      <w:tblPr>
        <w:tblStyle w:val="Table"/>
        <w:tblW w:type="pct" w:w="3264"/>
        <w:tblLayout w:type="fixed"/>
        <w:tblLook w:firstRow="1" w:lastRow="0" w:firstColumn="0" w:lastColumn="0" w:noHBand="0" w:noVBand="0" w:val="0020"/>
      </w:tblPr>
      <w:tblGrid>
        <w:gridCol w:w="198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1.21</w:t>
            </w:r>
          </w:p>
        </w:tc>
        <w:tc>
          <w:tcPr/>
          <w:p>
            <w:pPr>
              <w:pStyle w:val="Compact"/>
            </w:pPr>
            <w:r>
              <w:t xml:space="preserve">[0.943, 1.469]</w:t>
            </w:r>
          </w:p>
        </w:tc>
        <w:tc>
          <w:tcPr/>
          <w:p>
            <w:pPr>
              <w:pStyle w:val="Compact"/>
            </w:pPr>
            <w:r>
              <w:t xml:space="preserve">1</w:t>
            </w:r>
          </w:p>
        </w:tc>
      </w:tr>
    </w:tbl>
    <w:bookmarkEnd w:id="93"/>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bookmarkStart w:id="94" w:name="tbl-beta-mu-dis"/>
    <w:p>
      <w:pPr>
        <w:pStyle w:val="FigureTitle"/>
      </w:pPr>
      <w:r>
        <w:t xml:space="preserve">Table 10</w:t>
      </w:r>
    </w:p>
    <w:p>
      <w:pPr>
        <w:pStyle w:val="Caption"/>
      </w:pPr>
      <w:r>
        <w:t xml:space="preserve">Regression coefficients for</w:t>
      </w:r>
      <w:r>
        <w:t xml:space="preserve"> </w:t>
      </w:r>
      <m:oMath>
        <m:r>
          <m:t>μ</m:t>
        </m:r>
      </m:oMath>
      <w:r>
        <w:t xml:space="preserve"> </w:t>
      </w:r>
      <w:r>
        <w:t xml:space="preserve">and</w:t>
      </w:r>
      <w:r>
        <w:t xml:space="preserve"> </w:t>
      </w:r>
      <m:oMath>
        <m:r>
          <m:t>ϕ</m:t>
        </m:r>
      </m:oMath>
      <w:r>
        <w:t xml:space="preserve"> </w:t>
      </w:r>
      <w:r>
        <w:t xml:space="preserve">parameters (</w:t>
      </w:r>
      <w:r>
        <w:rPr>
          <w:rStyle w:val="VerbatimChar"/>
        </w:rPr>
        <w:t xml:space="preserve">beta_brms_dis</w:t>
      </w:r>
      <w:r>
        <w:t xml:space="preserve"> </w:t>
      </w:r>
      <w:r>
        <w:t xml:space="preserve">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-0.916</w:t>
            </w:r>
          </w:p>
        </w:tc>
        <w:tc>
          <w:tcPr/>
          <w:p>
            <w:pPr>
              <w:pStyle w:val="Compact"/>
            </w:pPr>
            <w:r>
              <w:t xml:space="preserve">[-1.238, -0.598]</w:t>
            </w:r>
          </w:p>
        </w:tc>
        <w:tc>
          <w:tcPr/>
          <w:p>
            <w:pPr>
              <w:pStyle w:val="Compact"/>
            </w:pPr>
            <w:r>
              <w:t xml:space="preserve">1</w:t>
            </w:r>
          </w:p>
        </w:tc>
      </w:tr>
      <w:tr>
        <w:tc>
          <w:tcPr/>
          <w:p>
            <w:pPr>
              <w:pStyle w:val="Compact"/>
            </w:pPr>
            <w:r>
              <w:t xml:space="preserve">b_phi_Intercept</w:t>
            </w:r>
          </w:p>
        </w:tc>
        <w:tc>
          <w:tcPr/>
          <w:p>
            <w:pPr>
              <w:pStyle w:val="Compact"/>
            </w:pPr>
            <w:r>
              <w:t xml:space="preserve">0.877</w:t>
            </w:r>
          </w:p>
        </w:tc>
        <w:tc>
          <w:tcPr/>
          <w:p>
            <w:pPr>
              <w:pStyle w:val="Compact"/>
            </w:pPr>
            <w:r>
              <w:t xml:space="preserve">[0.513, 1.22]</w:t>
            </w:r>
          </w:p>
        </w:tc>
        <w:tc>
          <w:tcPr/>
          <w:p>
            <w:pPr>
              <w:pStyle w:val="Compact"/>
            </w:pPr>
            <w:r>
              <w:t xml:space="preserve">1</w:t>
            </w:r>
          </w:p>
        </w:tc>
      </w:tr>
      <w:tr>
        <w:tc>
          <w:tcPr/>
          <w:p>
            <w:pPr>
              <w:pStyle w:val="Compact"/>
            </w:pPr>
            <w:r>
              <w:t xml:space="preserve">b_FluencyFluent</w:t>
            </w:r>
          </w:p>
        </w:tc>
        <w:tc>
          <w:tcPr/>
          <w:p>
            <w:pPr>
              <w:pStyle w:val="Compact"/>
            </w:pPr>
            <w:r>
              <w:t xml:space="preserve">0.237</w:t>
            </w:r>
          </w:p>
        </w:tc>
        <w:tc>
          <w:tcPr/>
          <w:p>
            <w:pPr>
              <w:pStyle w:val="Compact"/>
            </w:pPr>
            <w:r>
              <w:t xml:space="preserve">[-0.168, 0.632]</w:t>
            </w:r>
          </w:p>
        </w:tc>
        <w:tc>
          <w:tcPr/>
          <w:p>
            <w:pPr>
              <w:pStyle w:val="Compact"/>
            </w:pPr>
            <w:r>
              <w:t xml:space="preserve">0.874</w:t>
            </w:r>
          </w:p>
        </w:tc>
      </w:tr>
      <w:tr>
        <w:tc>
          <w:tcPr/>
          <w:p>
            <w:pPr>
              <w:pStyle w:val="Compact"/>
            </w:pPr>
            <w:r>
              <w:t xml:space="preserve">b_phi_FluencyFluent</w:t>
            </w:r>
          </w:p>
        </w:tc>
        <w:tc>
          <w:tcPr/>
          <w:p>
            <w:pPr>
              <w:pStyle w:val="Compact"/>
            </w:pPr>
            <w:r>
              <w:t xml:space="preserve">0.931</w:t>
            </w:r>
          </w:p>
        </w:tc>
        <w:tc>
          <w:tcPr/>
          <w:p>
            <w:pPr>
              <w:pStyle w:val="Compact"/>
            </w:pPr>
            <w:r>
              <w:t xml:space="preserve">[0.383, 1.469]</w:t>
            </w:r>
          </w:p>
        </w:tc>
        <w:tc>
          <w:tcPr/>
          <w:p>
            <w:pPr>
              <w:pStyle w:val="Compact"/>
            </w:pPr>
            <w:r>
              <w:t xml:space="preserve">1</w:t>
            </w:r>
          </w:p>
        </w:tc>
      </w:tr>
    </w:tbl>
    <w:bookmarkEnd w:id="94"/>
    <w:p>
      <w:pPr>
        <w:pStyle w:val="AfterWithoutNote"/>
      </w:pPr>
      <w:hyperlink w:anchor="tbl-beta-mu-dis">
        <w:r>
          <w:rPr>
            <w:rStyle w:val="Hyperlink"/>
          </w:rPr>
          <w:t xml:space="preserve">Table 10</w:t>
        </w:r>
      </w:hyperlink>
      <w:r>
        <w:t xml:space="preserve"> </w:t>
      </w:r>
      <w:r>
        <w:t xml:space="preserve">displays the model summary with the precision parameter added to our model as a function of fluency.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11</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5" w:name="tbl-phi-beta-exp"/>
    <w:p>
      <w:pPr>
        <w:pStyle w:val="FigureTitle"/>
      </w:pPr>
      <w:r>
        <w:t xml:space="preserve">Table 11</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542"/>
        <w:tblLayout w:type="fixed"/>
        <w:tblLook w:firstRow="1" w:lastRow="0" w:firstColumn="0" w:lastColumn="0" w:noHBand="0" w:noVBand="0" w:val="0020"/>
      </w:tblPr>
      <w:tblGrid>
        <w:gridCol w:w="242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2.4</w:t>
            </w:r>
          </w:p>
        </w:tc>
        <w:tc>
          <w:tcPr/>
          <w:p>
            <w:pPr>
              <w:pStyle w:val="Compact"/>
            </w:pPr>
            <w:r>
              <w:t xml:space="preserve">[1.671, 3.387]</w:t>
            </w:r>
          </w:p>
        </w:tc>
        <w:tc>
          <w:tcPr/>
          <w:p>
            <w:pPr>
              <w:pStyle w:val="Compact"/>
            </w:pPr>
            <w:r>
              <w:t xml:space="preserve">1</w:t>
            </w:r>
          </w:p>
        </w:tc>
      </w:tr>
      <w:tr>
        <w:tc>
          <w:tcPr/>
          <w:p>
            <w:pPr>
              <w:pStyle w:val="Compact"/>
            </w:pPr>
            <w:r>
              <w:t xml:space="preserve">b_phi_FluencyFluent</w:t>
            </w:r>
          </w:p>
        </w:tc>
        <w:tc>
          <w:tcPr/>
          <w:p>
            <w:pPr>
              <w:pStyle w:val="Compact"/>
            </w:pPr>
            <w:r>
              <w:t xml:space="preserve">2.54</w:t>
            </w:r>
          </w:p>
        </w:tc>
        <w:tc>
          <w:tcPr/>
          <w:p>
            <w:pPr>
              <w:pStyle w:val="Compact"/>
            </w:pPr>
            <w:r>
              <w:t xml:space="preserve">[1.467, 4.346]</w:t>
            </w:r>
          </w:p>
        </w:tc>
        <w:tc>
          <w:tcPr/>
          <w:p>
            <w:pPr>
              <w:pStyle w:val="Compact"/>
            </w:pPr>
            <w:r>
              <w:t xml:space="preserve">1</w:t>
            </w:r>
          </w:p>
        </w:tc>
      </w:tr>
    </w:tbl>
    <w:bookmarkEnd w:id="95"/>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increased the uncertainty of the</w:t>
      </w:r>
      <w:r>
        <w:t xml:space="preserve"> </w:t>
      </w:r>
      <m:oMath>
        <m:r>
          <m:t>μ</m:t>
        </m:r>
      </m:oMath>
      <w:r>
        <w:t xml:space="preserve"> </w:t>
      </w:r>
      <w:r>
        <w:t xml:space="preserve">coefficient (see</w:t>
      </w:r>
      <w:r>
        <w:t xml:space="preserve"> </w:t>
      </w:r>
      <w:hyperlink w:anchor="fig-plt-diff">
        <w:r>
          <w:rPr>
            <w:rStyle w:val="Hyperlink"/>
          </w:rPr>
          <w:t xml:space="preserve">Figure 7</w:t>
        </w:r>
      </w:hyperlink>
      <w:r>
        <w:t xml:space="preserve">)–our Cr.I is now very close to zero.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99" w:name="fig-plt-diff"/>
    <w:p>
      <w:pPr>
        <w:pStyle w:val="FigureTitle"/>
      </w:pPr>
      <w:r>
        <w:t xml:space="preserve">Figure 7</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2971800"/>
            <wp:effectExtent b="0" l="0" r="0" t="0"/>
            <wp:docPr descr="" title="" id="97" name="Picture"/>
            <a:graphic>
              <a:graphicData uri="http://schemas.openxmlformats.org/drawingml/2006/picture">
                <pic:pic>
                  <pic:nvPicPr>
                    <pic:cNvPr descr="ms_files/figure-docx/fig-plt-diff-1.png" id="98" name="Picture"/>
                    <pic:cNvPicPr>
                      <a:picLocks noChangeArrowheads="1" noChangeAspect="1"/>
                    </pic:cNvPicPr>
                  </pic:nvPicPr>
                  <pic:blipFill>
                    <a:blip r:embed="rId96"/>
                    <a:stretch>
                      <a:fillRect/>
                    </a:stretch>
                  </pic:blipFill>
                  <pic:spPr bwMode="auto">
                    <a:xfrm>
                      <a:off x="0" y="0"/>
                      <a:ext cx="5943600" cy="2971800"/>
                    </a:xfrm>
                    <a:prstGeom prst="rect">
                      <a:avLst/>
                    </a:prstGeom>
                    <a:noFill/>
                    <a:ln w="9525">
                      <a:noFill/>
                      <a:headEnd/>
                      <a:tailEnd/>
                    </a:ln>
                  </pic:spPr>
                </pic:pic>
              </a:graphicData>
            </a:graphic>
          </wp:inline>
        </w:drawing>
      </w:r>
    </w:p>
    <w:bookmarkEnd w:id="99"/>
    <w:bookmarkEnd w:id="100"/>
    <w:bookmarkStart w:id="105"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8</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bookmarkStart w:id="104" w:name="fig-post-pred"/>
    <w:p>
      <w:pPr>
        <w:pStyle w:val="FigureTitle"/>
      </w:pPr>
      <w:r>
        <w:t xml:space="preserve">Figure 8</w:t>
      </w:r>
    </w:p>
    <w:p>
      <w:pPr>
        <w:pStyle w:val="Caption"/>
      </w:pPr>
      <w:r>
        <w:t xml:space="preserve">Posterior predictive check for our Beta model with 100 draws.</w:t>
      </w:r>
    </w:p>
    <w:p>
      <w:pPr>
        <w:pStyle w:val="FigureWithoutNote"/>
      </w:pPr>
      <w:r>
        <w:drawing>
          <wp:inline>
            <wp:extent cx="5943600" cy="2971800"/>
            <wp:effectExtent b="0" l="0" r="0" t="0"/>
            <wp:docPr descr="" title="" id="102" name="Picture"/>
            <a:graphic>
              <a:graphicData uri="http://schemas.openxmlformats.org/drawingml/2006/picture">
                <pic:pic>
                  <pic:nvPicPr>
                    <pic:cNvPr descr="ms_files/figure-docx/fig-post-pred-1.png" id="103" name="Picture"/>
                    <pic:cNvPicPr>
                      <a:picLocks noChangeArrowheads="1" noChangeAspect="1"/>
                    </pic:cNvPicPr>
                  </pic:nvPicPr>
                  <pic:blipFill>
                    <a:blip r:embed="rId101"/>
                    <a:stretch>
                      <a:fillRect/>
                    </a:stretch>
                  </pic:blipFill>
                  <pic:spPr bwMode="auto">
                    <a:xfrm>
                      <a:off x="0" y="0"/>
                      <a:ext cx="5943600" cy="2971800"/>
                    </a:xfrm>
                    <a:prstGeom prst="rect">
                      <a:avLst/>
                    </a:prstGeom>
                    <a:noFill/>
                    <a:ln w="9525">
                      <a:noFill/>
                      <a:headEnd/>
                      <a:tailEnd/>
                    </a:ln>
                  </pic:spPr>
                </pic:pic>
              </a:graphicData>
            </a:graphic>
          </wp:inline>
        </w:drawing>
      </w:r>
    </w:p>
    <w:bookmarkEnd w:id="104"/>
    <w:bookmarkEnd w:id="105"/>
    <w:bookmarkStart w:id="107" w:name="zero-inflated-beta-zib-regression"/>
    <w:p>
      <w:pPr>
        <w:pStyle w:val="Heading3"/>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Before we run a zero-inflated beta model, we will need to transform our data again and nudge our 1s to .99–we can keep our zeros.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6" w:name="tbl-brms-zib"/>
    <w:p>
      <w:pPr>
        <w:pStyle w:val="FigureTitle"/>
      </w:pPr>
      <w:r>
        <w:t xml:space="preserve">Table 12</w:t>
      </w:r>
    </w:p>
    <w:p>
      <w:pPr>
        <w:pStyle w:val="Caption"/>
      </w:pPr>
      <w:r>
        <w:t xml:space="preserve">Model summary (posterior distribution) for zero-inflated beta 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-0.659</w:t>
            </w:r>
          </w:p>
        </w:tc>
        <w:tc>
          <w:tcPr/>
          <w:p>
            <w:pPr>
              <w:pStyle w:val="Compact"/>
            </w:pPr>
            <w:r>
              <w:t xml:space="preserve">[-0.958, -0.353]</w:t>
            </w:r>
          </w:p>
        </w:tc>
        <w:tc>
          <w:tcPr/>
          <w:p>
            <w:pPr>
              <w:pStyle w:val="Compact"/>
            </w:pPr>
            <w:r>
              <w:t xml:space="preserve">1</w:t>
            </w:r>
          </w:p>
        </w:tc>
      </w:tr>
      <w:tr>
        <w:tc>
          <w:tcPr/>
          <w:p>
            <w:pPr>
              <w:pStyle w:val="Compact"/>
            </w:pPr>
            <w:r>
              <w:t xml:space="preserve">b_phi_Intercept</w:t>
            </w:r>
          </w:p>
        </w:tc>
        <w:tc>
          <w:tcPr/>
          <w:p>
            <w:pPr>
              <w:pStyle w:val="Compact"/>
            </w:pPr>
            <w:r>
              <w:t xml:space="preserve">1.187</w:t>
            </w:r>
          </w:p>
        </w:tc>
        <w:tc>
          <w:tcPr/>
          <w:p>
            <w:pPr>
              <w:pStyle w:val="Compact"/>
            </w:pPr>
            <w:r>
              <w:t xml:space="preserve">[0.806, 1.559]</w:t>
            </w:r>
          </w:p>
        </w:tc>
        <w:tc>
          <w:tcPr/>
          <w:p>
            <w:pPr>
              <w:pStyle w:val="Compact"/>
            </w:pPr>
            <w:r>
              <w:t xml:space="preserve">1</w:t>
            </w:r>
          </w:p>
        </w:tc>
      </w:tr>
      <w:tr>
        <w:tc>
          <w:tcPr/>
          <w:p>
            <w:pPr>
              <w:pStyle w:val="Compact"/>
            </w:pPr>
            <w:r>
              <w:t xml:space="preserve">b_FluencyFluent</w:t>
            </w:r>
          </w:p>
        </w:tc>
        <w:tc>
          <w:tcPr/>
          <w:p>
            <w:pPr>
              <w:pStyle w:val="Compact"/>
            </w:pPr>
            <w:r>
              <w:t xml:space="preserve">0.033</w:t>
            </w:r>
          </w:p>
        </w:tc>
        <w:tc>
          <w:tcPr/>
          <w:p>
            <w:pPr>
              <w:pStyle w:val="Compact"/>
            </w:pPr>
            <w:r>
              <w:t xml:space="preserve">[-0.331, 0.395]</w:t>
            </w:r>
          </w:p>
        </w:tc>
        <w:tc>
          <w:tcPr/>
          <w:p>
            <w:pPr>
              <w:pStyle w:val="Compact"/>
            </w:pPr>
            <w:r>
              <w:t xml:space="preserve">0.563</w:t>
            </w:r>
          </w:p>
        </w:tc>
      </w:tr>
      <w:tr>
        <w:tc>
          <w:tcPr/>
          <w:p>
            <w:pPr>
              <w:pStyle w:val="Compact"/>
            </w:pPr>
            <w:r>
              <w:t xml:space="preserve">b_phi_FluencyFluent</w:t>
            </w:r>
          </w:p>
        </w:tc>
        <w:tc>
          <w:tcPr/>
          <w:p>
            <w:pPr>
              <w:pStyle w:val="Compact"/>
            </w:pPr>
            <w:r>
              <w:t xml:space="preserve">0.841</w:t>
            </w:r>
          </w:p>
        </w:tc>
        <w:tc>
          <w:tcPr/>
          <w:p>
            <w:pPr>
              <w:pStyle w:val="Compact"/>
            </w:pPr>
            <w:r>
              <w:t xml:space="preserve">[0.294, 1.383]</w:t>
            </w:r>
          </w:p>
        </w:tc>
        <w:tc>
          <w:tcPr/>
          <w:p>
            <w:pPr>
              <w:pStyle w:val="Compact"/>
            </w:pPr>
            <w:r>
              <w:t xml:space="preserve">0.998</w:t>
            </w:r>
          </w:p>
        </w:tc>
      </w:tr>
      <w:tr>
        <w:tc>
          <w:tcPr/>
          <w:p>
            <w:pPr>
              <w:pStyle w:val="Compact"/>
            </w:pPr>
            <w:r>
              <w:t xml:space="preserve">b_zi_Intercept</w:t>
            </w:r>
          </w:p>
        </w:tc>
        <w:tc>
          <w:tcPr/>
          <w:p>
            <w:pPr>
              <w:pStyle w:val="Compact"/>
            </w:pPr>
            <w:r>
              <w:t xml:space="preserve">-1.681</w:t>
            </w:r>
          </w:p>
        </w:tc>
        <w:tc>
          <w:tcPr/>
          <w:p>
            <w:pPr>
              <w:pStyle w:val="Compact"/>
            </w:pPr>
            <w:r>
              <w:t xml:space="preserve">[-2.481, -0.946]</w:t>
            </w:r>
          </w:p>
        </w:tc>
        <w:tc>
          <w:tcPr/>
          <w:p>
            <w:pPr>
              <w:pStyle w:val="Compact"/>
            </w:pPr>
            <w:r>
              <w:t xml:space="preserve">1</w:t>
            </w:r>
          </w:p>
        </w:tc>
      </w:tr>
      <w:tr>
        <w:tc>
          <w:tcPr/>
          <w:p>
            <w:pPr>
              <w:pStyle w:val="Compact"/>
            </w:pPr>
            <w:r>
              <w:t xml:space="preserve">b_zi_FluencyFluent</w:t>
            </w:r>
          </w:p>
        </w:tc>
        <w:tc>
          <w:tcPr/>
          <w:p>
            <w:pPr>
              <w:pStyle w:val="Compact"/>
            </w:pPr>
            <w:r>
              <w:t xml:space="preserve">-2.123</w:t>
            </w:r>
          </w:p>
        </w:tc>
        <w:tc>
          <w:tcPr/>
          <w:p>
            <w:pPr>
              <w:pStyle w:val="Compact"/>
            </w:pPr>
            <w:r>
              <w:t xml:space="preserve">[-4.663, -0.34]</w:t>
            </w:r>
          </w:p>
        </w:tc>
        <w:tc>
          <w:tcPr/>
          <w:p>
            <w:pPr>
              <w:pStyle w:val="Compact"/>
            </w:pPr>
            <w:r>
              <w:t xml:space="preserve">0.993</w:t>
            </w:r>
          </w:p>
        </w:tc>
      </w:tr>
    </w:tbl>
    <w:bookmarkEnd w:id="106"/>
    <w:bookmarkEnd w:id="107"/>
    <w:bookmarkStart w:id="110"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12</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w:t>
      </w:r>
      <w:r>
        <w:t xml:space="preserve"> </w:t>
      </w:r>
      <w:r>
        <w:t xml:space="preserve">(</w:t>
      </w:r>
      <w:hyperlink w:anchor="ref-marginaleffects">
        <w:r>
          <w:rPr>
            <w:rStyle w:val="Hyperlink"/>
          </w:rPr>
          <w:t xml:space="preserve">Arel-Bundock, 2024</w:t>
        </w:r>
      </w:hyperlink>
      <w:r>
        <w:t xml:space="preserve">)</w:t>
      </w:r>
      <w:r>
        <w:t xml:space="preserv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13</w:t>
        </w:r>
      </w:hyperlink>
      <w:r>
        <w:t xml:space="preserve"> </w:t>
      </w:r>
      <w:r>
        <w:t xml:space="preserve">there is no significant effect for Fluency.</w:t>
      </w:r>
    </w:p>
    <w:bookmarkStart w:id="108" w:name="tbl-marg-mu-brms"/>
    <w:p>
      <w:pPr>
        <w:pStyle w:val="FigureTitle"/>
      </w:pPr>
      <w:r>
        <w:t xml:space="preserve">Table 13</w:t>
      </w:r>
    </w:p>
    <w:p>
      <w:pPr>
        <w:pStyle w:val="Caption"/>
      </w:pPr>
      <w:r>
        <w:t xml:space="preserve">Risk difference (</w:t>
      </w:r>
      <m:oMath>
        <m:r>
          <m:t>μ</m:t>
        </m:r>
      </m:oMath>
      <w:r>
        <w:t xml:space="preserve">) for fluency factor</w:t>
      </w:r>
    </w:p>
    <w:tbl>
      <w:tblPr>
        <w:tblStyle w:val="Table"/>
        <w:tblW w:type="pct" w:w="3958"/>
        <w:tblLayout w:type="fixed"/>
        <w:tblLook w:firstRow="1" w:lastRow="0" w:firstColumn="0" w:lastColumn="0" w:noHBand="0" w:noVBand="0" w:val="0020"/>
      </w:tblPr>
      <w:tblGrid>
        <w:gridCol w:w="1100"/>
        <w:gridCol w:w="23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0.007</w:t>
            </w:r>
          </w:p>
        </w:tc>
        <w:tc>
          <w:tcPr/>
          <w:p>
            <w:pPr>
              <w:pStyle w:val="Compact"/>
            </w:pPr>
            <w:r>
              <w:t xml:space="preserve">[-0.076, 0.087]</w:t>
            </w:r>
          </w:p>
        </w:tc>
      </w:tr>
    </w:tbl>
    <w:bookmarkEnd w:id="108"/>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14</w:t>
        </w:r>
      </w:hyperlink>
      <w:r>
        <w:t xml:space="preserve">, there is a significant effect of fluency on dispersion, with disfluency having a larger variation than fluency.</w:t>
      </w:r>
    </w:p>
    <w:bookmarkStart w:id="109" w:name="tbl-marg-phi-brms"/>
    <w:p>
      <w:pPr>
        <w:pStyle w:val="FigureTitle"/>
      </w:pPr>
      <w:r>
        <w:t xml:space="preserve">Table 14</w:t>
      </w:r>
    </w:p>
    <w:p>
      <w:pPr>
        <w:pStyle w:val="Caption"/>
      </w:pPr>
      <w:r>
        <w:t xml:space="preserve">Risk difference (</w:t>
      </w:r>
      <m:oMath>
        <m:r>
          <m:t>ϕ</m:t>
        </m:r>
      </m:oMath>
      <w:r>
        <w:t xml:space="preserve">) for fluency factor</w:t>
      </w:r>
    </w:p>
    <w:tbl>
      <w:tblPr>
        <w:tblStyle w:val="Table"/>
        <w:tblW w:type="pct" w:w="3819"/>
        <w:tblLayout w:type="fixed"/>
        <w:tblLook w:firstRow="1" w:lastRow="0" w:firstColumn="0" w:lastColumn="0" w:noHBand="0" w:noVBand="0" w:val="0020"/>
      </w:tblPr>
      <w:tblGrid>
        <w:gridCol w:w="1100"/>
        <w:gridCol w:w="2310"/>
        <w:gridCol w:w="77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4.43</w:t>
            </w:r>
          </w:p>
        </w:tc>
        <w:tc>
          <w:tcPr/>
          <w:p>
            <w:pPr>
              <w:pStyle w:val="Compact"/>
            </w:pPr>
            <w:r>
              <w:t xml:space="preserve">[1.365, 7.945]</w:t>
            </w:r>
          </w:p>
        </w:tc>
      </w:tr>
    </w:tbl>
    <w:bookmarkEnd w:id="109"/>
    <w:bookmarkEnd w:id="110"/>
    <w:bookmarkStart w:id="116"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15</w:t>
        </w:r>
      </w:hyperlink>
      <w:r>
        <w:t xml:space="preserve"> </w:t>
      </w:r>
      <w:r>
        <w:t xml:space="preserve">we see that watching a lecture video with a fluent instructor reduces the proportion of zeros by about 13%. The Cr.I does not include zero.</w:t>
      </w:r>
    </w:p>
    <w:bookmarkStart w:id="111" w:name="tbl-marg-zib-brms"/>
    <w:p>
      <w:pPr>
        <w:pStyle w:val="FigureTitle"/>
      </w:pPr>
      <w:r>
        <w:t xml:space="preserve">Table 15</w:t>
      </w:r>
    </w:p>
    <w:p>
      <w:pPr>
        <w:pStyle w:val="Caption"/>
      </w:pPr>
      <w:r>
        <w:t xml:space="preserve">Regression coefficients for ZIB model (</w:t>
      </w:r>
      <w:r>
        <w:rPr>
          <w:rStyle w:val="VerbatimChar"/>
        </w:rPr>
        <w:t xml:space="preserve">marg_zi_brms</w:t>
      </w:r>
      <w:r>
        <w:t xml:space="preserve">)</w:t>
      </w:r>
    </w:p>
    <w:tbl>
      <w:tblPr>
        <w:tblStyle w:val="Table"/>
        <w:tblW w:type="pct" w:w="4097"/>
        <w:tblLayout w:type="fixed"/>
        <w:tblLook w:firstRow="1" w:lastRow="0" w:firstColumn="0" w:lastColumn="0" w:noHBand="0" w:noVBand="0" w:val="0020"/>
      </w:tblPr>
      <w:tblGrid>
        <w:gridCol w:w="1100"/>
        <w:gridCol w:w="23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-0.132</w:t>
            </w:r>
          </w:p>
        </w:tc>
        <w:tc>
          <w:tcPr/>
          <w:p>
            <w:pPr>
              <w:pStyle w:val="Compact"/>
            </w:pPr>
            <w:r>
              <w:t xml:space="preserve">[-0.255, -0.027]</w:t>
            </w:r>
          </w:p>
        </w:tc>
      </w:tr>
    </w:tbl>
    <w:bookmarkEnd w:id="111"/>
    <w:p>
      <w:pPr>
        <w:pStyle w:val="AfterWithoutNote"/>
      </w:pPr>
      <w:r>
        <w:t xml:space="preserve">If we wanted we could easily visualize the zero-inflated part of the model (see</w:t>
      </w:r>
      <w:r>
        <w:t xml:space="preserve"> </w:t>
      </w:r>
      <w:hyperlink w:anchor="fig-zi-plot">
        <w:r>
          <w:rPr>
            <w:rStyle w:val="Hyperlink"/>
          </w:rPr>
          <w:t xml:space="preserve">Figure 9</w:t>
        </w:r>
      </w:hyperlink>
      <w:r>
        <w:t xml:space="preserve">).</w:t>
      </w:r>
    </w:p>
    <w:bookmarkStart w:id="115" w:name="fig-zi-plot"/>
    <w:p>
      <w:pPr>
        <w:pStyle w:val="FigureTitle"/>
      </w:pPr>
      <w:r>
        <w:t xml:space="preserve">Figure 9</w:t>
      </w:r>
    </w:p>
    <w:p>
      <w:pPr>
        <w:pStyle w:val="Caption"/>
      </w:pPr>
      <w:r>
        <w:t xml:space="preserve">Visualization of predicted probablites for zero-inflated part of model</w:t>
      </w:r>
    </w:p>
    <w:p>
      <w:pPr>
        <w:pStyle w:val="FigureWithoutNote"/>
      </w:pPr>
      <w:r>
        <w:drawing>
          <wp:inline>
            <wp:extent cx="5943600" cy="2971800"/>
            <wp:effectExtent b="0" l="0" r="0" t="0"/>
            <wp:docPr descr="" title="" id="113" name="Picture"/>
            <a:graphic>
              <a:graphicData uri="http://schemas.openxmlformats.org/drawingml/2006/picture">
                <pic:pic>
                  <pic:nvPicPr>
                    <pic:cNvPr descr="ms_files/figure-docx/fig-zi-plot-1.png" id="114" name="Picture"/>
                    <pic:cNvPicPr>
                      <a:picLocks noChangeArrowheads="1" noChangeAspect="1"/>
                    </pic:cNvPicPr>
                  </pic:nvPicPr>
                  <pic:blipFill>
                    <a:blip r:embed="rId112"/>
                    <a:stretch>
                      <a:fillRect/>
                    </a:stretch>
                  </pic:blipFill>
                  <pic:spPr bwMode="auto">
                    <a:xfrm>
                      <a:off x="0" y="0"/>
                      <a:ext cx="5943600" cy="2971800"/>
                    </a:xfrm>
                    <a:prstGeom prst="rect">
                      <a:avLst/>
                    </a:prstGeom>
                    <a:noFill/>
                    <a:ln w="9525">
                      <a:noFill/>
                      <a:headEnd/>
                      <a:tailEnd/>
                    </a:ln>
                  </pic:spPr>
                </pic:pic>
              </a:graphicData>
            </a:graphic>
          </wp:inline>
        </w:drawing>
      </w:r>
    </w:p>
    <w:bookmarkEnd w:id="115"/>
    <w:bookmarkEnd w:id="116"/>
    <w:bookmarkEnd w:id="117"/>
    <w:bookmarkStart w:id="122"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18"/>
      </w:r>
      <w:r>
        <w:t xml:space="preserve"> </w:t>
      </w:r>
      <w:r>
        <w:t xml:space="preserve">In our previous example, we nudged our 1s to .99. @kubinec2022 showed that this practice can result in serious distortion of the outcome as the</w:t>
      </w:r>
      <w:r>
        <w:t xml:space="preserve"> </w:t>
      </w:r>
      <w:r>
        <w:t xml:space="preserve">sample size 𝑁 grows larger, resulting in ever smaller values that are</w:t>
      </w:r>
      <w:r>
        <w:t xml:space="preserve"> </w:t>
      </w:r>
      <w:r>
        <w:t xml:space="preserve">“nudged”</w:t>
      </w:r>
      <w:r>
        <w:t xml:space="preserve">. Because the Beta</w:t>
      </w:r>
      <w:r>
        <w:t xml:space="preserve"> </w:t>
      </w:r>
      <w:r>
        <w:t xml:space="preserve">distribution is a non-linear model of the outcome, values that are very close to the boundary, such</w:t>
      </w:r>
      <w:r>
        <w:t xml:space="preserve"> </w:t>
      </w:r>
      <w:r>
        <w:t xml:space="preserve">as 0.00001 or 0.99999, will be highly influential outliers. 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16</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19" w:name="tbl-zoib"/>
    <w:p>
      <w:pPr>
        <w:pStyle w:val="FigureTitle"/>
      </w:pPr>
      <w:r>
        <w:t xml:space="preserve">Table 16</w:t>
      </w:r>
    </w:p>
    <w:p>
      <w:pPr>
        <w:pStyle w:val="Caption"/>
      </w:pPr>
      <w:r>
        <w:t xml:space="preserve">Model summary (posterior distribution) for the zero-one inflated beta 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-0.837</w:t>
            </w:r>
          </w:p>
        </w:tc>
        <w:tc>
          <w:tcPr/>
          <w:p>
            <w:pPr>
              <w:pStyle w:val="Compact"/>
            </w:pPr>
            <w:r>
              <w:t xml:space="preserve">[-1.103, -0.565]</w:t>
            </w:r>
          </w:p>
        </w:tc>
        <w:tc>
          <w:tcPr/>
          <w:p>
            <w:pPr>
              <w:pStyle w:val="Compact"/>
            </w:pPr>
            <w:r>
              <w:t xml:space="preserve">1</w:t>
            </w:r>
          </w:p>
        </w:tc>
      </w:tr>
      <w:tr>
        <w:tc>
          <w:tcPr/>
          <w:p>
            <w:pPr>
              <w:pStyle w:val="Compact"/>
            </w:pPr>
            <w:r>
              <w:t xml:space="preserve">b_phi_Intercept</w:t>
            </w:r>
          </w:p>
        </w:tc>
        <w:tc>
          <w:tcPr/>
          <w:p>
            <w:pPr>
              <w:pStyle w:val="Compact"/>
            </w:pPr>
            <w:r>
              <w:t xml:space="preserve">1.605</w:t>
            </w:r>
          </w:p>
        </w:tc>
        <w:tc>
          <w:tcPr/>
          <w:p>
            <w:pPr>
              <w:pStyle w:val="Compact"/>
            </w:pPr>
            <w:r>
              <w:t xml:space="preserve">[1.195, 1.979]</w:t>
            </w:r>
          </w:p>
        </w:tc>
        <w:tc>
          <w:tcPr/>
          <w:p>
            <w:pPr>
              <w:pStyle w:val="Compact"/>
            </w:pPr>
            <w:r>
              <w:t xml:space="preserve">1</w:t>
            </w:r>
          </w:p>
        </w:tc>
      </w:tr>
      <w:tr>
        <w:tc>
          <w:tcPr/>
          <w:p>
            <w:pPr>
              <w:pStyle w:val="Compact"/>
            </w:pPr>
            <w:r>
              <w:t xml:space="preserve">b_zoi_Intercept</w:t>
            </w:r>
          </w:p>
        </w:tc>
        <w:tc>
          <w:tcPr/>
          <w:p>
            <w:pPr>
              <w:pStyle w:val="Compact"/>
            </w:pPr>
            <w:r>
              <w:t xml:space="preserve">-1.542</w:t>
            </w:r>
          </w:p>
        </w:tc>
        <w:tc>
          <w:tcPr/>
          <w:p>
            <w:pPr>
              <w:pStyle w:val="Compact"/>
            </w:pPr>
            <w:r>
              <w:t xml:space="preserve">[-2.288, -0.847]</w:t>
            </w:r>
          </w:p>
        </w:tc>
        <w:tc>
          <w:tcPr/>
          <w:p>
            <w:pPr>
              <w:pStyle w:val="Compact"/>
            </w:pPr>
            <w:r>
              <w:t xml:space="preserve">1</w:t>
            </w:r>
          </w:p>
        </w:tc>
      </w:tr>
      <w:tr>
        <w:tc>
          <w:tcPr/>
          <w:p>
            <w:pPr>
              <w:pStyle w:val="Compact"/>
            </w:pPr>
            <w:r>
              <w:t xml:space="preserve">b_coi_Intercept</w:t>
            </w:r>
          </w:p>
        </w:tc>
        <w:tc>
          <w:tcPr/>
          <w:p>
            <w:pPr>
              <w:pStyle w:val="Compact"/>
            </w:pPr>
            <w:r>
              <w:t xml:space="preserve">-2.071</w:t>
            </w:r>
          </w:p>
        </w:tc>
        <w:tc>
          <w:tcPr/>
          <w:p>
            <w:pPr>
              <w:pStyle w:val="Compact"/>
            </w:pPr>
            <w:r>
              <w:t xml:space="preserve">[-4.519, -0.379]</w:t>
            </w:r>
          </w:p>
        </w:tc>
        <w:tc>
          <w:tcPr/>
          <w:p>
            <w:pPr>
              <w:pStyle w:val="Compact"/>
            </w:pPr>
            <w:r>
              <w:t xml:space="preserve">0.994</w:t>
            </w:r>
          </w:p>
        </w:tc>
      </w:tr>
      <w:tr>
        <w:tc>
          <w:tcPr/>
          <w:p>
            <w:pPr>
              <w:pStyle w:val="Compact"/>
            </w:pPr>
            <w:r>
              <w:t xml:space="preserve">b_FluencyFluent</w:t>
            </w:r>
          </w:p>
        </w:tc>
        <w:tc>
          <w:tcPr/>
          <w:p>
            <w:pPr>
              <w:pStyle w:val="Compact"/>
            </w:pPr>
            <w:r>
              <w:t xml:space="preserve">0.211</w:t>
            </w:r>
          </w:p>
        </w:tc>
        <w:tc>
          <w:tcPr/>
          <w:p>
            <w:pPr>
              <w:pStyle w:val="Compact"/>
            </w:pPr>
            <w:r>
              <w:t xml:space="preserve">[-0.124, 0.554]</w:t>
            </w:r>
          </w:p>
        </w:tc>
        <w:tc>
          <w:tcPr/>
          <w:p>
            <w:pPr>
              <w:pStyle w:val="Compact"/>
            </w:pPr>
            <w:r>
              <w:t xml:space="preserve">0.891</w:t>
            </w:r>
          </w:p>
        </w:tc>
      </w:tr>
      <w:tr>
        <w:tc>
          <w:tcPr/>
          <w:p>
            <w:pPr>
              <w:pStyle w:val="Compact"/>
            </w:pPr>
            <w:r>
              <w:t xml:space="preserve">b_phi_FluencyFluent</w:t>
            </w:r>
          </w:p>
        </w:tc>
        <w:tc>
          <w:tcPr/>
          <w:p>
            <w:pPr>
              <w:pStyle w:val="Compact"/>
            </w:pPr>
            <w:r>
              <w:t xml:space="preserve">0.422</w:t>
            </w:r>
          </w:p>
        </w:tc>
        <w:tc>
          <w:tcPr/>
          <w:p>
            <w:pPr>
              <w:pStyle w:val="Compact"/>
            </w:pPr>
            <w:r>
              <w:t xml:space="preserve">[-0.138, 0.994]</w:t>
            </w:r>
          </w:p>
        </w:tc>
        <w:tc>
          <w:tcPr/>
          <w:p>
            <w:pPr>
              <w:pStyle w:val="Compact"/>
            </w:pPr>
            <w:r>
              <w:t xml:space="preserve">0.928</w:t>
            </w:r>
          </w:p>
        </w:tc>
      </w:tr>
      <w:tr>
        <w:tc>
          <w:tcPr/>
          <w:p>
            <w:pPr>
              <w:pStyle w:val="Compact"/>
            </w:pPr>
            <w:r>
              <w:t xml:space="preserve">b_zoi_FluencyFluent</w:t>
            </w:r>
          </w:p>
        </w:tc>
        <w:tc>
          <w:tcPr/>
          <w:p>
            <w:pPr>
              <w:pStyle w:val="Compact"/>
            </w:pPr>
            <w:r>
              <w:t xml:space="preserve">-2.276</w:t>
            </w:r>
          </w:p>
        </w:tc>
        <w:tc>
          <w:tcPr/>
          <w:p>
            <w:pPr>
              <w:pStyle w:val="Compact"/>
            </w:pPr>
            <w:r>
              <w:t xml:space="preserve">[-4.785, -0.496]</w:t>
            </w:r>
          </w:p>
        </w:tc>
        <w:tc>
          <w:tcPr/>
          <w:p>
            <w:pPr>
              <w:pStyle w:val="Compact"/>
            </w:pPr>
            <w:r>
              <w:t xml:space="preserve">0.996</w:t>
            </w:r>
          </w:p>
        </w:tc>
      </w:tr>
      <w:tr>
        <w:tc>
          <w:tcPr/>
          <w:p>
            <w:pPr>
              <w:pStyle w:val="Compact"/>
            </w:pPr>
            <w:r>
              <w:t xml:space="preserve">b_coi_FluencyFluent</w:t>
            </w:r>
          </w:p>
        </w:tc>
        <w:tc>
          <w:tcPr/>
          <w:p>
            <w:pPr>
              <w:pStyle w:val="Compact"/>
            </w:pPr>
            <w:r>
              <w:t xml:space="preserve">0.242</w:t>
            </w:r>
          </w:p>
        </w:tc>
        <w:tc>
          <w:tcPr/>
          <w:p>
            <w:pPr>
              <w:pStyle w:val="Compact"/>
            </w:pPr>
            <w:r>
              <w:t xml:space="preserve">[-6.699, 5.597]</w:t>
            </w:r>
          </w:p>
        </w:tc>
        <w:tc>
          <w:tcPr/>
          <w:p>
            <w:pPr>
              <w:pStyle w:val="Compact"/>
            </w:pPr>
            <w:r>
              <w:t xml:space="preserve">0.574</w:t>
            </w:r>
          </w:p>
        </w:tc>
      </w:tr>
    </w:tbl>
    <w:bookmarkEnd w:id="119"/>
    <w:bookmarkStart w:id="120"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16</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rStyle w:val="VerbatimChar"/>
        </w:rPr>
        <w:t xml:space="preserve">brms</w:t>
      </w:r>
      <w:r>
        <w:t xml:space="preserve"> </w:t>
      </w:r>
      <w:r>
        <w:t xml:space="preserve">and</w:t>
      </w:r>
      <w:r>
        <w:t xml:space="preserve"> </w:t>
      </w:r>
      <w:r>
        <w:rPr>
          <w:rStyle w:val="VerbatimChar"/>
        </w:rPr>
        <w:t xml:space="preserve">marginaleffects</w:t>
      </w:r>
      <w:r>
        <w:t xml:space="preserve"> </w:t>
      </w:r>
      <w:r>
        <w:t xml:space="preserve">functions we used work the same.</w:t>
      </w:r>
    </w:p>
    <w:bookmarkEnd w:id="120"/>
    <w:bookmarkStart w:id="121"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 Our results are very similar to the zero-inflated model from above.</w:t>
      </w:r>
    </w:p>
    <w:bookmarkEnd w:id="121"/>
    <w:bookmarkEnd w:id="122"/>
    <w:bookmarkStart w:id="125"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16</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4"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3">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4"/>
    <w:bookmarkEnd w:id="125"/>
    <w:bookmarkStart w:id="143" w:name="model-parameters-2"/>
    <w:p>
      <w:pPr>
        <w:pStyle w:val="Heading2"/>
      </w:pPr>
      <w:r>
        <w:t xml:space="preserve">Model Parameters</w:t>
      </w:r>
    </w:p>
    <w:bookmarkStart w:id="126" w:name="tbl-ordbeta-summ"/>
    <w:p>
      <w:pPr>
        <w:pStyle w:val="FigureTitle"/>
      </w:pPr>
      <w:r>
        <w:t xml:space="preserve">Table 17</w:t>
      </w:r>
    </w:p>
    <w:p>
      <w:pPr>
        <w:pStyle w:val="Caption"/>
      </w:pPr>
      <w:r>
        <w:t xml:space="preserve">Regression coefficients for ordered beta regression (</w:t>
      </w:r>
      <w:r>
        <w:rPr>
          <w:rStyle w:val="VerbatimChar"/>
        </w:rPr>
        <w:t xml:space="preserve">ord_fit_brms</w:t>
      </w:r>
      <w:r>
        <w:t xml:space="preserve"> </w:t>
      </w:r>
      <w:r>
        <w:t xml:space="preserve">model)</w:t>
      </w:r>
    </w:p>
    <w:tbl>
      <w:tblPr>
        <w:tblStyle w:val="Table"/>
        <w:tblW w:type="pct" w:w="3681"/>
        <w:tblLayout w:type="fixed"/>
        <w:tblLook w:firstRow="1" w:lastRow="0" w:firstColumn="0" w:lastColumn="0" w:noHBand="0" w:noVBand="0" w:val="0020"/>
      </w:tblPr>
      <w:tblGrid>
        <w:gridCol w:w="1980"/>
        <w:gridCol w:w="990"/>
        <w:gridCol w:w="209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-0.896</w:t>
            </w:r>
          </w:p>
        </w:tc>
        <w:tc>
          <w:tcPr/>
          <w:p>
            <w:pPr>
              <w:pStyle w:val="Compact"/>
            </w:pPr>
            <w:r>
              <w:t xml:space="preserve">[-1.129, -0.665]</w:t>
            </w:r>
          </w:p>
        </w:tc>
        <w:tc>
          <w:tcPr/>
          <w:p>
            <w:pPr>
              <w:pStyle w:val="Compact"/>
            </w:pPr>
            <w:r>
              <w:t xml:space="preserve">1</w:t>
            </w:r>
          </w:p>
        </w:tc>
      </w:tr>
      <w:tr>
        <w:tc>
          <w:tcPr/>
          <w:p>
            <w:pPr>
              <w:pStyle w:val="Compact"/>
            </w:pPr>
            <w:r>
              <w:t xml:space="preserve">b_FluencyFluent</w:t>
            </w:r>
          </w:p>
        </w:tc>
        <w:tc>
          <w:tcPr/>
          <w:p>
            <w:pPr>
              <w:pStyle w:val="Compact"/>
            </w:pPr>
            <w:r>
              <w:t xml:space="preserve">0.314</w:t>
            </w:r>
          </w:p>
        </w:tc>
        <w:tc>
          <w:tcPr/>
          <w:p>
            <w:pPr>
              <w:pStyle w:val="Compact"/>
            </w:pPr>
            <w:r>
              <w:t xml:space="preserve">[-0.014, 0.629]</w:t>
            </w:r>
          </w:p>
        </w:tc>
        <w:tc>
          <w:tcPr/>
          <w:p>
            <w:pPr>
              <w:pStyle w:val="Compact"/>
            </w:pPr>
            <w:r>
              <w:t xml:space="preserve">0.97</w:t>
            </w:r>
          </w:p>
        </w:tc>
      </w:tr>
      <w:tr>
        <w:tc>
          <w:tcPr/>
          <w:p>
            <w:pPr>
              <w:pStyle w:val="Compact"/>
            </w:pPr>
            <w:r>
              <w:t xml:space="preserve">phi</w:t>
            </w:r>
          </w:p>
        </w:tc>
        <w:tc>
          <w:tcPr/>
          <w:p>
            <w:pPr>
              <w:pStyle w:val="Compact"/>
            </w:pPr>
            <w:r>
              <w:t xml:space="preserve">6.208</w:t>
            </w:r>
          </w:p>
        </w:tc>
        <w:tc>
          <w:tcPr/>
          <w:p>
            <w:pPr>
              <w:pStyle w:val="Compact"/>
            </w:pPr>
            <w:r>
              <w:t xml:space="preserve">[4.618, 8.047]</w:t>
            </w:r>
          </w:p>
        </w:tc>
        <w:tc>
          <w:tcPr/>
          <w:p>
            <w:pPr>
              <w:pStyle w:val="Compact"/>
            </w:pPr>
            <w:r>
              <w:t xml:space="preserve">1</w:t>
            </w:r>
          </w:p>
        </w:tc>
      </w:tr>
    </w:tbl>
    <w:bookmarkEnd w:id="126"/>
    <w:bookmarkStart w:id="127" w:name="mean-mu-1"/>
    <w:p>
      <w:pPr>
        <w:pStyle w:val="Heading3"/>
      </w:pPr>
      <w:r>
        <w:t xml:space="preserve">Mean (</w:t>
      </w:r>
      <m:oMath>
        <m:r>
          <m:t>μ</m:t>
        </m:r>
      </m:oMath>
      <w:r>
        <w:t xml:space="preserve">)</w:t>
      </w:r>
    </w:p>
    <w:p>
      <w:pPr>
        <w:pStyle w:val="FirstParagraph"/>
      </w:pPr>
      <w:hyperlink w:anchor="tbl-ordbeta-summ">
        <w:r>
          <w:rPr>
            <w:rStyle w:val="Hyperlink"/>
          </w:rPr>
          <w:t xml:space="preserve">Table 17</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Here, the Cr.I does not include zero and the pd = .98, so we can say there is an effect of</w:t>
      </w:r>
      <w:r>
        <w:t xml:space="preserve"> </w:t>
      </w:r>
      <w:r>
        <w:rPr>
          <w:rStyle w:val="VerbatimChar"/>
        </w:rPr>
        <w:t xml:space="preserve">Fluency</w:t>
      </w:r>
      <w:r>
        <w:t xml:space="preserve">.</w:t>
      </w:r>
    </w:p>
    <w:bookmarkEnd w:id="127"/>
    <w:bookmarkStart w:id="129"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17</w:t>
        </w:r>
      </w:hyperlink>
      <w:r>
        <w:t xml:space="preserve"> </w:t>
      </w:r>
      <w:r>
        <w:t xml:space="preserve">also includes an overall phi component. When we first fit the model we did not allow fluency to vary on this parameter, but we can easily do this–seen below.</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 </w:t>
      </w:r>
      <w:r>
        <w:br/>
      </w:r>
      <w:r>
        <w:rPr>
          <w:rStyle w:val="NormalTok"/>
        </w:rPr>
        <w:t xml:space="preserve">                       phi </w:t>
      </w:r>
      <w:r>
        <w:rPr>
          <w:rStyle w:val="SpecialCharTok"/>
        </w:rPr>
        <w:t xml:space="preserve">~</w:t>
      </w:r>
      <w:r>
        <w:rPr>
          <w:rStyle w:val="NormalTok"/>
        </w:rPr>
        <w:t xml:space="preserve"> Fluency),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28" w:name="tbl-phi-ordbeta"/>
    <w:p>
      <w:pPr>
        <w:pStyle w:val="FigureTitle"/>
      </w:pPr>
      <w:r>
        <w:t xml:space="preserve">Table 18</w:t>
      </w:r>
    </w:p>
    <w:p>
      <w:pPr>
        <w:pStyle w:val="Caption"/>
      </w:pPr>
      <w:r>
        <w:t xml:space="preserve">Regression coefficients for ordered beta regression with disperison for fluency (</w:t>
      </w:r>
      <w:r>
        <w:rPr>
          <w:rStyle w:val="VerbatimChar"/>
        </w:rPr>
        <w:t xml:space="preserve">m_phi</w:t>
      </w:r>
      <w:r>
        <w:t xml:space="preserve"> </w:t>
      </w:r>
      <w:r>
        <w:t xml:space="preserve">model)</w:t>
      </w:r>
    </w:p>
    <w:tbl>
      <w:tblPr>
        <w:tblStyle w:val="Table"/>
        <w:tblW w:type="pct" w:w="3958"/>
        <w:tblLayout w:type="fixed"/>
        <w:tblLook w:firstRow="1" w:lastRow="0" w:firstColumn="0" w:lastColumn="0" w:noHBand="0" w:noVBand="0" w:val="0020"/>
      </w:tblPr>
      <w:tblGrid>
        <w:gridCol w:w="2420"/>
        <w:gridCol w:w="990"/>
        <w:gridCol w:w="198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-0.867</w:t>
            </w:r>
          </w:p>
        </w:tc>
        <w:tc>
          <w:tcPr/>
          <w:p>
            <w:pPr>
              <w:pStyle w:val="Compact"/>
            </w:pPr>
            <w:r>
              <w:t xml:space="preserve">[-1.13, -0.61]</w:t>
            </w:r>
          </w:p>
        </w:tc>
        <w:tc>
          <w:tcPr/>
          <w:p>
            <w:pPr>
              <w:pStyle w:val="Compact"/>
            </w:pPr>
            <w:r>
              <w:t xml:space="preserve">1</w:t>
            </w:r>
          </w:p>
        </w:tc>
      </w:tr>
      <w:tr>
        <w:tc>
          <w:tcPr/>
          <w:p>
            <w:pPr>
              <w:pStyle w:val="Compact"/>
            </w:pPr>
            <w:r>
              <w:t xml:space="preserve">b_phi_Intercept</w:t>
            </w:r>
          </w:p>
        </w:tc>
        <w:tc>
          <w:tcPr/>
          <w:p>
            <w:pPr>
              <w:pStyle w:val="Compact"/>
            </w:pPr>
            <w:r>
              <w:t xml:space="preserve">1.614</w:t>
            </w:r>
          </w:p>
        </w:tc>
        <w:tc>
          <w:tcPr/>
          <w:p>
            <w:pPr>
              <w:pStyle w:val="Compact"/>
            </w:pPr>
            <w:r>
              <w:t xml:space="preserve">[1.209, 1.988]</w:t>
            </w:r>
          </w:p>
        </w:tc>
        <w:tc>
          <w:tcPr/>
          <w:p>
            <w:pPr>
              <w:pStyle w:val="Compact"/>
            </w:pPr>
            <w:r>
              <w:t xml:space="preserve">1</w:t>
            </w:r>
          </w:p>
        </w:tc>
      </w:tr>
      <w:tr>
        <w:tc>
          <w:tcPr/>
          <w:p>
            <w:pPr>
              <w:pStyle w:val="Compact"/>
            </w:pPr>
            <w:r>
              <w:t xml:space="preserve">b_FluencyFluent</w:t>
            </w:r>
          </w:p>
        </w:tc>
        <w:tc>
          <w:tcPr/>
          <w:p>
            <w:pPr>
              <w:pStyle w:val="Compact"/>
            </w:pPr>
            <w:r>
              <w:t xml:space="preserve">0.263</w:t>
            </w:r>
          </w:p>
        </w:tc>
        <w:tc>
          <w:tcPr/>
          <w:p>
            <w:pPr>
              <w:pStyle w:val="Compact"/>
            </w:pPr>
            <w:r>
              <w:t xml:space="preserve">[-0.064, 0.608]</w:t>
            </w:r>
          </w:p>
        </w:tc>
        <w:tc>
          <w:tcPr/>
          <w:p>
            <w:pPr>
              <w:pStyle w:val="Compact"/>
            </w:pPr>
            <w:r>
              <w:t xml:space="preserve">0.943</w:t>
            </w:r>
          </w:p>
        </w:tc>
      </w:tr>
      <w:tr>
        <w:tc>
          <w:tcPr/>
          <w:p>
            <w:pPr>
              <w:pStyle w:val="Compact"/>
            </w:pPr>
            <w:r>
              <w:t xml:space="preserve">b_phi_FluencyFluent</w:t>
            </w:r>
          </w:p>
        </w:tc>
        <w:tc>
          <w:tcPr/>
          <w:p>
            <w:pPr>
              <w:pStyle w:val="Compact"/>
            </w:pPr>
            <w:r>
              <w:t xml:space="preserve">0.407</w:t>
            </w:r>
          </w:p>
        </w:tc>
        <w:tc>
          <w:tcPr/>
          <w:p>
            <w:pPr>
              <w:pStyle w:val="Compact"/>
            </w:pPr>
            <w:r>
              <w:t xml:space="preserve">[-0.169, 0.962]</w:t>
            </w:r>
          </w:p>
        </w:tc>
        <w:tc>
          <w:tcPr/>
          <w:p>
            <w:pPr>
              <w:pStyle w:val="Compact"/>
            </w:pPr>
            <w:r>
              <w:t xml:space="preserve">0.915</w:t>
            </w:r>
          </w:p>
        </w:tc>
      </w:tr>
    </w:tbl>
    <w:bookmarkEnd w:id="128"/>
    <w:p>
      <w:pPr>
        <w:pStyle w:val="AfterWithoutNote"/>
      </w:pPr>
      <w:r>
        <w:t xml:space="preserve">In</w:t>
      </w:r>
      <w:r>
        <w:t xml:space="preserve"> </w:t>
      </w:r>
      <w:hyperlink w:anchor="tbl-phi-ordbeta">
        <w:r>
          <w:rPr>
            <w:rStyle w:val="Hyperlink"/>
          </w:rPr>
          <w:t xml:space="preserve">Table 18</w:t>
        </w:r>
      </w:hyperlink>
      <w:r>
        <w:t xml:space="preserve">,</w:t>
      </w:r>
      <w:r>
        <w:t xml:space="preserve"> </w:t>
      </w:r>
      <w:r>
        <w:rPr>
          <w:rStyle w:val="VerbatimChar"/>
        </w:rPr>
        <w:t xml:space="preserve">b_phi_Fluency1</w:t>
      </w:r>
      <w:r>
        <w:t xml:space="preserve"> </w:t>
      </w:r>
      <w:r>
        <w:t xml:space="preserve">is close enough to 0 relative to its uncertainty, we can say that in this case there likely aren’t major differences in variance between the fluent disfluent conditions. Looking at are</w:t>
      </w:r>
      <w:r>
        <w:t xml:space="preserve"> </w:t>
      </w:r>
      <m:oMath>
        <m:r>
          <m:t>μ</m:t>
        </m:r>
      </m:oMath>
      <w:r>
        <w:t xml:space="preserve"> </w:t>
      </w:r>
      <w:r>
        <w:t xml:space="preserve">we see that the 95% Cr.I includes zero, indicating no effect for fluency.</w:t>
      </w:r>
    </w:p>
    <w:bookmarkEnd w:id="129"/>
    <w:bookmarkStart w:id="131"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0" w:name="tbl-cutpoints"/>
    <w:p>
      <w:pPr>
        <w:pStyle w:val="FigureTitle"/>
      </w:pPr>
      <w:r>
        <w:t xml:space="preserve">Table 19</w:t>
      </w:r>
    </w:p>
    <w:p>
      <w:pPr>
        <w:pStyle w:val="Caption"/>
      </w:pPr>
      <w:r>
        <w:t xml:space="preserve">Cutzero and cutone parameter summary</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r>
      <w:tr>
        <w:tc>
          <w:tcPr/>
          <w:p>
            <w:pPr>
              <w:pStyle w:val="Compact"/>
            </w:pPr>
            <w:r>
              <w:t xml:space="preserve">cutzero</w:t>
            </w:r>
          </w:p>
        </w:tc>
        <w:tc>
          <w:tcPr/>
          <w:p>
            <w:pPr>
              <w:pStyle w:val="Compact"/>
            </w:pPr>
            <w:r>
              <w:t xml:space="preserve">-2.97</w:t>
            </w:r>
          </w:p>
        </w:tc>
        <w:tc>
          <w:tcPr/>
          <w:p>
            <w:pPr>
              <w:pStyle w:val="Compact"/>
            </w:pPr>
            <w:r>
              <w:t xml:space="preserve">[-3.57, -2.41]</w:t>
            </w:r>
          </w:p>
        </w:tc>
      </w:tr>
      <w:tr>
        <w:tc>
          <w:tcPr/>
          <w:p>
            <w:pPr>
              <w:pStyle w:val="Compact"/>
            </w:pPr>
            <w:r>
              <w:t xml:space="preserve">cutone</w:t>
            </w:r>
          </w:p>
        </w:tc>
        <w:tc>
          <w:tcPr/>
          <w:p>
            <w:pPr>
              <w:pStyle w:val="Compact"/>
            </w:pPr>
            <w:r>
              <w:t xml:space="preserve">1.85</w:t>
            </w:r>
          </w:p>
        </w:tc>
        <w:tc>
          <w:tcPr/>
          <w:p>
            <w:pPr>
              <w:pStyle w:val="Compact"/>
            </w:pPr>
            <w:r>
              <w:t xml:space="preserve">[1.64, 2.07]</w:t>
            </w:r>
          </w:p>
        </w:tc>
      </w:tr>
    </w:tbl>
    <w:bookmarkEnd w:id="130"/>
    <w:p>
      <w:pPr>
        <w:pStyle w:val="AfterWithoutNote"/>
      </w:pPr>
      <w:r>
        <w:t xml:space="preserve">In</w:t>
      </w:r>
      <w:r>
        <w:t xml:space="preserve"> </w:t>
      </w:r>
      <w:hyperlink w:anchor="tbl-cutpoints">
        <w:r>
          <w:rPr>
            <w:rStyle w:val="Hyperlink"/>
          </w:rPr>
          <w:t xml:space="preserve">Table 19</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1"/>
    <w:bookmarkStart w:id="140"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(see</w:t>
      </w:r>
      <w:r>
        <w:t xml:space="preserve"> </w:t>
      </w:r>
      <w:hyperlink w:anchor="fig-ppcheckord">
        <w:r>
          <w:rPr>
            <w:rStyle w:val="Hyperlink"/>
          </w:rPr>
          <w:t xml:space="preserve">Figure 10</w:t>
        </w:r>
      </w:hyperlink>
      <w:r>
        <w:t xml:space="preserve">).</w:t>
      </w:r>
    </w:p>
    <w:bookmarkStart w:id="135" w:name="fig-ppcheckord"/>
    <w:p>
      <w:pPr>
        <w:pStyle w:val="FigureTitle"/>
      </w:pPr>
      <w:r>
        <w:t xml:space="preserve">Figure 10</w:t>
      </w:r>
    </w:p>
    <w:p>
      <w:pPr>
        <w:pStyle w:val="Caption"/>
      </w:pPr>
      <w:r>
        <w:t xml:space="preserve">Posterior predictive check for ordered beta regression model. A. Discrete posterior check. B. Continuous posterior check.</w:t>
      </w:r>
    </w:p>
    <w:p>
      <w:pPr>
        <w:pStyle w:val="FigureWithoutNote"/>
      </w:pPr>
      <w:r>
        <w:drawing>
          <wp:inline>
            <wp:extent cx="5943600" cy="2971800"/>
            <wp:effectExtent b="0" l="0" r="0" t="0"/>
            <wp:docPr descr="" title="" id="133" name="Picture"/>
            <a:graphic>
              <a:graphicData uri="http://schemas.openxmlformats.org/drawingml/2006/picture">
                <pic:pic>
                  <pic:nvPicPr>
                    <pic:cNvPr descr="ms_files/figure-docx/fig-ppcheckord-1.png" id="134" name="Picture"/>
                    <pic:cNvPicPr>
                      <a:picLocks noChangeArrowheads="1" noChangeAspect="1"/>
                    </pic:cNvPicPr>
                  </pic:nvPicPr>
                  <pic:blipFill>
                    <a:blip r:embed="rId132"/>
                    <a:stretch>
                      <a:fillRect/>
                    </a:stretch>
                  </pic:blipFill>
                  <pic:spPr bwMode="auto">
                    <a:xfrm>
                      <a:off x="0" y="0"/>
                      <a:ext cx="5943600" cy="2971800"/>
                    </a:xfrm>
                    <a:prstGeom prst="rect">
                      <a:avLst/>
                    </a:prstGeom>
                    <a:noFill/>
                    <a:ln w="9525">
                      <a:noFill/>
                      <a:headEnd/>
                      <a:tailEnd/>
                    </a:ln>
                  </pic:spPr>
                </pic:pic>
              </a:graphicData>
            </a:graphic>
          </wp:inline>
        </w:drawing>
      </w:r>
    </w:p>
    <w:bookmarkEnd w:id="135"/>
    <w:p>
      <w:pPr>
        <w:pStyle w:val="AfterWithoutNote"/>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bookmarkStart w:id="139"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2971800"/>
            <wp:effectExtent b="0" l="0" r="0" t="0"/>
            <wp:docPr descr="" title="" id="137" name="Picture"/>
            <a:graphic>
              <a:graphicData uri="http://schemas.openxmlformats.org/drawingml/2006/picture">
                <pic:pic>
                  <pic:nvPicPr>
                    <pic:cNvPr descr="ms_files/figure-docx/fig-heiss-1.png" id="138" name="Picture"/>
                    <pic:cNvPicPr>
                      <a:picLocks noChangeArrowheads="1" noChangeAspect="1"/>
                    </pic:cNvPicPr>
                  </pic:nvPicPr>
                  <pic:blipFill>
                    <a:blip r:embed="rId136"/>
                    <a:stretch>
                      <a:fillRect/>
                    </a:stretch>
                  </pic:blipFill>
                  <pic:spPr bwMode="auto">
                    <a:xfrm>
                      <a:off x="0" y="0"/>
                      <a:ext cx="5943600" cy="2971800"/>
                    </a:xfrm>
                    <a:prstGeom prst="rect">
                      <a:avLst/>
                    </a:prstGeom>
                    <a:noFill/>
                    <a:ln w="9525">
                      <a:noFill/>
                      <a:headEnd/>
                      <a:tailEnd/>
                    </a:ln>
                  </pic:spPr>
                </pic:pic>
              </a:graphicData>
            </a:graphic>
          </wp:inline>
        </w:drawing>
      </w:r>
    </w:p>
    <w:bookmarkEnd w:id="139"/>
    <w:bookmarkEnd w:id="140"/>
    <w:bookmarkStart w:id="142" w:name="ordered-beta-scale"/>
    <w:p>
      <w:pPr>
        <w:pStyle w:val="Heading3"/>
      </w:pPr>
      <w:r>
        <w:t xml:space="preserve">Ordered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Start w:id="141" w:name="tbl-all"/>
    <w:p>
      <w:pPr>
        <w:pStyle w:val="FigureTitle"/>
      </w:pPr>
      <w:r>
        <w:t xml:space="preserve">Table 20</w:t>
      </w:r>
    </w:p>
    <w:p>
      <w:pPr>
        <w:pStyle w:val="Caption"/>
      </w:pPr>
      <w:r>
        <w:t xml:space="preserve">Regression model summaries for each model</w:t>
      </w:r>
    </w:p>
    <w:tbl>
      <w:tblPr>
        <w:tblStyle w:val="Table"/>
        <w:tblW w:type="pct" w:w="4907"/>
        <w:tblLayout w:type="fixed"/>
        <w:tblLook w:firstRow="1" w:lastRow="0" w:firstColumn="0" w:lastColumn="0" w:noHBand="0" w:noVBand="0" w:val="0020"/>
      </w:tblPr>
      <w:tblGrid>
        <w:gridCol w:w="647"/>
        <w:gridCol w:w="1177"/>
        <w:gridCol w:w="1148"/>
        <w:gridCol w:w="1177"/>
        <w:gridCol w:w="1207"/>
        <w:gridCol w:w="1236"/>
        <w:gridCol w:w="1177"/>
      </w:tblGrid>
      <w:tr>
        <w:trPr>
          <w:tblHeader w:val="on"/>
        </w:trPr>
        <w:tc>
          <w:tcPr/>
          <w:p>
            <w:pPr>
              <w:pStyle w:val="Compact"/>
            </w:pPr>
            <w:r>
              <w:t xml:space="preserve">Parameter</w:t>
            </w:r>
          </w:p>
        </w:tc>
        <w:tc>
          <w:tcPr/>
          <w:p>
            <w:pPr>
              <w:pStyle w:val="Compact"/>
            </w:pPr>
            <w:r>
              <w:t xml:space="preserve">Bayesian OLS</w:t>
            </w:r>
          </w:p>
        </w:tc>
        <w:tc>
          <w:tcPr/>
          <w:p>
            <w:pPr>
              <w:pStyle w:val="Compact"/>
            </w:pPr>
            <w:r>
              <w:t xml:space="preserve">Beta Regression</w:t>
            </w:r>
          </w:p>
        </w:tc>
        <w:tc>
          <w:tcPr/>
          <w:p>
            <w:pPr>
              <w:pStyle w:val="Compact"/>
            </w:pPr>
            <w:r>
              <w:t xml:space="preserve">Beta Regression (Dispersion</w:t>
            </w:r>
          </w:p>
        </w:tc>
        <w:tc>
          <w:tcPr/>
          <w:p>
            <w:pPr>
              <w:pStyle w:val="Compact"/>
            </w:pPr>
            <w:r>
              <w:t xml:space="preserve">Zero-Inflated</w:t>
            </w:r>
          </w:p>
        </w:tc>
        <w:tc>
          <w:tcPr/>
          <w:p>
            <w:pPr>
              <w:pStyle w:val="Compact"/>
            </w:pPr>
            <w:r>
              <w:t xml:space="preserve">Zero-One Inflated Beta</w:t>
            </w:r>
          </w:p>
        </w:tc>
        <w:tc>
          <w:tcPr/>
          <w:p>
            <w:pPr>
              <w:pStyle w:val="Compact"/>
            </w:pPr>
            <w:r>
              <w:t xml:space="preserve">Ordered Beta</w:t>
            </w:r>
          </w:p>
        </w:tc>
      </w:tr>
      <w:tr>
        <w:tc>
          <w:tcPr/>
          <w:p>
            <w:pPr>
              <w:pStyle w:val="Compact"/>
            </w:pPr>
            <w:r>
              <w:t xml:space="preserve">b_Intercept</w:t>
            </w:r>
          </w:p>
        </w:tc>
        <w:tc>
          <w:tcPr/>
          <w:p>
            <w:pPr>
              <w:pStyle w:val="Compact"/>
            </w:pPr>
            <w:r>
              <w:t xml:space="preserve">0.257 [0.2, 0.315](pd = 1)</w:t>
            </w:r>
          </w:p>
        </w:tc>
        <w:tc>
          <w:tcPr/>
          <w:p>
            <w:pPr>
              <w:pStyle w:val="Compact"/>
            </w:pPr>
            <w:r>
              <w:t xml:space="preserve">-1.033 [-1.306, -0.758](pd = 1)</w:t>
            </w:r>
          </w:p>
        </w:tc>
        <w:tc>
          <w:tcPr/>
          <w:p>
            <w:pPr>
              <w:pStyle w:val="Compact"/>
            </w:pPr>
            <w:r>
              <w:t xml:space="preserve">-0.916 [-1.238, -0.598](pd = 1)</w:t>
            </w:r>
          </w:p>
        </w:tc>
        <w:tc>
          <w:tcPr/>
          <w:p>
            <w:pPr>
              <w:pStyle w:val="Compact"/>
            </w:pPr>
            <w:r>
              <w:t xml:space="preserve">-0.659 [-0.958, -0.353](pd = 1)</w:t>
            </w:r>
          </w:p>
        </w:tc>
        <w:tc>
          <w:tcPr/>
          <w:p>
            <w:pPr>
              <w:pStyle w:val="Compact"/>
            </w:pPr>
            <w:r>
              <w:t xml:space="preserve">-0.837 [-1.103, -0.565](pd = 1)</w:t>
            </w:r>
          </w:p>
        </w:tc>
        <w:tc>
          <w:tcPr/>
          <w:p>
            <w:pPr>
              <w:pStyle w:val="Compact"/>
            </w:pPr>
            <w:r>
              <w:t xml:space="preserve">-0.867 [-1.13, -0.61](pd = 1)</w:t>
            </w:r>
          </w:p>
        </w:tc>
      </w:tr>
      <w:tr>
        <w:tc>
          <w:tcPr/>
          <w:p>
            <w:pPr>
              <w:pStyle w:val="Compact"/>
            </w:pPr>
            <w:r>
              <w:t xml:space="preserve">b_FluencyFluent</w:t>
            </w:r>
          </w:p>
        </w:tc>
        <w:tc>
          <w:tcPr/>
          <w:p>
            <w:pPr>
              <w:pStyle w:val="Compact"/>
            </w:pPr>
            <w:r>
              <w:t xml:space="preserve">0.084 [-0.002, 0.167](pd = 0.972)</w:t>
            </w:r>
          </w:p>
        </w:tc>
        <w:tc>
          <w:tcPr/>
          <w:p>
            <w:pPr>
              <w:pStyle w:val="Compact"/>
            </w:pPr>
            <w:r>
              <w:t xml:space="preserve">0.438 [0.047, 0.831](pd = 0.985)</w:t>
            </w:r>
          </w:p>
        </w:tc>
        <w:tc>
          <w:tcPr/>
          <w:p>
            <w:pPr>
              <w:pStyle w:val="Compact"/>
            </w:pPr>
            <w:r>
              <w:t xml:space="preserve">0.237 [-0.168, 0.632](pd = 0.874)</w:t>
            </w:r>
          </w:p>
        </w:tc>
        <w:tc>
          <w:tcPr/>
          <w:p>
            <w:pPr>
              <w:pStyle w:val="Compact"/>
            </w:pPr>
            <w:r>
              <w:t xml:space="preserve">0.033 [-0.331, 0.395](pd = 0.563)</w:t>
            </w:r>
          </w:p>
        </w:tc>
        <w:tc>
          <w:tcPr/>
          <w:p>
            <w:pPr>
              <w:pStyle w:val="Compact"/>
            </w:pPr>
            <w:r>
              <w:t xml:space="preserve">0.211 [-0.124, 0.554](pd = 0.891)</w:t>
            </w:r>
          </w:p>
        </w:tc>
        <w:tc>
          <w:tcPr/>
          <w:p>
            <w:pPr>
              <w:pStyle w:val="Compact"/>
            </w:pPr>
            <w:r>
              <w:t xml:space="preserve">0.263 [-0.064, 0.608](pd = 0.943)</w:t>
            </w:r>
          </w:p>
        </w:tc>
      </w:tr>
      <w:tr>
        <w:tc>
          <w:tcPr/>
          <w:p>
            <w:pPr>
              <w:pStyle w:val="Compact"/>
            </w:pPr>
            <w:r>
              <w:t xml:space="preserve">b_phi_Intercept</w:t>
            </w:r>
          </w:p>
        </w:tc>
        <w:tc>
          <w:tcPr/>
          <w:p/>
        </w:tc>
        <w:tc>
          <w:tcPr/>
          <w:p>
            <w:pPr>
              <w:pStyle w:val="Compact"/>
            </w:pPr>
            <w:r>
              <w:t xml:space="preserve">1.214 [0.943, 1.469](pd = 1)</w:t>
            </w:r>
          </w:p>
        </w:tc>
        <w:tc>
          <w:tcPr/>
          <w:p>
            <w:pPr>
              <w:pStyle w:val="Compact"/>
            </w:pPr>
            <w:r>
              <w:t xml:space="preserve">0.877 [0.513, 1.22](pd = 1)</w:t>
            </w:r>
          </w:p>
        </w:tc>
        <w:tc>
          <w:tcPr/>
          <w:p>
            <w:pPr>
              <w:pStyle w:val="Compact"/>
            </w:pPr>
            <w:r>
              <w:t xml:space="preserve">1.187 [0.806, 1.559](pd = 1)</w:t>
            </w:r>
          </w:p>
        </w:tc>
        <w:tc>
          <w:tcPr/>
          <w:p>
            <w:pPr>
              <w:pStyle w:val="Compact"/>
            </w:pPr>
            <w:r>
              <w:t xml:space="preserve">1.605 [1.195, 1.979](pd = 1)</w:t>
            </w:r>
          </w:p>
        </w:tc>
        <w:tc>
          <w:tcPr/>
          <w:p>
            <w:pPr>
              <w:pStyle w:val="Compact"/>
            </w:pPr>
            <w:r>
              <w:t xml:space="preserve">1.614 [1.209, 1.988](pd = 1)</w:t>
            </w:r>
          </w:p>
        </w:tc>
      </w:tr>
      <w:tr>
        <w:tc>
          <w:tcPr/>
          <w:p>
            <w:pPr>
              <w:pStyle w:val="Compact"/>
            </w:pPr>
            <w:r>
              <w:t xml:space="preserve">b_phi_FluencyFluent</w:t>
            </w:r>
          </w:p>
        </w:tc>
        <w:tc>
          <w:tcPr/>
          <w:p/>
        </w:tc>
        <w:tc>
          <w:tcPr/>
          <w:p/>
        </w:tc>
        <w:tc>
          <w:tcPr/>
          <w:p>
            <w:pPr>
              <w:pStyle w:val="Compact"/>
            </w:pPr>
            <w:r>
              <w:t xml:space="preserve">0.931 [0.383, 1.469](pd = 1)</w:t>
            </w:r>
          </w:p>
        </w:tc>
        <w:tc>
          <w:tcPr/>
          <w:p>
            <w:pPr>
              <w:pStyle w:val="Compact"/>
            </w:pPr>
            <w:r>
              <w:t xml:space="preserve">0.841 [0.294, 1.383](pd = 0.998)</w:t>
            </w:r>
          </w:p>
        </w:tc>
        <w:tc>
          <w:tcPr/>
          <w:p>
            <w:pPr>
              <w:pStyle w:val="Compact"/>
            </w:pPr>
            <w:r>
              <w:t xml:space="preserve">0.422 [-0.138, 0.994](pd = 0.928)</w:t>
            </w:r>
          </w:p>
        </w:tc>
        <w:tc>
          <w:tcPr/>
          <w:p>
            <w:pPr>
              <w:pStyle w:val="Compact"/>
            </w:pPr>
            <w:r>
              <w:t xml:space="preserve">0.407 [-0.169, 0.962](pd = 0.915)</w:t>
            </w:r>
          </w:p>
        </w:tc>
      </w:tr>
      <w:tr>
        <w:tc>
          <w:tcPr/>
          <w:p>
            <w:pPr>
              <w:pStyle w:val="Compact"/>
            </w:pPr>
            <w:r>
              <w:t xml:space="preserve">b_zi_Intercept</w:t>
            </w:r>
          </w:p>
        </w:tc>
        <w:tc>
          <w:tcPr/>
          <w:p/>
        </w:tc>
        <w:tc>
          <w:tcPr/>
          <w:p/>
        </w:tc>
        <w:tc>
          <w:tcPr/>
          <w:p/>
        </w:tc>
        <w:tc>
          <w:tcPr/>
          <w:p>
            <w:pPr>
              <w:pStyle w:val="Compact"/>
            </w:pPr>
            <w:r>
              <w:t xml:space="preserve">-1.681 [-2.481, -0.946](pd = 1)</w:t>
            </w:r>
          </w:p>
        </w:tc>
        <w:tc>
          <w:tcPr/>
          <w:p/>
        </w:tc>
        <w:tc>
          <w:tcPr/>
          <w:p/>
        </w:tc>
      </w:tr>
      <w:tr>
        <w:tc>
          <w:tcPr/>
          <w:p>
            <w:pPr>
              <w:pStyle w:val="Compact"/>
            </w:pPr>
            <w:r>
              <w:t xml:space="preserve">b_zi_FluencyFluent</w:t>
            </w:r>
          </w:p>
        </w:tc>
        <w:tc>
          <w:tcPr/>
          <w:p/>
        </w:tc>
        <w:tc>
          <w:tcPr/>
          <w:p/>
        </w:tc>
        <w:tc>
          <w:tcPr/>
          <w:p/>
        </w:tc>
        <w:tc>
          <w:tcPr/>
          <w:p>
            <w:pPr>
              <w:pStyle w:val="Compact"/>
            </w:pPr>
            <w:r>
              <w:t xml:space="preserve">-2.123 [-4.663, -0.34](pd = 0.993)</w:t>
            </w:r>
          </w:p>
        </w:tc>
        <w:tc>
          <w:tcPr/>
          <w:p/>
        </w:tc>
        <w:tc>
          <w:tcPr/>
          <w:p/>
        </w:tc>
      </w:tr>
      <w:tr>
        <w:tc>
          <w:tcPr/>
          <w:p>
            <w:pPr>
              <w:pStyle w:val="Compact"/>
            </w:pPr>
            <w:r>
              <w:t xml:space="preserve">b_zoi_Intercept</w:t>
            </w:r>
          </w:p>
        </w:tc>
        <w:tc>
          <w:tcPr/>
          <w:p/>
        </w:tc>
        <w:tc>
          <w:tcPr/>
          <w:p/>
        </w:tc>
        <w:tc>
          <w:tcPr/>
          <w:p/>
        </w:tc>
        <w:tc>
          <w:tcPr/>
          <w:p/>
        </w:tc>
        <w:tc>
          <w:tcPr/>
          <w:p>
            <w:pPr>
              <w:pStyle w:val="Compact"/>
            </w:pPr>
            <w:r>
              <w:t xml:space="preserve">-1.542 [-2.288, -0.847](pd = 1)</w:t>
            </w:r>
          </w:p>
        </w:tc>
        <w:tc>
          <w:tcPr/>
          <w:p/>
        </w:tc>
      </w:tr>
      <w:tr>
        <w:tc>
          <w:tcPr/>
          <w:p>
            <w:pPr>
              <w:pStyle w:val="Compact"/>
            </w:pPr>
            <w:r>
              <w:t xml:space="preserve">b_coi_Intercept</w:t>
            </w:r>
          </w:p>
        </w:tc>
        <w:tc>
          <w:tcPr/>
          <w:p/>
        </w:tc>
        <w:tc>
          <w:tcPr/>
          <w:p/>
        </w:tc>
        <w:tc>
          <w:tcPr/>
          <w:p/>
        </w:tc>
        <w:tc>
          <w:tcPr/>
          <w:p/>
        </w:tc>
        <w:tc>
          <w:tcPr/>
          <w:p>
            <w:pPr>
              <w:pStyle w:val="Compact"/>
            </w:pPr>
            <w:r>
              <w:t xml:space="preserve">-2.071 [-4.519, -0.379](pd = 0.994)</w:t>
            </w:r>
          </w:p>
        </w:tc>
        <w:tc>
          <w:tcPr/>
          <w:p/>
        </w:tc>
      </w:tr>
      <w:tr>
        <w:tc>
          <w:tcPr/>
          <w:p>
            <w:pPr>
              <w:pStyle w:val="Compact"/>
            </w:pPr>
            <w:r>
              <w:t xml:space="preserve">b_zoi_FluencyFluent</w:t>
            </w:r>
          </w:p>
        </w:tc>
        <w:tc>
          <w:tcPr/>
          <w:p/>
        </w:tc>
        <w:tc>
          <w:tcPr/>
          <w:p/>
        </w:tc>
        <w:tc>
          <w:tcPr/>
          <w:p/>
        </w:tc>
        <w:tc>
          <w:tcPr/>
          <w:p/>
        </w:tc>
        <w:tc>
          <w:tcPr/>
          <w:p>
            <w:pPr>
              <w:pStyle w:val="Compact"/>
            </w:pPr>
            <w:r>
              <w:t xml:space="preserve">-2.276 [-4.785, -0.496](pd = 0.996)</w:t>
            </w:r>
          </w:p>
        </w:tc>
        <w:tc>
          <w:tcPr/>
          <w:p/>
        </w:tc>
      </w:tr>
      <w:tr>
        <w:tc>
          <w:tcPr/>
          <w:p>
            <w:pPr>
              <w:pStyle w:val="Compact"/>
            </w:pPr>
            <w:r>
              <w:t xml:space="preserve">b_coi_FluencyFluent</w:t>
            </w:r>
          </w:p>
        </w:tc>
        <w:tc>
          <w:tcPr/>
          <w:p/>
        </w:tc>
        <w:tc>
          <w:tcPr/>
          <w:p/>
        </w:tc>
        <w:tc>
          <w:tcPr/>
          <w:p/>
        </w:tc>
        <w:tc>
          <w:tcPr/>
          <w:p/>
        </w:tc>
        <w:tc>
          <w:tcPr/>
          <w:p>
            <w:pPr>
              <w:pStyle w:val="Compact"/>
            </w:pPr>
            <w:r>
              <w:t xml:space="preserve">0.242 [-6.699, 5.597](pd = 0.574)</w:t>
            </w:r>
          </w:p>
        </w:tc>
        <w:tc>
          <w:tcPr/>
          <w:p/>
        </w:tc>
      </w:tr>
    </w:tbl>
    <w:bookmarkEnd w:id="141"/>
    <w:bookmarkEnd w:id="142"/>
    <w:bookmarkEnd w:id="143"/>
    <w:bookmarkEnd w:id="144"/>
    <w:bookmarkStart w:id="228"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of @wilford2020, we demonstrated that using traditional approaches (e.g.,</w:t>
      </w:r>
      <w:r>
        <w:t xml:space="preserve"> </w:t>
      </w:r>
      <w:r>
        <w:rPr>
          <w:i/>
          <w:iCs/>
        </w:rPr>
        <w:t xml:space="preserve">t</w:t>
      </w:r>
      <w:r>
        <w:t xml:space="preserve">-tests) to analyze accuracy data can lead to inaccurate inferences. Although we successfully reproduced one of their key findings, our use of Beta regression and its extensions revealed important nuances in the results. With a traditional Beta regression model—which accounts for both the mean and the precision (dispersion)—we observed similar effects of instructor fluency on performance. However, the standard Beta model does not accommodate boundary values (i.e., 0s and 1s).</w:t>
      </w:r>
    </w:p>
    <w:p>
      <w:pPr>
        <w:pStyle w:val="BodyText"/>
      </w:pPr>
      <w:r>
        <w:t xml:space="preserve">When we applied a zero-inflated Beta regression model, which explicitly accounts for structural zeros, we found no effect of fluency on the mean ($\mu$) part of the model. Instead, the effect of fluency emerged in the structural zero (inflated zero; $\alpha$) component. This pattern was consistent when using a zero-one-inflated Beta (ZOIB) model. Furthermore, we fit an ordered Beta regression model [@kubinec2022], which appropriately models the full range of values, including 0s and 1s. Here, we did not observe a reliable effect of fluency on the mean once we accounted for dispersion.</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key question becomes: What is the least problematic approach to handling proportional data? One reasonable option is to fit multiple models tailored to the specific characteristics of your data. For example, if your data contain zeros, you might fit two models: a traditional OLS regression excluding the zeros, and a logistic model to account for the zero versus non-zero distinction. If your data contain both zeros and ones, you could fit separate models for the zeros and ones in addition to the OLS model. There are many defensible strategies to choose from depending on the context. However, we do not recommend transforming the values of your data (e.g., 0s to .01 and 1s to .99) or ignoring the properties of your data simply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w:t>
      </w:r>
      <w:r>
        <w:t xml:space="preserve"> </w:t>
      </w:r>
      <w:r>
        <w:t xml:space="preserve">(</w:t>
      </w:r>
      <w:hyperlink w:anchor="ref-betareg">
        <w:r>
          <w:rPr>
            <w:rStyle w:val="Hyperlink"/>
          </w:rPr>
          <w:t xml:space="preserve">Cribari-Neto &amp; Zeileis, 2010</w:t>
        </w:r>
      </w:hyperlink>
      <w:r>
        <w:t xml:space="preserve">)</w:t>
      </w:r>
      <w:r>
        <w:t xml:space="preserve"> </w:t>
      </w:r>
      <w:r>
        <w:t xml:space="preserve">is a solid option, while more complex models such as zero-inflated and ordered beta regressions can be implemented using</w:t>
      </w:r>
      <w:r>
        <w:t xml:space="preserve"> </w:t>
      </w:r>
      <w:r>
        <w:rPr>
          <w:rStyle w:val="VerbatimChar"/>
        </w:rPr>
        <w:t xml:space="preserve">glmmTMB</w:t>
      </w:r>
      <w:r>
        <w:t xml:space="preserve"> </w:t>
      </w:r>
      <w:r>
        <w:t xml:space="preserve">(</w:t>
      </w:r>
      <w:hyperlink w:anchor="ref-glmmTMB">
        <w:r>
          <w:rPr>
            <w:rStyle w:val="Hyperlink"/>
          </w:rPr>
          <w:t xml:space="preserve">Brooks et al., 2017</w:t>
        </w:r>
      </w:hyperlink>
      <w:r>
        <w:t xml:space="preserve">)</w:t>
      </w:r>
      <w:r>
        <w:t xml:space="preserve">.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5"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5"/>
    <w:bookmarkStart w:id="227" w:name="references"/>
    <w:p>
      <w:pPr>
        <w:pStyle w:val="Heading2"/>
      </w:pPr>
      <w:r>
        <w:t xml:space="preserve">References</w:t>
      </w:r>
    </w:p>
    <w:bookmarkStart w:id="226" w:name="refs"/>
    <w:bookmarkStart w:id="147" w:name="ref-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146">
        <w:r>
          <w:rPr>
            <w:rStyle w:val="Hyperlink"/>
          </w:rPr>
          <w:t xml:space="preserve">https://CRAN.R-project.org/package=marginaleffects</w:t>
        </w:r>
      </w:hyperlink>
    </w:p>
    <w:bookmarkEnd w:id="147"/>
    <w:bookmarkStart w:id="149"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8">
        <w:r>
          <w:rPr>
            <w:rStyle w:val="Hyperlink"/>
          </w:rPr>
          <w:t xml:space="preserve">https://doi.org/10.18637/jss.v111.i09</w:t>
        </w:r>
      </w:hyperlink>
    </w:p>
    <w:bookmarkEnd w:id="149"/>
    <w:bookmarkStart w:id="151"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0">
        <w:r>
          <w:rPr>
            <w:rStyle w:val="Hyperlink"/>
          </w:rPr>
          <w:t xml:space="preserve">https://doi.org/10.2307/2983678</w:t>
        </w:r>
      </w:hyperlink>
    </w:p>
    <w:bookmarkEnd w:id="151"/>
    <w:bookmarkStart w:id="153"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2">
        <w:r>
          <w:rPr>
            <w:rStyle w:val="Hyperlink"/>
          </w:rPr>
          <w:t xml:space="preserve">https://doi.org/10.1037/met0000553</w:t>
        </w:r>
      </w:hyperlink>
    </w:p>
    <w:bookmarkEnd w:id="153"/>
    <w:bookmarkStart w:id="155" w:name="ref-glmmTMB"/>
    <w:p>
      <w:pPr>
        <w:pStyle w:val="Bibliography"/>
      </w:pPr>
      <w:r>
        <w:t xml:space="preserve">Brooks, M. E., Kristensen, K., van, K. J., Magnusson, A., Berg, C. W., Nielsen, A., Skaug, H. J., Maechler, M., &amp; Bolker, B. M. (2017).</w:t>
      </w:r>
      <w:r>
        <w:t xml:space="preserve"> </w:t>
      </w:r>
      <w:r>
        <w:rPr>
          <w:i/>
          <w:iCs/>
        </w:rPr>
        <w:t xml:space="preserve">glmmTMB</w:t>
      </w:r>
      <w:r>
        <w:rPr>
          <w:i/>
          <w:iCs/>
        </w:rPr>
        <w:t xml:space="preserve"> </w:t>
      </w:r>
      <w:r>
        <w:rPr>
          <w:i/>
          <w:iCs/>
        </w:rPr>
        <w:t xml:space="preserve">balances speed and flexibility among packages for zero-inflated generalized linear mixed modeling</w:t>
      </w:r>
      <w:r>
        <w:t xml:space="preserve">.</w:t>
      </w:r>
      <w:r>
        <w:t xml:space="preserve"> </w:t>
      </w:r>
      <w:r>
        <w:rPr>
          <w:i/>
          <w:iCs/>
        </w:rPr>
        <w:t xml:space="preserve">9</w:t>
      </w:r>
      <w:r>
        <w:t xml:space="preserve">.</w:t>
      </w:r>
      <w:r>
        <w:t xml:space="preserve"> </w:t>
      </w:r>
      <w:hyperlink r:id="rId154">
        <w:r>
          <w:rPr>
            <w:rStyle w:val="Hyperlink"/>
          </w:rPr>
          <w:t xml:space="preserve">https://doi.org/10.32614/RJ-2017-066</w:t>
        </w:r>
      </w:hyperlink>
    </w:p>
    <w:bookmarkEnd w:id="155"/>
    <w:bookmarkStart w:id="157"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6">
        <w:r>
          <w:rPr>
            <w:rStyle w:val="Hyperlink"/>
          </w:rPr>
          <w:t xml:space="preserve">https://doi.org/10.18637/jss.v080.i01</w:t>
        </w:r>
      </w:hyperlink>
    </w:p>
    <w:bookmarkEnd w:id="157"/>
    <w:bookmarkStart w:id="159"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8">
        <w:r>
          <w:rPr>
            <w:rStyle w:val="Hyperlink"/>
          </w:rPr>
          <w:t xml:space="preserve">https://doi.org/10.1177/2515245918823199</w:t>
        </w:r>
      </w:hyperlink>
    </w:p>
    <w:bookmarkEnd w:id="159"/>
    <w:bookmarkStart w:id="161"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60">
        <w:r>
          <w:rPr>
            <w:rStyle w:val="Hyperlink"/>
          </w:rPr>
          <w:t xml:space="preserve">https://doi.org/10.3758/s13423-013-0442-z</w:t>
        </w:r>
      </w:hyperlink>
    </w:p>
    <w:bookmarkEnd w:id="161"/>
    <w:bookmarkStart w:id="162" w:name="ref-cohen1977"/>
    <w:p>
      <w:pPr>
        <w:pStyle w:val="Bibliography"/>
      </w:pPr>
      <w:r>
        <w:t xml:space="preserve">Cohen, J. (1977).</w:t>
      </w:r>
      <w:r>
        <w:t xml:space="preserve"> </w:t>
      </w:r>
      <w:r>
        <w:rPr>
          <w:i/>
          <w:iCs/>
        </w:rPr>
        <w:t xml:space="preserve">Statistical power analysis for the behavioral sciences, rev. ed.</w:t>
      </w:r>
      <w:r>
        <w:t xml:space="preserve"> Lawrence Erlbaum Associates, Inc.</w:t>
      </w:r>
    </w:p>
    <w:bookmarkEnd w:id="162"/>
    <w:bookmarkStart w:id="164"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3">
        <w:r>
          <w:rPr>
            <w:rStyle w:val="Hyperlink"/>
          </w:rPr>
          <w:t xml:space="preserve">https://doi.org/10.31219/osf.io/f9rqg_v1</w:t>
        </w:r>
      </w:hyperlink>
      <w:r>
        <w:t xml:space="preserve">.</w:t>
      </w:r>
    </w:p>
    <w:bookmarkEnd w:id="164"/>
    <w:bookmarkStart w:id="166"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5">
        <w:r>
          <w:rPr>
            <w:rStyle w:val="Hyperlink"/>
          </w:rPr>
          <w:t xml:space="preserve">https://doi.org/10.18637/jss.v034.i02</w:t>
        </w:r>
      </w:hyperlink>
    </w:p>
    <w:bookmarkEnd w:id="166"/>
    <w:bookmarkStart w:id="168"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7">
        <w:r>
          <w:rPr>
            <w:rStyle w:val="Hyperlink"/>
          </w:rPr>
          <w:t xml:space="preserve">https://nixos.org/</w:t>
        </w:r>
      </w:hyperlink>
    </w:p>
    <w:bookmarkEnd w:id="168"/>
    <w:bookmarkStart w:id="170"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9">
        <w:r>
          <w:rPr>
            <w:rStyle w:val="Hyperlink"/>
          </w:rPr>
          <w:t xml:space="preserve">https://doi.org/10.1080/0266476042000214501</w:t>
        </w:r>
      </w:hyperlink>
    </w:p>
    <w:bookmarkEnd w:id="170"/>
    <w:bookmarkStart w:id="172"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71">
        <w:r>
          <w:rPr>
            <w:rStyle w:val="Hyperlink"/>
          </w:rPr>
          <w:t xml:space="preserve">https://doi.org/10.1007/s11121-021-01302-y</w:t>
        </w:r>
      </w:hyperlink>
    </w:p>
    <w:bookmarkEnd w:id="172"/>
    <w:bookmarkStart w:id="174"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3">
        <w:r>
          <w:rPr>
            <w:rStyle w:val="Hyperlink"/>
          </w:rPr>
          <w:t xml:space="preserve">https://mc-stan.org/cmdstanr/</w:t>
        </w:r>
      </w:hyperlink>
    </w:p>
    <w:bookmarkEnd w:id="174"/>
    <w:bookmarkStart w:id="176"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5">
        <w:r>
          <w:rPr>
            <w:rStyle w:val="Hyperlink"/>
          </w:rPr>
          <w:t xml:space="preserve">https://stat.columbia.edu/~gelman/book/</w:t>
        </w:r>
      </w:hyperlink>
    </w:p>
    <w:bookmarkEnd w:id="176"/>
    <w:bookmarkStart w:id="178"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7">
        <w:r>
          <w:rPr>
            <w:rStyle w:val="Hyperlink"/>
          </w:rPr>
          <w:t xml:space="preserve">http://dx.doi.org/10.59350/7p1a4-0tw75</w:t>
        </w:r>
      </w:hyperlink>
    </w:p>
    <w:bookmarkEnd w:id="178"/>
    <w:bookmarkStart w:id="179"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9"/>
    <w:bookmarkStart w:id="181"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80">
        <w:r>
          <w:rPr>
            <w:rStyle w:val="Hyperlink"/>
          </w:rPr>
          <w:t xml:space="preserve">https://doi.org/10.1016/j.wocn.2016.08.006</w:t>
        </w:r>
      </w:hyperlink>
    </w:p>
    <w:bookmarkEnd w:id="181"/>
    <w:bookmarkStart w:id="183"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82">
        <w:r>
          <w:rPr>
            <w:rStyle w:val="Hyperlink"/>
          </w:rPr>
          <w:t xml:space="preserve">https://doi.org/10.1017/pan.2022.20</w:t>
        </w:r>
      </w:hyperlink>
    </w:p>
    <w:bookmarkEnd w:id="183"/>
    <w:bookmarkStart w:id="185"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4">
        <w:r>
          <w:rPr>
            <w:rStyle w:val="Hyperlink"/>
          </w:rPr>
          <w:t xml:space="preserve">https://CRAN.R-project.org/package=ordbetareg</w:t>
        </w:r>
      </w:hyperlink>
    </w:p>
    <w:bookmarkEnd w:id="185"/>
    <w:bookmarkStart w:id="187"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6">
        <w:r>
          <w:rPr>
            <w:rStyle w:val="Hyperlink"/>
          </w:rPr>
          <w:t xml:space="preserve">https://doi.org/10.21105/joss.00772</w:t>
        </w:r>
      </w:hyperlink>
    </w:p>
    <w:bookmarkEnd w:id="187"/>
    <w:bookmarkStart w:id="189"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8">
        <w:r>
          <w:rPr>
            <w:rStyle w:val="Hyperlink"/>
          </w:rPr>
          <w:t xml:space="preserve">https://easystats.github.io/easystats/</w:t>
        </w:r>
      </w:hyperlink>
    </w:p>
    <w:bookmarkEnd w:id="189"/>
    <w:bookmarkStart w:id="191"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90">
        <w:r>
          <w:rPr>
            <w:rStyle w:val="Hyperlink"/>
          </w:rPr>
          <w:t xml:space="preserve">https://doi.org/10.3389/fpsyg.2019.02767</w:t>
        </w:r>
      </w:hyperlink>
    </w:p>
    <w:bookmarkEnd w:id="191"/>
    <w:bookmarkStart w:id="193"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92">
        <w:r>
          <w:rPr>
            <w:rStyle w:val="Hyperlink"/>
          </w:rPr>
          <w:t xml:space="preserve">https://doi.org/10.21105/joss.01541</w:t>
        </w:r>
      </w:hyperlink>
    </w:p>
    <w:bookmarkEnd w:id="193"/>
    <w:bookmarkStart w:id="195"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4">
        <w:r>
          <w:rPr>
            <w:rStyle w:val="Hyperlink"/>
          </w:rPr>
          <w:t xml:space="preserve">https://doi.org/10.1098/rsos.231713</w:t>
        </w:r>
      </w:hyperlink>
    </w:p>
    <w:bookmarkEnd w:id="195"/>
    <w:bookmarkStart w:id="197"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6">
        <w:r>
          <w:rPr>
            <w:rStyle w:val="Hyperlink"/>
          </w:rPr>
          <w:t xml:space="preserve">https://doi.org/10.1201/9780429029608</w:t>
        </w:r>
      </w:hyperlink>
    </w:p>
    <w:bookmarkEnd w:id="197"/>
    <w:bookmarkStart w:id="199"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8">
        <w:r>
          <w:rPr>
            <w:rStyle w:val="Hyperlink"/>
          </w:rPr>
          <w:t xml:space="preserve">https://doi.org/10.2307/2344614</w:t>
        </w:r>
      </w:hyperlink>
    </w:p>
    <w:bookmarkEnd w:id="199"/>
    <w:bookmarkStart w:id="201"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200">
        <w:r>
          <w:rPr>
            <w:rStyle w:val="Hyperlink"/>
          </w:rPr>
          <w:t xml:space="preserve">https://www.sciencedirect.com/science/article/pii/S0048969723041505</w:t>
        </w:r>
      </w:hyperlink>
    </w:p>
    <w:bookmarkEnd w:id="201"/>
    <w:bookmarkStart w:id="203"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202">
        <w:r>
          <w:rPr>
            <w:rStyle w:val="Hyperlink"/>
          </w:rPr>
          <w:t xml:space="preserve">https://doi.org/10.1093/oxfordjournals.pan.a004873</w:t>
        </w:r>
      </w:hyperlink>
    </w:p>
    <w:bookmarkEnd w:id="203"/>
    <w:bookmarkStart w:id="205"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4">
        <w:r>
          <w:rPr>
            <w:rStyle w:val="Hyperlink"/>
          </w:rPr>
          <w:t xml:space="preserve">https://www.R-project.org/</w:t>
        </w:r>
      </w:hyperlink>
    </w:p>
    <w:bookmarkEnd w:id="205"/>
    <w:bookmarkStart w:id="207"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6">
        <w:r>
          <w:rPr>
            <w:rStyle w:val="Hyperlink"/>
          </w:rPr>
          <w:t xml:space="preserve">https://docs.ropensci.org/rix/</w:t>
        </w:r>
      </w:hyperlink>
    </w:p>
    <w:bookmarkEnd w:id="207"/>
    <w:bookmarkStart w:id="209"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8">
        <w:r>
          <w:rPr>
            <w:rStyle w:val="Hyperlink"/>
          </w:rPr>
          <w:t xml:space="preserve">https://doi.org/10.1177/08902070241239834</w:t>
        </w:r>
      </w:hyperlink>
    </w:p>
    <w:bookmarkEnd w:id="209"/>
    <w:bookmarkStart w:id="211"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10">
        <w:r>
          <w:rPr>
            <w:rStyle w:val="Hyperlink"/>
          </w:rPr>
          <w:t xml:space="preserve">https://doi.org/10.31234/osf.io/4rznt</w:t>
        </w:r>
      </w:hyperlink>
    </w:p>
    <w:bookmarkEnd w:id="211"/>
    <w:bookmarkStart w:id="213"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12">
        <w:r>
          <w:rPr>
            <w:rStyle w:val="Hyperlink"/>
          </w:rPr>
          <w:t xml:space="preserve">https://doi.org/10.1001/jamanetworkopen.2023.53401</w:t>
        </w:r>
      </w:hyperlink>
    </w:p>
    <w:bookmarkEnd w:id="213"/>
    <w:bookmarkStart w:id="215"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4">
        <w:r>
          <w:rPr>
            <w:rStyle w:val="Hyperlink"/>
          </w:rPr>
          <w:t xml:space="preserve">https://mc-stan.org</w:t>
        </w:r>
      </w:hyperlink>
    </w:p>
    <w:bookmarkEnd w:id="215"/>
    <w:bookmarkStart w:id="217"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6">
        <w:r>
          <w:rPr>
            <w:rStyle w:val="Hyperlink"/>
          </w:rPr>
          <w:t xml:space="preserve">https://doi.org/10.1007/s11409-017-9175-0</w:t>
        </w:r>
      </w:hyperlink>
    </w:p>
    <w:bookmarkEnd w:id="217"/>
    <w:bookmarkStart w:id="219"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8">
        <w:r>
          <w:rPr>
            <w:rStyle w:val="Hyperlink"/>
          </w:rPr>
          <w:t xml:space="preserve">https://vuorre.com/posts/2019-02-18-analyze-analog-scale-ratings-with-zero-one-inflated-beta-models</w:t>
        </w:r>
      </w:hyperlink>
    </w:p>
    <w:bookmarkEnd w:id="219"/>
    <w:bookmarkStart w:id="221"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20">
        <w:r>
          <w:rPr>
            <w:rStyle w:val="Hyperlink"/>
          </w:rPr>
          <w:t xml:space="preserve">https://doi.org/10.1002/acp.3724</w:t>
        </w:r>
      </w:hyperlink>
    </w:p>
    <w:bookmarkEnd w:id="221"/>
    <w:bookmarkStart w:id="223"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2">
        <w:r>
          <w:rPr>
            <w:rStyle w:val="Hyperlink"/>
          </w:rPr>
          <w:t xml:space="preserve">https://doi.org/10.1111/gcb.17422</w:t>
        </w:r>
      </w:hyperlink>
    </w:p>
    <w:bookmarkEnd w:id="223"/>
    <w:bookmarkStart w:id="225"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4">
        <w:r>
          <w:rPr>
            <w:rStyle w:val="Hyperlink"/>
          </w:rPr>
          <w:t xml:space="preserve">https://doi.org/10.1037/mac0000003</w:t>
        </w:r>
      </w:hyperlink>
    </w:p>
    <w:bookmarkEnd w:id="225"/>
    <w:bookmarkEnd w:id="226"/>
    <w:bookmarkEnd w:id="227"/>
    <w:bookmarkEnd w:id="22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In this article, we try to limit code where possible; however, the online version has all the code needed to reproduce all analyses herein. Furthermore, 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footnote>
  <w:footnote w:id="58">
    <w:p>
      <w:pPr>
        <w:pStyle w:val="FootnoteText"/>
      </w:pPr>
      <w:r>
        <w:rPr>
          <w:rStyle w:val="FootnoteReference"/>
        </w:rPr>
        <w:footnoteRef/>
      </w:r>
      <w:r>
        <w:t xml:space="preserve"> </w:t>
      </w:r>
      <w:r>
        <w:t xml:space="preserve">See an example of the fluent video here:</w:t>
      </w:r>
      <w:r>
        <w:t xml:space="preserve"> </w:t>
      </w:r>
      <w:hyperlink r:id="rId59">
        <w:r>
          <w:rPr>
            <w:rStyle w:val="Hyperlink"/>
          </w:rPr>
          <w:t xml:space="preserve">https://osf.io/hwzuk</w:t>
        </w:r>
      </w:hyperlink>
      <w:r>
        <w:t xml:space="preserve">. See an example of the disfluent video here:</w:t>
      </w:r>
      <w:r>
        <w:t xml:space="preserve"> </w:t>
      </w:r>
      <w:hyperlink r:id="rId60">
        <w:r>
          <w:rPr>
            <w:rStyle w:val="Hyperlink"/>
          </w:rPr>
          <w:t xml:space="preserve">https://osf.io/ra7be</w:t>
        </w:r>
      </w:hyperlink>
      <w:r>
        <w:t xml:space="preserve">.</w:t>
      </w:r>
    </w:p>
  </w:footnote>
  <w:footnote w:id="61">
    <w:p>
      <w:pPr>
        <w:pStyle w:val="FootnoteText"/>
      </w:pPr>
      <w:r>
        <w:rPr>
          <w:rStyle w:val="FootnoteReference"/>
        </w:rPr>
        <w:footnoteRef/>
      </w:r>
      <w:r>
        <w:t xml:space="preserve"> </w:t>
      </w:r>
      <w:r>
        <w:t xml:space="preserve">See an example of the fluent video here:</w:t>
      </w:r>
      <w:r>
        <w:t xml:space="preserve"> </w:t>
      </w:r>
      <w:hyperlink r:id="rId59">
        <w:r>
          <w:rPr>
            <w:rStyle w:val="Hyperlink"/>
          </w:rPr>
          <w:t xml:space="preserve">https://osf.io/hwzuk</w:t>
        </w:r>
      </w:hyperlink>
      <w:r>
        <w:t xml:space="preserve">. See an example of the disfluent video here:</w:t>
      </w:r>
      <w:r>
        <w:t xml:space="preserve"> </w:t>
      </w:r>
      <w:hyperlink r:id="rId60">
        <w:r>
          <w:rPr>
            <w:rStyle w:val="Hyperlink"/>
          </w:rPr>
          <w:t xml:space="preserve">https://osf.io/ra7be</w:t>
        </w:r>
      </w:hyperlink>
      <w:r>
        <w:t xml:space="preserve">.</w:t>
      </w:r>
    </w:p>
  </w:footnote>
  <w:footnote w:id="68">
    <w:p>
      <w:pPr>
        <w:pStyle w:val="FootnoteText"/>
      </w:pPr>
      <w:r>
        <w:rPr>
          <w:rStyle w:val="FootnoteReference"/>
        </w:rPr>
        <w:footnoteRef/>
      </w:r>
      <w:r>
        <w:t xml:space="preserve"> </w:t>
      </w:r>
      <w:r>
        <w:t xml:space="preserve">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footnote>
  <w:footnote w:id="80">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4">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18">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136" Target="media/rId136.png" /><Relationship Type="http://schemas.openxmlformats.org/officeDocument/2006/relationships/image" Id="rId71" Target="media/rId71.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75" Target="media/rId75.png" /><Relationship Type="http://schemas.openxmlformats.org/officeDocument/2006/relationships/image" Id="rId132" Target="media/rId132.png" /><Relationship Type="http://schemas.openxmlformats.org/officeDocument/2006/relationships/image" Id="rId112" Target="media/rId112.png" /><Relationship Type="http://schemas.openxmlformats.org/officeDocument/2006/relationships/hyperlink" Id="rId177" Target="http://dx.doi.org/10.59350/7p1a4-0tw75" TargetMode="External" /><Relationship Type="http://schemas.openxmlformats.org/officeDocument/2006/relationships/hyperlink" Id="rId146" Target="https://CRAN.R-project.org/package=marginaleffects" TargetMode="External" /><Relationship Type="http://schemas.openxmlformats.org/officeDocument/2006/relationships/hyperlink" Id="rId184" Target="https://CRAN.R-project.org/package=ordbetareg"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0"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6"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24" Target="https://doi.org/10.1037/mac0000003" TargetMode="External" /><Relationship Type="http://schemas.openxmlformats.org/officeDocument/2006/relationships/hyperlink" Id="rId152"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2"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58"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6" Target="https://doi.org/10.18637/jss.v080.i01" TargetMode="External" /><Relationship Type="http://schemas.openxmlformats.org/officeDocument/2006/relationships/hyperlink" Id="rId148" Target="https://doi.org/10.18637/jss.v111.i09"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0" Target="https://doi.org/10.2307/2983678" TargetMode="External" /><Relationship Type="http://schemas.openxmlformats.org/officeDocument/2006/relationships/hyperlink" Id="rId163" Target="https://doi.org/10.31219/osf.io/f9rqg_v1" TargetMode="External" /><Relationship Type="http://schemas.openxmlformats.org/officeDocument/2006/relationships/hyperlink" Id="rId210" Target="https://doi.org/10.31234/osf.io/4rznt" TargetMode="External" /><Relationship Type="http://schemas.openxmlformats.org/officeDocument/2006/relationships/hyperlink" Id="rId154" Target="https://doi.org/10.32614/RJ-2017-066" TargetMode="External" /><Relationship Type="http://schemas.openxmlformats.org/officeDocument/2006/relationships/hyperlink" Id="rId190" Target="https://doi.org/10.3389/fpsyg.2019.02767" TargetMode="External" /><Relationship Type="http://schemas.openxmlformats.org/officeDocument/2006/relationships/hyperlink" Id="rId160"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41" Target="https://github.com/jgeller112/beta_regression_tutorial" TargetMode="External" /><Relationship Type="http://schemas.openxmlformats.org/officeDocument/2006/relationships/hyperlink" Id="rId123" Target="https://github.com/saudiwin/ordbetareg_pack" TargetMode="External" /><Relationship Type="http://schemas.openxmlformats.org/officeDocument/2006/relationships/hyperlink" Id="rId214"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7" Target="https://osf.io/6tyn4/" TargetMode="External" /><Relationship Type="http://schemas.openxmlformats.org/officeDocument/2006/relationships/hyperlink" Id="rId59" Target="https://osf.io/hwzuk" TargetMode="External" /><Relationship Type="http://schemas.openxmlformats.org/officeDocument/2006/relationships/hyperlink" Id="rId60" Target="https://osf.io/ra7be" TargetMode="External" /><Relationship Type="http://schemas.openxmlformats.org/officeDocument/2006/relationships/hyperlink" Id="rId175" Target="https://stat.columbia.edu/~gelman/book/" TargetMode="External" /><Relationship Type="http://schemas.openxmlformats.org/officeDocument/2006/relationships/hyperlink" Id="rId218"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29"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8"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7" Target="http://dx.doi.org/10.59350/7p1a4-0tw75" TargetMode="External" /><Relationship Type="http://schemas.openxmlformats.org/officeDocument/2006/relationships/hyperlink" Id="rId146" Target="https://CRAN.R-project.org/package=marginaleffects" TargetMode="External" /><Relationship Type="http://schemas.openxmlformats.org/officeDocument/2006/relationships/hyperlink" Id="rId184" Target="https://CRAN.R-project.org/package=ordbetareg"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0"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6"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24" Target="https://doi.org/10.1037/mac0000003" TargetMode="External" /><Relationship Type="http://schemas.openxmlformats.org/officeDocument/2006/relationships/hyperlink" Id="rId152"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2"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58"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6" Target="https://doi.org/10.18637/jss.v080.i01" TargetMode="External" /><Relationship Type="http://schemas.openxmlformats.org/officeDocument/2006/relationships/hyperlink" Id="rId148" Target="https://doi.org/10.18637/jss.v111.i09"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0" Target="https://doi.org/10.2307/2983678" TargetMode="External" /><Relationship Type="http://schemas.openxmlformats.org/officeDocument/2006/relationships/hyperlink" Id="rId163" Target="https://doi.org/10.31219/osf.io/f9rqg_v1" TargetMode="External" /><Relationship Type="http://schemas.openxmlformats.org/officeDocument/2006/relationships/hyperlink" Id="rId210" Target="https://doi.org/10.31234/osf.io/4rznt" TargetMode="External" /><Relationship Type="http://schemas.openxmlformats.org/officeDocument/2006/relationships/hyperlink" Id="rId154" Target="https://doi.org/10.32614/RJ-2017-066" TargetMode="External" /><Relationship Type="http://schemas.openxmlformats.org/officeDocument/2006/relationships/hyperlink" Id="rId190" Target="https://doi.org/10.3389/fpsyg.2019.02767" TargetMode="External" /><Relationship Type="http://schemas.openxmlformats.org/officeDocument/2006/relationships/hyperlink" Id="rId160"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41" Target="https://github.com/jgeller112/beta_regression_tutorial" TargetMode="External" /><Relationship Type="http://schemas.openxmlformats.org/officeDocument/2006/relationships/hyperlink" Id="rId123" Target="https://github.com/saudiwin/ordbetareg_pack" TargetMode="External" /><Relationship Type="http://schemas.openxmlformats.org/officeDocument/2006/relationships/hyperlink" Id="rId214"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7" Target="https://osf.io/6tyn4/" TargetMode="External" /><Relationship Type="http://schemas.openxmlformats.org/officeDocument/2006/relationships/hyperlink" Id="rId59" Target="https://osf.io/hwzuk" TargetMode="External" /><Relationship Type="http://schemas.openxmlformats.org/officeDocument/2006/relationships/hyperlink" Id="rId60" Target="https://osf.io/ra7be" TargetMode="External" /><Relationship Type="http://schemas.openxmlformats.org/officeDocument/2006/relationships/hyperlink" Id="rId175" Target="https://stat.columbia.edu/~gelman/book/" TargetMode="External" /><Relationship Type="http://schemas.openxmlformats.org/officeDocument/2006/relationships/hyperlink" Id="rId218"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29"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8"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beta distribution,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 brms and how to interpret results using the marginaleffects package. We also discuss model extensions, including zero-inflated, zero- and one-inflated, and ordered beta models. To promote wider adoption of these methods, we provide detailed code and materials at https://github.com/jgeller112/beta_regression_tutorial.</vt:lpwstr>
  </property>
  <property fmtid="{D5CDD505-2E9C-101B-9397-08002B2CF9AE}" pid="5" name="apaauthor">
    <vt:lpwstr/>
  </property>
  <property fmtid="{D5CDD505-2E9C-101B-9397-08002B2CF9AE}" pid="6" name="apatitle">
    <vt:lpwstr>A Beta Way: A Tutorial For Using Beta Regression in Psychological Research</vt:lpwstr>
  </property>
  <property fmtid="{D5CDD505-2E9C-101B-9397-08002B2CF9AE}" pid="7" name="apatitledisplay">
    <vt:lpwstr>A Beta Way: A Tutorial For Using Beta Regression in Psychological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9281</vt:lpwstr>
  </property>
  <property fmtid="{D5CDD505-2E9C-101B-9397-08002B2CF9AE}" pid="63" name="zerocitations">
    <vt:lpwstr>False</vt:lpwstr>
  </property>
</Properties>
</file>