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23.png" ContentType="image/png"/>
  <Override PartName="/word/media/rId70.png" ContentType="image/png"/>
  <Override PartName="/word/media/rId34.png" ContentType="image/png"/>
  <Override PartName="/word/media/rId116.png" ContentType="image/png"/>
  <Override PartName="/word/media/rId60.png" ContentType="image/png"/>
  <Override PartName="/word/media/rId53.png" ContentType="image/png"/>
  <Override PartName="/word/media/rId112.png" ContentType="image/png"/>
  <Override PartName="/word/media/rId49.png" ContentType="image/png"/>
  <Override PartName="/word/media/rId88.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Beta Way: A Tutorial For Using Beta Regression in Psychological Research</w:t>
      </w:r>
    </w:p>
    <w:p>
      <w:pPr>
        <w:pStyle w:val="Author"/>
      </w:pPr>
      <w:r>
        <w:t xml:space="preserve">Jason Geller</w:t>
      </w:r>
    </w:p>
    <w:p>
      <w:pPr>
        <w:pStyle w:val="Author"/>
      </w:pPr>
      <w:r>
        <w:t xml:space="preserve">Robert Kubinec</w:t>
      </w:r>
    </w:p>
    <w:p>
      <w:pPr>
        <w:pStyle w:val="Author"/>
      </w:pPr>
      <w:r>
        <w:t xml:space="preserve">Chelsea M. Parlett Pelleriti</w:t>
      </w:r>
    </w:p>
    <w:p>
      <w:pPr>
        <w:pStyle w:val="Author"/>
      </w:pPr>
      <w:r>
        <w:t xml:space="preserve">Matti Vuorre</w:t>
      </w:r>
    </w:p>
    <w:p>
      <w:pPr>
        <w:pStyle w:val="AbstractTitle"/>
      </w:pPr>
      <w:r>
        <w:t xml:space="preserve">Abstract</w:t>
      </w:r>
    </w:p>
    <w:p>
      <w:pPr>
        <w:pStyle w:val="Abstract"/>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a normally distributed (Gaussian) outcome,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and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smithson2006">
        <w:r>
          <w:rPr>
            <w:rStyle w:val="Hyperlink"/>
          </w:rPr>
          <w:t xml:space="preserve">Smithson and Verkuilen 2006</w:t>
        </w:r>
      </w:hyperlink>
      <w:r>
        <w:t xml:space="preserve">;</w:t>
      </w:r>
      <w:r>
        <w:t xml:space="preserve"> </w:t>
      </w:r>
      <w:hyperlink w:anchor="ref-ferrari2004">
        <w:r>
          <w:rPr>
            <w:rStyle w:val="Hyperlink"/>
          </w:rPr>
          <w:t xml:space="preserve">Ferrari and Cribari-Neto 2004</w:t>
        </w:r>
      </w:hyperlink>
      <w:r>
        <w:t xml:space="preserve">;</w:t>
      </w:r>
      <w:r>
        <w:t xml:space="preserve"> </w:t>
      </w:r>
      <w:hyperlink w:anchor="ref-paolino2001">
        <w:r>
          <w:rPr>
            <w:rStyle w:val="Hyperlink"/>
          </w:rPr>
          <w:t xml:space="preserve">Paolino 2001</w:t>
        </w:r>
      </w:hyperlink>
      <w:r>
        <w:t xml:space="preserve">)</w:t>
      </w:r>
      <w:r>
        <w:t xml:space="preserve">. Violating these assumptions can lead to biased estimates and misleading inferences.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GLiM that employs the Beta distribution</w:t>
      </w:r>
      <w:r>
        <w:t xml:space="preserve"> </w:t>
      </w:r>
      <w:r>
        <w:t xml:space="preserve">(</w:t>
      </w:r>
      <w:hyperlink w:anchor="ref-ferrari2004">
        <w:r>
          <w:rPr>
            <w:rStyle w:val="Hyperlink"/>
          </w:rPr>
          <w:t xml:space="preserve">Ferrari and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22"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smithson2006">
        <w:r>
          <w:rPr>
            <w:rStyle w:val="Hyperlink"/>
          </w:rPr>
          <w:t xml:space="preserve">Smithson and Verkuilen 2006</w:t>
        </w:r>
      </w:hyperlink>
      <w:r>
        <w:t xml:space="preserve">;</w:t>
      </w:r>
      <w:r>
        <w:t xml:space="preserve"> </w:t>
      </w:r>
      <w:hyperlink w:anchor="ref-heiss2021">
        <w:r>
          <w:rPr>
            <w:rStyle w:val="Hyperlink"/>
          </w:rPr>
          <w:t xml:space="preserve">Heiss 2021</w:t>
        </w:r>
      </w:hyperlink>
      <w:r>
        <w:t xml:space="preserve">;</w:t>
      </w:r>
      <w:r>
        <w:t xml:space="preserve"> </w:t>
      </w:r>
      <w:hyperlink w:anchor="ref-vuorre2019">
        <w:r>
          <w:rPr>
            <w:rStyle w:val="Hyperlink"/>
          </w:rPr>
          <w:t xml:space="preserve">Vuorre 2019</w:t>
        </w:r>
      </w:hyperlink>
      <w:r>
        <w:t xml:space="preserve">;</w:t>
      </w:r>
      <w:r>
        <w:t xml:space="preserve"> </w:t>
      </w:r>
      <w:hyperlink w:anchor="ref-bendixen2023">
        <w:r>
          <w:rPr>
            <w:rStyle w:val="Hyperlink"/>
          </w:rPr>
          <w:t xml:space="preserve">Bendixen and Purzycki 2023</w:t>
        </w:r>
      </w:hyperlink>
      <w:r>
        <w:t xml:space="preserve">;</w:t>
      </w:r>
      <w:r>
        <w:t xml:space="preserve"> </w:t>
      </w:r>
      <w:hyperlink w:anchor="ref-coretta2025bayesian">
        <w:r>
          <w:rPr>
            <w:rStyle w:val="Hyperlink"/>
          </w:rPr>
          <w:t xml:space="preserve">Coretta and Bürkner 2025</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Greifer, and Heiss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20">
        <w:r>
          <w:rPr>
            <w:rStyle w:val="Hyperlink"/>
          </w:rPr>
          <w:t xml:space="preserve">https://github.com/jgeller112/beta_regression_tutorial</w:t>
        </w:r>
      </w:hyperlink>
      <w:r>
        <w:rPr>
          <w:rStyle w:val="FootnoteReference"/>
        </w:rPr>
        <w:footnoteReference w:id="21"/>
      </w:r>
      <w:r>
        <w:t xml:space="preserve">.</w:t>
      </w:r>
    </w:p>
    <w:bookmarkEnd w:id="22"/>
    <w:bookmarkStart w:id="27"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and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Typically, the expected value (or mean) of the response variable, or changes therein, is the central estimand. The model specifies how this expected value depends on explanatory variables through two main components: a linear predictor, which combines the explanatory variables in a linear form, and a link function, which connects the expected value of the response variable to the linear predictor.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and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tbl>
      <w:tblPr>
        <w:tblStyle w:val="Table"/>
        <w:tblW w:type="pct" w:w="5000"/>
        <w:tblLayout w:type="fixed"/>
        <w:tblLook w:firstRow="0" w:lastRow="0" w:firstColumn="0" w:lastColumn="0" w:noHBand="0" w:noVBand="0" w:val="0000"/>
      </w:tblPr>
      <w:tblGrid>
        <w:gridCol w:w="7920"/>
      </w:tblGrid>
      <w:tr>
        <w:tc>
          <w:tcPr/>
          <w:bookmarkStart w:id="26" w:name="fig-curves"/>
          <w:p>
            <w:pPr>
              <w:pStyle w:val="Compact"/>
              <w:jc w:val="center"/>
            </w:pPr>
            <w:r>
              <w:drawing>
                <wp:inline>
                  <wp:extent cx="5334000" cy="2773680"/>
                  <wp:effectExtent b="0" l="0" r="0" t="0"/>
                  <wp:docPr descr="" title="" id="24" name="Picture"/>
                  <a:graphic>
                    <a:graphicData uri="http://schemas.openxmlformats.org/drawingml/2006/picture">
                      <pic:pic>
                        <pic:nvPicPr>
                          <pic:cNvPr descr="ms_files/figure-docx/fig-curves-1.png" id="25" name="Picture"/>
                          <pic:cNvPicPr>
                            <a:picLocks noChangeArrowheads="1" noChangeAspect="1"/>
                          </pic:cNvPicPr>
                        </pic:nvPicPr>
                        <pic:blipFill>
                          <a:blip r:embed="rId23"/>
                          <a:stretch>
                            <a:fillRect/>
                          </a:stretch>
                        </pic:blipFill>
                        <pic:spPr bwMode="auto">
                          <a:xfrm>
                            <a:off x="0" y="0"/>
                            <a:ext cx="5334000" cy="27736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Beta distributions with different shape1 and shape2 parameters.</w:t>
            </w:r>
          </w:p>
          <w:bookmarkEnd w:id="26"/>
        </w:tc>
      </w:tr>
    </w:tbl>
    <w:bookmarkEnd w:id="27"/>
    <w:bookmarkStart w:id="29" w:name="beta-regression"/>
    <w:p>
      <w:pPr>
        <w:pStyle w:val="Heading2"/>
      </w:pPr>
      <w:r>
        <w:t xml:space="preserve">Beta Regression</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w:t>
      </w:r>
    </w:p>
    <w:p>
      <w:pPr>
        <w:pStyle w:val="BodyText"/>
      </w:pPr>
      <w:bookmarkStart w:id="28"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28"/>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29"/>
    <w:bookmarkStart w:id="30"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mcelreath2020statistical">
        <w:r>
          <w:rPr>
            <w:rStyle w:val="Hyperlink"/>
          </w:rPr>
          <w:t xml:space="preserve">McElreath 2020</w:t>
        </w:r>
      </w:hyperlink>
      <w:r>
        <w:t xml:space="preserve">;</w:t>
      </w:r>
      <w:r>
        <w:t xml:space="preserve"> </w:t>
      </w:r>
      <w:hyperlink w:anchor="ref-bayes_rules">
        <w:r>
          <w:rPr>
            <w:rStyle w:val="Hyperlink"/>
          </w:rPr>
          <w:t xml:space="preserve">Johnson, Ott, and Dogucu 2022</w:t>
        </w:r>
      </w:hyperlink>
      <w:r>
        <w:t xml:space="preserve">)</w:t>
      </w:r>
      <w:r>
        <w:t xml:space="preserv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w:t>
      </w:r>
    </w:p>
    <w:p>
      <w:pPr>
        <w:pStyle w:val="BodyText"/>
      </w:pPr>
      <w:r>
        <w:t xml:space="preserve">There are some notable differences between our Bayesian analysis and the frequenist analyses readers might be more used to seeing, such as the absence of</w:t>
      </w:r>
      <w:r>
        <w:t xml:space="preserve"> </w:t>
      </w:r>
      <w:r>
        <w:rPr>
          <w:i/>
          <w:iCs/>
        </w:rPr>
        <w:t xml:space="preserve">t</w:t>
      </w:r>
      <w:r>
        <w:t xml:space="preserve">- and</w:t>
      </w:r>
      <w:r>
        <w:t xml:space="preserve"> </w:t>
      </w:r>
      <w:r>
        <w:rPr>
          <w:i/>
          <w:iCs/>
        </w:rPr>
        <w:t xml:space="preserve">p</w:t>
      </w:r>
      <w:r>
        <w:t xml:space="preserve">-values. To estimate models,</w:t>
      </w:r>
      <w:r>
        <w:t xml:space="preserve"> </w:t>
      </w:r>
      <w:r>
        <w:rPr>
          <w:rStyle w:val="VerbatimChar"/>
        </w:rPr>
        <w:t xml:space="preserve">brms</w:t>
      </w:r>
      <w:r>
        <w:t xml:space="preserve"> </w:t>
      </w:r>
      <w:r>
        <w:t xml:space="preserve">uses Stan’s computational algorithms to draw random samples from the model’s posterior distribution, which is analogous to the frequentist sampling distribution and expresses uncertainty about the model’s parameters. Typically, we use the default values to get 4,000 random draws from the posterior distribution, which can then be used to calculate the posterior’s mean (analogous to a frequentist point estimate) and credible interval (Cr.I, analogous to confidence intervals). Other summary quantities of interest include the probability of direction (pd) which indicates the probability that a parameter is in a given direction (above/below zero). A pd of 95%, 97.5%, 99.5% and 99.95% correspond approximately to two-sided p-value of respectively .1, .05, .01 and .001. For directional hypotheses/tests, the pd is analogous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and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mcelreath2020statistical">
        <w:r>
          <w:rPr>
            <w:rStyle w:val="Hyperlink"/>
          </w:rPr>
          <w:t xml:space="preserve">McElreath 2020</w:t>
        </w:r>
      </w:hyperlink>
      <w:r>
        <w:t xml:space="preserve">;</w:t>
      </w:r>
      <w:r>
        <w:t xml:space="preserve"> </w:t>
      </w:r>
      <w:hyperlink w:anchor="ref-kruschke2015doing">
        <w:r>
          <w:rPr>
            <w:rStyle w:val="Hyperlink"/>
          </w:rPr>
          <w:t xml:space="preserve">Kruschke 2015</w:t>
        </w:r>
      </w:hyperlink>
      <w:r>
        <w:t xml:space="preserve">)</w:t>
      </w:r>
      <w:r>
        <w:t xml:space="preserve">. In addition, we assume readers are familiar with R, but those in need of a refresher should find</w:t>
      </w:r>
      <w:r>
        <w:t xml:space="preserve"> </w:t>
      </w:r>
      <w:r>
        <w:t xml:space="preserve">Wickham, Çetinkaya-Rundel, and Grolemund (</w:t>
      </w:r>
      <w:hyperlink w:anchor="ref-wickhamDataScienceImport2023">
        <w:r>
          <w:rPr>
            <w:rStyle w:val="Hyperlink"/>
          </w:rPr>
          <w:t xml:space="preserve">2023</w:t>
        </w:r>
      </w:hyperlink>
      <w:r>
        <w:t xml:space="preserve">)</w:t>
      </w:r>
      <w:r>
        <w:t xml:space="preserve"> </w:t>
      </w:r>
      <w:r>
        <w:t xml:space="preserve">useful.</w:t>
      </w:r>
    </w:p>
    <w:bookmarkEnd w:id="30"/>
    <w:bookmarkStart w:id="124" w:name="beta-regression-tutorial"/>
    <w:p>
      <w:pPr>
        <w:pStyle w:val="Heading1"/>
      </w:pPr>
      <w:r>
        <w:t xml:space="preserve">Beta Regression Tutorial</w:t>
      </w:r>
    </w:p>
    <w:bookmarkStart w:id="33"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and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31"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31"/>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tbl>
      <w:tblPr>
        <w:tblStyle w:val="Table"/>
        <w:tblW w:type="pct" w:w="5000"/>
        <w:tblLayout w:type="fixed"/>
        <w:tblLook w:firstRow="0" w:lastRow="0" w:firstColumn="0" w:lastColumn="0" w:noHBand="0" w:noVBand="0" w:val="0000"/>
      </w:tblPr>
      <w:tblGrid>
        <w:gridCol w:w="7920"/>
      </w:tblGrid>
      <w:tr>
        <w:tc>
          <w:tcPr/>
          <w:bookmarkStart w:id="32" w:name="tbl-dataset"/>
          <w:p>
            <w:pPr>
              <w:jc w:val="center"/>
            </w:pPr>
            <w:pPr>
              <w:jc w:val="start"/>
              <w:spacing w:before="200"/>
              <w:pStyle w:val="ImageCaption"/>
            </w:pPr>
            <w:r>
              <w:t xml:space="preserve">Table 1: 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jc w:val="center"/>
                  </w:pPr>
                  <w:r>
                    <w:t xml:space="preserve">Participant</w:t>
                  </w:r>
                </w:p>
              </w:tc>
              <w:tc>
                <w:tcPr/>
                <w:p>
                  <w:pPr>
                    <w:pStyle w:val="Compact"/>
                    <w:jc w:val="center"/>
                  </w:pPr>
                  <w:r>
                    <w:t xml:space="preserve">Fluency</w:t>
                  </w:r>
                </w:p>
              </w:tc>
              <w:tc>
                <w:tcPr/>
                <w:p>
                  <w:pPr>
                    <w:pStyle w:val="Compact"/>
                    <w:jc w:val="center"/>
                  </w:pPr>
                  <w:r>
                    <w:t xml:space="preserve">Accuracy</w:t>
                  </w:r>
                </w:p>
              </w:tc>
            </w:tr>
            <w:tr>
              <w:tc>
                <w:tcPr/>
                <w:p>
                  <w:pPr>
                    <w:pStyle w:val="Compact"/>
                    <w:jc w:val="center"/>
                  </w:pPr>
                  <w:r>
                    <w:t xml:space="preserve">64</w:t>
                  </w:r>
                </w:p>
              </w:tc>
              <w:tc>
                <w:tcPr/>
                <w:p>
                  <w:pPr>
                    <w:pStyle w:val="Compact"/>
                    <w:jc w:val="center"/>
                  </w:pPr>
                  <w:r>
                    <w:t xml:space="preserve">Disfluent</w:t>
                  </w:r>
                </w:p>
              </w:tc>
              <w:tc>
                <w:tcPr/>
                <w:p>
                  <w:pPr>
                    <w:pStyle w:val="Compact"/>
                    <w:jc w:val="center"/>
                  </w:pPr>
                  <w:r>
                    <w:t xml:space="preserve">0.10</w:t>
                  </w:r>
                </w:p>
              </w:tc>
            </w:tr>
            <w:tr>
              <w:tc>
                <w:tcPr/>
                <w:p>
                  <w:pPr>
                    <w:pStyle w:val="Compact"/>
                    <w:jc w:val="center"/>
                  </w:pPr>
                  <w:r>
                    <w:t xml:space="preserve">30</w:t>
                  </w:r>
                </w:p>
              </w:tc>
              <w:tc>
                <w:tcPr/>
                <w:p>
                  <w:pPr>
                    <w:pStyle w:val="Compact"/>
                    <w:jc w:val="center"/>
                  </w:pPr>
                  <w:r>
                    <w:t xml:space="preserve">Fluent</w:t>
                  </w:r>
                </w:p>
              </w:tc>
              <w:tc>
                <w:tcPr/>
                <w:p>
                  <w:pPr>
                    <w:pStyle w:val="Compact"/>
                    <w:jc w:val="center"/>
                  </w:pPr>
                  <w:r>
                    <w:t xml:space="preserve">0.60</w:t>
                  </w:r>
                </w:p>
              </w:tc>
            </w:tr>
            <w:tr>
              <w:tc>
                <w:tcPr/>
                <w:p>
                  <w:pPr>
                    <w:pStyle w:val="Compact"/>
                    <w:jc w:val="center"/>
                  </w:pPr>
                  <w:r>
                    <w:t xml:space="preserve">12</w:t>
                  </w:r>
                </w:p>
              </w:tc>
              <w:tc>
                <w:tcPr/>
                <w:p>
                  <w:pPr>
                    <w:pStyle w:val="Compact"/>
                    <w:jc w:val="center"/>
                  </w:pPr>
                  <w:r>
                    <w:t xml:space="preserve">Fluent</w:t>
                  </w:r>
                </w:p>
              </w:tc>
              <w:tc>
                <w:tcPr/>
                <w:p>
                  <w:pPr>
                    <w:pStyle w:val="Compact"/>
                    <w:jc w:val="center"/>
                  </w:pPr>
                  <w:r>
                    <w:t xml:space="preserve">0.10</w:t>
                  </w:r>
                </w:p>
              </w:tc>
            </w:tr>
            <w:tr>
              <w:tc>
                <w:tcPr/>
                <w:p>
                  <w:pPr>
                    <w:pStyle w:val="Compact"/>
                    <w:jc w:val="center"/>
                  </w:pPr>
                  <w:r>
                    <w:t xml:space="preserve">37</w:t>
                  </w:r>
                </w:p>
              </w:tc>
              <w:tc>
                <w:tcPr/>
                <w:p>
                  <w:pPr>
                    <w:pStyle w:val="Compact"/>
                    <w:jc w:val="center"/>
                  </w:pPr>
                  <w:r>
                    <w:t xml:space="preserve">Fluent</w:t>
                  </w:r>
                </w:p>
              </w:tc>
              <w:tc>
                <w:tcPr/>
                <w:p>
                  <w:pPr>
                    <w:pStyle w:val="Compact"/>
                    <w:jc w:val="center"/>
                  </w:pPr>
                  <w:r>
                    <w:t xml:space="preserve">0.35</w:t>
                  </w:r>
                </w:p>
              </w:tc>
            </w:tr>
          </w:tbl>
          <w:bookmarkEnd w:id="32"/>
          <w:p/>
        </w:tc>
      </w:tr>
    </w:tbl>
    <w:bookmarkEnd w:id="33"/>
    <w:bookmarkStart w:id="47"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7" w:name="fig-flu1"/>
          <w:p>
            <w:pPr>
              <w:pStyle w:val="Compact"/>
              <w:jc w:val="center"/>
            </w:pPr>
            <w:r>
              <w:drawing>
                <wp:inline>
                  <wp:extent cx="5334000" cy="3295226"/>
                  <wp:effectExtent b="0" l="0" r="0" t="0"/>
                  <wp:docPr descr="" title="" id="35" name="Picture"/>
                  <a:graphic>
                    <a:graphicData uri="http://schemas.openxmlformats.org/drawingml/2006/picture">
                      <pic:pic>
                        <pic:nvPicPr>
                          <pic:cNvPr descr="ms_files/figure-docx/fig-flu1-1.png" id="36" name="Picture"/>
                          <pic:cNvPicPr>
                            <a:picLocks noChangeArrowheads="1" noChangeAspect="1"/>
                          </pic:cNvPicPr>
                        </pic:nvPicPr>
                        <pic:blipFill>
                          <a:blip r:embed="rId34"/>
                          <a:stretch>
                            <a:fillRect/>
                          </a:stretch>
                        </pic:blipFill>
                        <pic:spPr bwMode="auto">
                          <a:xfrm>
                            <a:off x="0" y="0"/>
                            <a:ext cx="5334000" cy="32952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Raincloud plot depciting accuracy for Fluent and Disfluent conditions</w:t>
            </w:r>
          </w:p>
          <w:bookmarkEnd w:id="37"/>
        </w:tc>
      </w:tr>
    </w:tbl>
    <w:p>
      <w:pPr>
        <w:pStyle w:val="BodyText"/>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tbl>
      <w:tblPr>
        <w:tblStyle w:val="Table"/>
        <w:tblW w:type="pct" w:w="5000"/>
        <w:tblLayout w:type="fixed"/>
        <w:tblLook w:firstRow="0" w:lastRow="0" w:firstColumn="0" w:lastColumn="0" w:noHBand="0" w:noVBand="0" w:val="0000"/>
      </w:tblPr>
      <w:tblGrid>
        <w:gridCol w:w="7920"/>
      </w:tblGrid>
      <w:tr>
        <w:tc>
          <w:tcPr/>
          <w:bookmarkStart w:id="41" w:name="tbl-all"/>
          <w:p>
            <w:pPr>
              <w:jc w:val="center"/>
            </w:pPr>
            <w:pPr>
              <w:jc w:val="start"/>
              <w:spacing w:before="200"/>
              <w:pStyle w:val="ImageCaption"/>
            </w:pPr>
            <w:r>
              <w:t xml:space="preserve">Table 2: Bayesian Regression summaries for each model</w:t>
            </w:r>
          </w:p>
          <w:p>
            <w:pPr>
              <w:jc w:val="center"/>
            </w:pPr>
            <w:r>
              <w:drawing>
                <wp:inline>
                  <wp:extent cx="5334000" cy="4570371"/>
                  <wp:effectExtent b="0" l="0" r="0" t="0"/>
                  <wp:docPr descr="" title="" id="39" name="Picture"/>
                  <a:graphic>
                    <a:graphicData uri="http://schemas.openxmlformats.org/drawingml/2006/picture">
                      <pic:pic>
                        <pic:nvPicPr>
                          <pic:cNvPr descr="Figures/combined_table.png" id="40" name="Picture"/>
                          <pic:cNvPicPr>
                            <a:picLocks noChangeArrowheads="1" noChangeAspect="1"/>
                          </pic:cNvPicPr>
                        </pic:nvPicPr>
                        <pic:blipFill>
                          <a:blip r:embed="rId38"/>
                          <a:stretch>
                            <a:fillRect/>
                          </a:stretch>
                        </pic:blipFill>
                        <pic:spPr bwMode="auto">
                          <a:xfrm>
                            <a:off x="0" y="0"/>
                            <a:ext cx="5334000" cy="4570371"/>
                          </a:xfrm>
                          <a:prstGeom prst="rect">
                            <a:avLst/>
                          </a:prstGeom>
                          <a:noFill/>
                          <a:ln w="9525">
                            <a:noFill/>
                            <a:headEnd/>
                            <a:tailEnd/>
                          </a:ln>
                        </pic:spPr>
                      </pic:pic>
                    </a:graphicData>
                  </a:graphic>
                </wp:inline>
              </w:drawing>
            </w:r>
          </w:p>
          <w:bookmarkEnd w:id="41"/>
        </w:tc>
      </w:tr>
    </w:tbl>
    <w:bookmarkStart w:id="46"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42"/>
      </w:r>
    </w:p>
    <w:tbl>
      <w:tblPr>
        <w:tblStyle w:val="Table"/>
        <w:tblW w:type="pct" w:w="5000"/>
        <w:tblLayout w:type="fixed"/>
        <w:tblLook w:firstRow="0" w:lastRow="0" w:firstColumn="0" w:lastColumn="0" w:noHBand="0" w:noVBand="0" w:val="0000"/>
      </w:tblPr>
      <w:tblGrid>
        <w:gridCol w:w="7920"/>
      </w:tblGrid>
      <w:tr>
        <w:tc>
          <w:tcPr/>
          <w:bookmarkStart w:id="43"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43"/>
        </w:tc>
      </w:tr>
    </w:tbl>
    <w:tbl>
      <w:tblPr>
        <w:tblStyle w:val="Table"/>
        <w:tblW w:type="pct" w:w="5000"/>
        <w:tblLayout w:type="fixed"/>
        <w:tblLook w:firstRow="0" w:lastRow="0" w:firstColumn="0" w:lastColumn="0" w:noHBand="0" w:noVBand="0" w:val="0000"/>
      </w:tblPr>
      <w:tblGrid>
        <w:gridCol w:w="7920"/>
      </w:tblGrid>
      <w:tr>
        <w:tc>
          <w:tcPr/>
          <w:bookmarkStart w:id="44"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44"/>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loadbrms">
        <w:r>
          <w:rPr>
            <w:rStyle w:val="Hyperlink"/>
          </w:rPr>
          <w:t xml:space="preserve">Listing 2</w:t>
        </w:r>
      </w:hyperlink>
      <w:r>
        <w:t xml:space="preserve">). The output from</w:t>
      </w:r>
      <w:r>
        <w:t xml:space="preserve"> </w:t>
      </w:r>
      <w:r>
        <w:rPr>
          <w:rStyle w:val="VerbatimChar"/>
        </w:rPr>
        <w:t xml:space="preserve">brm</w:t>
      </w:r>
      <w:r>
        <w:t xml:space="preserve"> </w:t>
      </w:r>
      <w:r>
        <w:t xml:space="preserve">shows each parameter’s posterior summary: The posterior distribution’s mean and standard deviation (analogous to the frequentist standard error) and its 95% credible interval (CI), which indicate the 95% of the most credible parameter values.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reccomended.</w:t>
      </w:r>
    </w:p>
    <w:p>
      <w:pPr>
        <w:pStyle w:val="BodyText"/>
      </w:pPr>
      <w:r>
        <w:t xml:space="preserve">When you run the model in</w:t>
      </w:r>
      <w:r>
        <w:t xml:space="preserve"> </w:t>
      </w:r>
      <w:hyperlink w:anchor="lst-gauss">
        <w:r>
          <w:rPr>
            <w:rStyle w:val="Hyperlink"/>
          </w:rPr>
          <w:t xml:space="preserve">Listing 3</w:t>
        </w:r>
      </w:hyperlink>
      <w:r>
        <w:t xml:space="preserve">, the following output will appear in your console. This output summarizes the results of the Bayesian regression model. Going forward, we will present model summaries in a table (</w:t>
      </w:r>
      <w:hyperlink w:anchor="tbl-all">
        <w:r>
          <w:rPr>
            <w:rStyle w:val="Hyperlink"/>
          </w:rPr>
          <w:t xml:space="preserve">Table 2</w:t>
        </w:r>
      </w:hyperlink>
      <w:r>
        <w:t xml:space="preserve">).</w:t>
      </w:r>
      <w:r>
        <w:rPr>
          <w:rStyle w:val="FootnoteReference"/>
        </w:rPr>
        <w:footnoteReference w:id="45"/>
      </w:r>
      <w:r>
        <w:t xml:space="preserve"> </w:t>
      </w:r>
      <w:r>
        <w:t xml:space="preserve">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0.083. The 95% credible interval for this estimate spans from 0.001 to 0.165. These values are shown in the</w:t>
      </w:r>
      <w:r>
        <w:t xml:space="preserve"> </w:t>
      </w:r>
      <w:r>
        <w:t xml:space="preserve">“95% CI”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w:t>
      </w:r>
      <w:r>
        <w:t xml:space="preserve"> </w:t>
      </w:r>
      <w:r>
        <w:rPr>
          <w:i/>
          <w:iCs/>
        </w:rPr>
        <w:t xml:space="preserve">t</w:t>
      </w:r>
      <w:r>
        <w:t xml:space="preserve">(94) = 2.00,</w:t>
      </w:r>
      <w:r>
        <w:t xml:space="preserve"> </w:t>
      </w:r>
      <w:r>
        <w:rPr>
          <w:i/>
          <w:iCs/>
        </w:rPr>
        <w:t xml:space="preserve">p</w:t>
      </w:r>
      <w:r>
        <w:t xml:space="preserve"> </w:t>
      </w:r>
      <w:r>
        <w:t xml:space="preserve">= .048, 95% CI [0.06, 16.56].</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3836     2991</w:t>
      </w:r>
      <w:r>
        <w:br/>
      </w:r>
      <w:r>
        <w:rPr>
          <w:rStyle w:val="VerbatimChar"/>
        </w:rPr>
        <w:t xml:space="preserve">FluencyFluent     0.08      0.04     0.00     0.17 1.00     3646     2859</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3289     2502</w:t>
      </w:r>
    </w:p>
    <w:p>
      <w:pPr>
        <w:pStyle w:val="FirstParagraph"/>
      </w:pPr>
      <w:r>
        <w:t xml:space="preserve">The table also includes the ESS and Rhat values, both of which are within acceptable ranges, indicating good model convergence. Throughout the tutorial, we focus on the posterior mean estimates and their 95% credible intervals. In addition, we also include pd in the tables,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and Lüdecke (</w:t>
      </w:r>
      <w:hyperlink w:anchor="ref-makowski2019">
        <w:r>
          <w:rPr>
            <w:rStyle w:val="Hyperlink"/>
          </w:rPr>
          <w:t xml:space="preserve">2019</w:t>
        </w:r>
      </w:hyperlink>
      <w:r>
        <w:t xml:space="preserve">)</w:t>
      </w:r>
      <w:r>
        <w:t xml:space="preserve"> </w:t>
      </w:r>
      <w:r>
        <w:t xml:space="preserve">and provided a parraelle to</w:t>
      </w:r>
      <w:r>
        <w:t xml:space="preserve"> </w:t>
      </w:r>
      <w:r>
        <w:rPr>
          <w:i/>
          <w:iCs/>
        </w:rPr>
        <w:t xml:space="preserve">p</w:t>
      </w:r>
      <w:r>
        <w:t xml:space="preserve">-values most readers are probably familiar with.</w:t>
      </w:r>
    </w:p>
    <w:bookmarkEnd w:id="46"/>
    <w:bookmarkEnd w:id="47"/>
    <w:bookmarkStart w:id="80"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and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normality constant variance (homogeneity).</w:t>
      </w:r>
    </w:p>
    <w:tbl>
      <w:tblPr>
        <w:tblStyle w:val="Table"/>
        <w:tblW w:type="pct" w:w="5000"/>
        <w:tblLayout w:type="fixed"/>
        <w:tblLook w:firstRow="0" w:lastRow="0" w:firstColumn="0" w:lastColumn="0" w:noHBand="0" w:noVBand="0" w:val="0000"/>
      </w:tblPr>
      <w:tblGrid>
        <w:gridCol w:w="7920"/>
      </w:tblGrid>
      <w:tr>
        <w:tc>
          <w:tcPr/>
          <w:bookmarkStart w:id="48" w:name="lst-check1"/>
          <w:p>
            <w:pPr>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48"/>
        </w:tc>
      </w:tr>
    </w:tbl>
    <w:tbl>
      <w:tblPr>
        <w:tblStyle w:val="Table"/>
        <w:tblW w:type="pct" w:w="5000"/>
        <w:tblLayout w:type="fixed"/>
        <w:tblLook w:firstRow="0" w:lastRow="0" w:firstColumn="0" w:lastColumn="0" w:noHBand="0" w:noVBand="0" w:val="0000"/>
      </w:tblPr>
      <w:tblGrid>
        <w:gridCol w:w="7920"/>
      </w:tblGrid>
      <w:tr>
        <w:tc>
          <w:tcPr/>
          <w:bookmarkStart w:id="52" w:name="fig-reg-assump"/>
          <w:p>
            <w:pPr>
              <w:pStyle w:val="Compact"/>
              <w:jc w:val="center"/>
            </w:pPr>
            <w:r>
              <w:drawing>
                <wp:inline>
                  <wp:extent cx="5334000" cy="3295226"/>
                  <wp:effectExtent b="0" l="0" r="0" t="0"/>
                  <wp:docPr descr="" title="" id="50" name="Picture"/>
                  <a:graphic>
                    <a:graphicData uri="http://schemas.openxmlformats.org/drawingml/2006/picture">
                      <pic:pic>
                        <pic:nvPicPr>
                          <pic:cNvPr descr="ms_files/figure-docx/fig-reg-assump-1.png" id="51" name="Picture"/>
                          <pic:cNvPicPr>
                            <a:picLocks noChangeArrowheads="1" noChangeAspect="1"/>
                          </pic:cNvPicPr>
                        </pic:nvPicPr>
                        <pic:blipFill>
                          <a:blip r:embed="rId49"/>
                          <a:stretch>
                            <a:fillRect/>
                          </a:stretch>
                        </pic:blipFill>
                        <pic:spPr bwMode="auto">
                          <a:xfrm>
                            <a:off x="0" y="0"/>
                            <a:ext cx="5334000" cy="32952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Two assumption checks for our OLS model: Normality (left) and Homogeneity (right)</w:t>
            </w:r>
          </w:p>
          <w:bookmarkEnd w:id="52"/>
        </w:tc>
      </w:tr>
    </w:tbl>
    <w:p>
      <w:pPr>
        <w:pStyle w:val="BodyText"/>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tbl>
      <w:tblPr>
        <w:tblStyle w:val="Table"/>
        <w:tblW w:type="pct" w:w="5000"/>
        <w:tblLayout w:type="fixed"/>
        <w:tblLook w:firstRow="0" w:lastRow="0" w:firstColumn="0" w:lastColumn="0" w:noHBand="0" w:noVBand="0" w:val="0000"/>
      </w:tblPr>
      <w:tblGrid>
        <w:gridCol w:w="7920"/>
      </w:tblGrid>
      <w:tr>
        <w:tc>
          <w:tcPr/>
          <w:bookmarkStart w:id="56" w:name="fig-ppcheckall"/>
          <w:p>
            <w:pPr>
              <w:pStyle w:val="Compact"/>
              <w:jc w:val="center"/>
            </w:pPr>
            <w:r>
              <w:drawing>
                <wp:inline>
                  <wp:extent cx="5334000" cy="3295967"/>
                  <wp:effectExtent b="0" l="0" r="0" t="0"/>
                  <wp:docPr descr="" title="" id="54" name="Picture"/>
                  <a:graphic>
                    <a:graphicData uri="http://schemas.openxmlformats.org/drawingml/2006/picture">
                      <pic:pic>
                        <pic:nvPicPr>
                          <pic:cNvPr descr="ms_files/figure-docx/fig-ppcheckall-1.png" id="55" name="Picture"/>
                          <pic:cNvPicPr>
                            <a:picLocks noChangeArrowheads="1" noChangeAspect="1"/>
                          </pic:cNvPicPr>
                        </pic:nvPicPr>
                        <pic:blipFill>
                          <a:blip r:embed="rId53"/>
                          <a:stretch>
                            <a:fillRect/>
                          </a:stretch>
                        </pic:blipFill>
                        <pic:spPr bwMode="auto">
                          <a:xfrm>
                            <a:off x="0" y="0"/>
                            <a:ext cx="5334000" cy="329596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Posterior predictive checks for regular regression (A), Beta regression (B), and ZIB (C) models</w:t>
            </w:r>
          </w:p>
          <w:bookmarkEnd w:id="56"/>
        </w:tc>
      </w:tr>
    </w:tbl>
    <w:p>
      <w:pPr>
        <w:pStyle w:val="BodyText"/>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If we try to run a model with our data</w:t>
      </w:r>
      <w:r>
        <w:t xml:space="preserve"> </w:t>
      </w:r>
      <w:r>
        <w:rPr>
          <w:rStyle w:val="VerbatimChar"/>
        </w:rPr>
        <w:t xml:space="preserve">data_fleuncy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zeros and ones</w:t>
      </w:r>
      <w:r>
        <w:t xml:space="preserve">. We need make sure there are no zeros and ones in our dataset.</w:t>
      </w:r>
    </w:p>
    <w:p>
      <w:pPr>
        <w:pStyle w:val="BodyText"/>
      </w:pPr>
      <w:r>
        <w:t xml:space="preserve">If we look at the dataset we will see that it contains nine zeros and one 1. To run a Beta regression, a common hack is to nudge our 0s towards .01 and our 1s to .99 so they fall within the [0, 1] interval.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changed to .01 and .99, respectively.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57"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mutate(</w:t>
            </w:r>
            <w:r>
              <w:br/>
            </w:r>
            <w:r>
              <w:rPr>
                <w:rStyle w:val="VerbatimChar"/>
              </w:rPr>
              <w:t xml:space="preserve">    Accuracy = ifelse(Accuracy == 0, .01, ifelse(Accuracy == 1, .99, Accuracy))</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"model_beta_bayes_reg_1"</w:t>
            </w:r>
            <w:r>
              <w:br/>
            </w:r>
            <w:r>
              <w:rPr>
                <w:rStyle w:val="VerbatimChar"/>
              </w:rPr>
              <w:t xml:space="preserve">)</w:t>
            </w:r>
          </w:p>
          <w:bookmarkEnd w:id="57"/>
        </w:tc>
      </w:tr>
    </w:tbl>
    <w:bookmarkStart w:id="64"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8"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w:t>
            </w:r>
            <w:r>
              <w:br/>
            </w:r>
            <w:r>
              <w:rPr>
                <w:rStyle w:val="VerbatimChar"/>
              </w:rPr>
              <w:t xml:space="preserve">)</w:t>
            </w:r>
          </w:p>
          <w:bookmarkEnd w:id="58"/>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59" w:name="tbl-phi-beta-exp"/>
          <w:p>
            <w:pPr>
              <w:jc w:val="center"/>
            </w:pPr>
            <w:pPr>
              <w:jc w:val="start"/>
              <w:spacing w:before="200"/>
              <w:pStyle w:val="ImageCaption"/>
            </w:pPr>
            <w:r>
              <w:t xml:space="preserve">Table 3: Beta regression model summary for fluency factor with</w:t>
            </w:r>
            <w:r>
              <w:t xml:space="preserve"> </w:t>
            </w:r>
            <m:oMath>
              <m:r>
                <m:t>ϕ</m:t>
              </m:r>
            </m:oMath>
            <w:r>
              <w:t xml:space="preserve"> </w:t>
            </w:r>
            <w:r>
              <w:t xml:space="preserve">parameter exponentiated</w:t>
            </w:r>
          </w:p>
          <w:tbl>
            <w:tblPr>
              <w:tblStyle w:val="Table"/>
              <w:tblW w:type="pct" w:w="3542"/>
              <w:tblLayout w:type="fixed"/>
              <w:tblLook w:firstRow="1" w:lastRow="0" w:firstColumn="0" w:lastColumn="0" w:noHBand="0" w:noVBand="0" w:val="0020"/>
            </w:tblPr>
            <w:tblGrid>
              <w:gridCol w:w="2420"/>
              <w:gridCol w:w="770"/>
              <w:gridCol w:w="1870"/>
              <w:gridCol w:w="550"/>
            </w:tblGrid>
            <w:tr>
              <w:trPr>
                <w:tblHeader w:val="on"/>
              </w:trPr>
              <w:tc>
                <w:tcPr/>
                <w:p>
                  <w:pPr>
                    <w:pStyle w:val="Compact"/>
                    <w:jc w:val="center"/>
                  </w:pPr>
                  <w:r>
                    <w:t xml:space="preserve">Parameter</w:t>
                  </w:r>
                </w:p>
              </w:tc>
              <w:tc>
                <w:tcPr/>
                <w:p>
                  <w:pPr>
                    <w:pStyle w:val="Compact"/>
                    <w:jc w:val="center"/>
                  </w:pPr>
                  <w:r>
                    <w:t xml:space="preserve">Mean</w:t>
                  </w:r>
                </w:p>
              </w:tc>
              <w:tc>
                <w:tcPr/>
                <w:p>
                  <w:pPr>
                    <w:pStyle w:val="Compact"/>
                    <w:jc w:val="center"/>
                  </w:pPr>
                  <w:r>
                    <w:t xml:space="preserve">95% CI</w:t>
                  </w:r>
                </w:p>
              </w:tc>
              <w:tc>
                <w:tcPr/>
                <w:p>
                  <w:pPr>
                    <w:pStyle w:val="Compact"/>
                    <w:jc w:val="center"/>
                  </w:pPr>
                  <w:r>
                    <w:t xml:space="preserve">pd</w:t>
                  </w:r>
                </w:p>
              </w:tc>
            </w:tr>
            <w:tr>
              <w:tc>
                <w:tcPr/>
                <w:p>
                  <w:pPr>
                    <w:pStyle w:val="Compact"/>
                    <w:jc w:val="center"/>
                  </w:pPr>
                  <w:r>
                    <w:t xml:space="preserve">b_phi_Intercept</w:t>
                  </w:r>
                </w:p>
              </w:tc>
              <w:tc>
                <w:tcPr/>
                <w:p>
                  <w:pPr>
                    <w:pStyle w:val="Compact"/>
                    <w:jc w:val="center"/>
                  </w:pPr>
                  <w:r>
                    <w:t xml:space="preserve">2.4</w:t>
                  </w:r>
                </w:p>
              </w:tc>
              <w:tc>
                <w:tcPr/>
                <w:p>
                  <w:pPr>
                    <w:pStyle w:val="Compact"/>
                    <w:jc w:val="center"/>
                  </w:pPr>
                  <w:r>
                    <w:t xml:space="preserve">[1.655, 3.399]</w:t>
                  </w:r>
                </w:p>
              </w:tc>
              <w:tc>
                <w:tcPr/>
                <w:p>
                  <w:pPr>
                    <w:pStyle w:val="Compact"/>
                    <w:jc w:val="center"/>
                  </w:pPr>
                  <w:r>
                    <w:t xml:space="preserve">1</w:t>
                  </w:r>
                </w:p>
              </w:tc>
            </w:tr>
            <w:tr>
              <w:tc>
                <w:tcPr/>
                <w:p>
                  <w:pPr>
                    <w:pStyle w:val="Compact"/>
                    <w:jc w:val="center"/>
                  </w:pPr>
                  <w:r>
                    <w:t xml:space="preserve">b_phi_FluencyFluent</w:t>
                  </w:r>
                </w:p>
              </w:tc>
              <w:tc>
                <w:tcPr/>
                <w:p>
                  <w:pPr>
                    <w:pStyle w:val="Compact"/>
                    <w:jc w:val="center"/>
                  </w:pPr>
                  <w:r>
                    <w:t xml:space="preserve">2.54</w:t>
                  </w:r>
                </w:p>
              </w:tc>
              <w:tc>
                <w:tcPr/>
                <w:p>
                  <w:pPr>
                    <w:pStyle w:val="Compact"/>
                    <w:jc w:val="center"/>
                  </w:pPr>
                  <w:r>
                    <w:t xml:space="preserve">[1.477, 4.282]</w:t>
                  </w:r>
                </w:p>
              </w:tc>
              <w:tc>
                <w:tcPr/>
                <w:p>
                  <w:pPr>
                    <w:pStyle w:val="Compact"/>
                    <w:jc w:val="center"/>
                  </w:pPr>
                  <w:r>
                    <w:t xml:space="preserve">1</w:t>
                  </w:r>
                </w:p>
              </w:tc>
            </w:tr>
          </w:tbl>
          <w:bookmarkEnd w:id="59"/>
          <w:p/>
        </w:tc>
      </w:tr>
    </w:tbl>
    <w:p>
      <w:pPr>
        <w:pStyle w:val="BodyText"/>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CI does not include 0: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)–our CI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One approach would be to compare models, for example with leave one out (loo) cross validation, to examine if a dispersion parameter should be considered in our model.</w:t>
      </w:r>
    </w:p>
    <w:tbl>
      <w:tblPr>
        <w:tblStyle w:val="Table"/>
        <w:tblW w:type="pct" w:w="5000"/>
        <w:tblLayout w:type="fixed"/>
        <w:tblLook w:firstRow="0" w:lastRow="0" w:firstColumn="0" w:lastColumn="0" w:noHBand="0" w:noVBand="0" w:val="0000"/>
      </w:tblPr>
      <w:tblGrid>
        <w:gridCol w:w="7920"/>
      </w:tblGrid>
      <w:tr>
        <w:tc>
          <w:tcPr/>
          <w:bookmarkStart w:id="63" w:name="fig-plt-diff"/>
          <w:p>
            <w:pPr>
              <w:pStyle w:val="Compact"/>
              <w:jc w:val="center"/>
            </w:pPr>
            <w:r>
              <w:drawing>
                <wp:inline>
                  <wp:extent cx="5334000" cy="3295226"/>
                  <wp:effectExtent b="0" l="0" r="0" t="0"/>
                  <wp:docPr descr="" title="" id="61" name="Picture"/>
                  <a:graphic>
                    <a:graphicData uri="http://schemas.openxmlformats.org/drawingml/2006/picture">
                      <pic:pic>
                        <pic:nvPicPr>
                          <pic:cNvPr descr="ms_files/figure-docx/fig-plt-diff-1.png" id="62" name="Picture"/>
                          <pic:cNvPicPr>
                            <a:picLocks noChangeArrowheads="1" noChangeAspect="1"/>
                          </pic:cNvPicPr>
                        </pic:nvPicPr>
                        <pic:blipFill>
                          <a:blip r:embed="rId60"/>
                          <a:stretch>
                            <a:fillRect/>
                          </a:stretch>
                        </pic:blipFill>
                        <pic:spPr bwMode="auto">
                          <a:xfrm>
                            <a:off x="0" y="0"/>
                            <a:ext cx="5334000" cy="32952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posterior distributions for the risk difference in fluency: Simple model (no dispersion for Fluency) vs. complex model with dispersion</w:t>
            </w:r>
          </w:p>
          <w:bookmarkEnd w:id="63"/>
        </w:tc>
      </w:tr>
    </w:tbl>
    <w:bookmarkEnd w:id="64"/>
    <w:bookmarkStart w:id="74" w:name="predicted-probabilities"/>
    <w:p>
      <w:pPr>
        <w:pStyle w:val="Heading3"/>
      </w:pPr>
      <w:r>
        <w:t xml:space="preserve">Predicted Probabilities</w:t>
      </w:r>
    </w:p>
    <w:p>
      <w:pPr>
        <w:pStyle w:val="FirstParagraph"/>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-0.918 + 0.24 = -0.678</w:t>
      </w:r>
      <w:r>
        <w:t xml:space="preserve">. We then use</w:t>
      </w:r>
      <w:r>
        <w:t xml:space="preserve"> </w:t>
      </w:r>
      <w:r>
        <w:rPr>
          <w:rStyle w:val="VerbatimChar"/>
        </w:rPr>
        <w:t xml:space="preserve">plogis()</w:t>
      </w:r>
      <w:r>
        <w:t xml:space="preserve"> </w:t>
      </w:r>
      <w:r>
        <w:t xml:space="preserve">to convert both log-odds values to probabilities (Fluent = 36%, Disfluency = 26%).</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Greifer, and Heiss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65"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66"/>
        </w:tc>
      </w:tr>
    </w:tbl>
    <w:tbl>
      <w:tblPr>
        <w:tblStyle w:val="Table"/>
        <w:tblW w:type="pct" w:w="5000"/>
        <w:tblLayout w:type="fixed"/>
        <w:tblLook w:firstRow="0" w:lastRow="0" w:firstColumn="0" w:lastColumn="0" w:noHBand="0" w:noVBand="0" w:val="0000"/>
      </w:tblPr>
      <w:tblGrid>
        <w:gridCol w:w="7920"/>
      </w:tblGrid>
      <w:tr>
        <w:tc>
          <w:tcPr/>
          <w:bookmarkStart w:id="67" w:name="tbl-predict-prob"/>
          <w:p>
            <w:pPr>
              <w:jc w:val="center"/>
            </w:pPr>
            <w:pPr>
              <w:jc w:val="start"/>
              <w:spacing w:before="200"/>
              <w:pStyle w:val="ImageCaption"/>
            </w:pPr>
            <w:r>
              <w:t xml:space="preserve">Table 4: 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jc w:val="center"/>
                  </w:pPr>
                  <w:r>
                    <w:t xml:space="preserve">Fluency</w:t>
                  </w:r>
                </w:p>
              </w:tc>
              <w:tc>
                <w:tcPr/>
                <w:p>
                  <w:pPr>
                    <w:pStyle w:val="Compact"/>
                    <w:jc w:val="center"/>
                  </w:pPr>
                  <w:r>
                    <w:t xml:space="preserve">Mean</w:t>
                  </w:r>
                </w:p>
              </w:tc>
              <w:tc>
                <w:tcPr/>
                <w:p>
                  <w:pPr>
                    <w:pStyle w:val="Compact"/>
                    <w:jc w:val="center"/>
                  </w:pPr>
                  <w:r>
                    <w:t xml:space="preserve">95% CI</w:t>
                  </w:r>
                </w:p>
              </w:tc>
            </w:tr>
            <w:tr>
              <w:tc>
                <w:tcPr/>
                <w:p>
                  <w:pPr>
                    <w:pStyle w:val="Compact"/>
                    <w:jc w:val="center"/>
                  </w:pPr>
                  <w:r>
                    <w:t xml:space="preserve">Disfluent</w:t>
                  </w:r>
                </w:p>
              </w:tc>
              <w:tc>
                <w:tcPr/>
                <w:p>
                  <w:pPr>
                    <w:pStyle w:val="Compact"/>
                    <w:jc w:val="center"/>
                  </w:pPr>
                  <w:r>
                    <w:t xml:space="preserve">0.264</w:t>
                  </w:r>
                </w:p>
              </w:tc>
              <w:tc>
                <w:tcPr/>
                <w:p>
                  <w:pPr>
                    <w:pStyle w:val="Compact"/>
                    <w:jc w:val="center"/>
                  </w:pPr>
                  <w:r>
                    <w:t xml:space="preserve">[0.214, 0.319]</w:t>
                  </w:r>
                </w:p>
              </w:tc>
            </w:tr>
            <w:tr>
              <w:tc>
                <w:tcPr/>
                <w:p>
                  <w:pPr>
                    <w:pStyle w:val="Compact"/>
                    <w:jc w:val="center"/>
                  </w:pPr>
                  <w:r>
                    <w:t xml:space="preserve">Fluent</w:t>
                  </w:r>
                </w:p>
              </w:tc>
              <w:tc>
                <w:tcPr/>
                <w:p>
                  <w:pPr>
                    <w:pStyle w:val="Compact"/>
                    <w:jc w:val="center"/>
                  </w:pPr>
                  <w:r>
                    <w:t xml:space="preserve">0.357</w:t>
                  </w:r>
                </w:p>
              </w:tc>
              <w:tc>
                <w:tcPr/>
                <w:p>
                  <w:pPr>
                    <w:pStyle w:val="Compact"/>
                    <w:jc w:val="center"/>
                  </w:pPr>
                  <w:r>
                    <w:t xml:space="preserve">[0.294, 0.425]</w:t>
                  </w:r>
                </w:p>
              </w:tc>
            </w:tr>
          </w:tbl>
          <w:bookmarkEnd w:id="67"/>
          <w:p/>
        </w:tc>
      </w:tr>
    </w:tbl>
    <w:p>
      <w:pPr>
        <w:pStyle w:val="BodyText"/>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36% on the final exam compared to 26%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8"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condition = "Fluency")</w:t>
            </w:r>
          </w:p>
          <w:bookmarkEnd w:id="68"/>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Cr.Is.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9"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69"/>
        </w:tc>
      </w:tr>
    </w:tbl>
    <w:tbl>
      <w:tblPr>
        <w:tblStyle w:val="Table"/>
        <w:tblW w:type="pct" w:w="5000"/>
        <w:tblLayout w:type="fixed"/>
        <w:tblLook w:firstRow="0" w:lastRow="0" w:firstColumn="0" w:lastColumn="0" w:noHBand="0" w:noVBand="0" w:val="0000"/>
      </w:tblPr>
      <w:tblGrid>
        <w:gridCol w:w="7920"/>
      </w:tblGrid>
      <w:tr>
        <w:tc>
          <w:tcPr/>
          <w:bookmarkStart w:id="73" w:name="fig-draws-fluency"/>
          <w:p>
            <w:pPr>
              <w:pStyle w:val="Compact"/>
              <w:jc w:val="center"/>
            </w:pPr>
            <w:r>
              <w:drawing>
                <wp:inline>
                  <wp:extent cx="5334000" cy="3295226"/>
                  <wp:effectExtent b="0" l="0" r="0" t="0"/>
                  <wp:docPr descr="" title="" id="71" name="Picture"/>
                  <a:graphic>
                    <a:graphicData uri="http://schemas.openxmlformats.org/drawingml/2006/picture">
                      <pic:pic>
                        <pic:nvPicPr>
                          <pic:cNvPr descr="ms_files/figure-docx/fig-draws-fluency-1.png" id="72" name="Picture"/>
                          <pic:cNvPicPr>
                            <a:picLocks noChangeArrowheads="1" noChangeAspect="1"/>
                          </pic:cNvPicPr>
                        </pic:nvPicPr>
                        <pic:blipFill>
                          <a:blip r:embed="rId70"/>
                          <a:stretch>
                            <a:fillRect/>
                          </a:stretch>
                        </pic:blipFill>
                        <pic:spPr bwMode="auto">
                          <a:xfrm>
                            <a:off x="0" y="0"/>
                            <a:ext cx="5334000" cy="32952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Predicted probablity posterior distributions by fluency</w:t>
            </w:r>
          </w:p>
          <w:bookmarkEnd w:id="73"/>
        </w:tc>
      </w:tr>
    </w:tbl>
    <w:bookmarkEnd w:id="74"/>
    <w:bookmarkStart w:id="78"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Greifer, and Heiss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75" w:name="lst-avgcomp"/>
          <w:p>
            <w:pPr>
              <w:jc w:val="center"/>
            </w:pPr>
            <w:pPr>
              <w:jc w:val="start"/>
              <w:spacing w:before="200"/>
              <w:pStyle w:val="ImageCaption"/>
            </w:pPr>
            <w:r>
              <w:t xml:space="preserve">Listing 11: Calculating the difference between probabities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75"/>
        </w:tc>
      </w:tr>
    </w:tbl>
    <w:tbl>
      <w:tblPr>
        <w:tblStyle w:val="Table"/>
        <w:tblW w:type="pct" w:w="5000"/>
        <w:tblLayout w:type="fixed"/>
        <w:tblLook w:firstRow="0" w:lastRow="0" w:firstColumn="0" w:lastColumn="0" w:noHBand="0" w:noVBand="0" w:val="0000"/>
      </w:tblPr>
      <w:tblGrid>
        <w:gridCol w:w="7920"/>
      </w:tblGrid>
      <w:tr>
        <w:tc>
          <w:tcPr/>
          <w:bookmarkStart w:id="76" w:name="tbl-ame1"/>
          <w:p>
            <w:pPr>
              <w:jc w:val="center"/>
            </w:pPr>
            <w:pPr>
              <w:jc w:val="start"/>
              <w:spacing w:before="200"/>
              <w:pStyle w:val="ImageCaption"/>
            </w:pPr>
            <w:r>
              <w:t xml:space="preserve">Table 5: Probability fluency difference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jc w:val="center"/>
                  </w:pPr>
                  <w:r>
                    <w:t xml:space="preserve">Term</w:t>
                  </w:r>
                </w:p>
              </w:tc>
              <w:tc>
                <w:tcPr/>
                <w:p>
                  <w:pPr>
                    <w:pStyle w:val="Compact"/>
                    <w:jc w:val="center"/>
                  </w:pPr>
                  <w:r>
                    <w:t xml:space="preserve">Contrast</w:t>
                  </w:r>
                </w:p>
              </w:tc>
              <w:tc>
                <w:tcPr/>
                <w:p>
                  <w:pPr>
                    <w:pStyle w:val="Compact"/>
                    <w:jc w:val="center"/>
                  </w:pPr>
                  <w:r>
                    <w:t xml:space="preserve">Mean</w:t>
                  </w:r>
                </w:p>
              </w:tc>
              <w:tc>
                <w:tcPr/>
                <w:p>
                  <w:pPr>
                    <w:pStyle w:val="Compact"/>
                    <w:jc w:val="center"/>
                  </w:pPr>
                  <w:r>
                    <w:t xml:space="preserve">95% CI</w:t>
                  </w:r>
                </w:p>
              </w:tc>
            </w:tr>
            <w:tr>
              <w:tc>
                <w:tcPr/>
                <w:p>
                  <w:pPr>
                    <w:pStyle w:val="Compact"/>
                    <w:jc w:val="center"/>
                  </w:pPr>
                  <w:r>
                    <w:t xml:space="preserve">Fluency</w:t>
                  </w:r>
                </w:p>
              </w:tc>
              <w:tc>
                <w:tcPr/>
                <w:p>
                  <w:pPr>
                    <w:pStyle w:val="Compact"/>
                    <w:jc w:val="center"/>
                  </w:pPr>
                  <w:r>
                    <w:t xml:space="preserve">Fluent - Disfluent</w:t>
                  </w:r>
                </w:p>
              </w:tc>
              <w:tc>
                <w:tcPr/>
                <w:p>
                  <w:pPr>
                    <w:pStyle w:val="Compact"/>
                    <w:jc w:val="center"/>
                  </w:pPr>
                  <w:r>
                    <w:t xml:space="preserve">0.094</w:t>
                  </w:r>
                </w:p>
              </w:tc>
              <w:tc>
                <w:tcPr/>
                <w:p>
                  <w:pPr>
                    <w:pStyle w:val="Compact"/>
                    <w:jc w:val="center"/>
                  </w:pPr>
                  <w:r>
                    <w:t xml:space="preserve">[0.011, 0.174]</w:t>
                  </w:r>
                </w:p>
              </w:tc>
            </w:tr>
          </w:tbl>
          <w:bookmarkEnd w:id="76"/>
          <w:p/>
        </w:tc>
      </w:tr>
    </w:tbl>
    <w:p>
      <w:pPr>
        <w:pStyle w:val="BodyText"/>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tbl>
      <w:tblPr>
        <w:tblStyle w:val="Table"/>
        <w:tblW w:type="pct" w:w="5000"/>
        <w:tblLayout w:type="fixed"/>
        <w:tblLook w:firstRow="0" w:lastRow="0" w:firstColumn="0" w:lastColumn="0" w:noHBand="0" w:noVBand="0" w:val="0000"/>
      </w:tblPr>
      <w:tblGrid>
        <w:gridCol w:w="7920"/>
      </w:tblGrid>
      <w:tr>
        <w:tc>
          <w:tcPr/>
          <w:bookmarkStart w:id="77" w:name="tbl-or"/>
          <w:p>
            <w:pPr>
              <w:jc w:val="center"/>
            </w:pPr>
            <w:pPr>
              <w:jc w:val="start"/>
              <w:spacing w:before="200"/>
              <w:pStyle w:val="ImageCaption"/>
            </w:pPr>
            <w:r>
              <w:t xml:space="preserve">Table 6: 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jc w:val="center"/>
                  </w:pPr>
                  <w:r>
                    <w:t xml:space="preserve">Term</w:t>
                  </w:r>
                </w:p>
              </w:tc>
              <w:tc>
                <w:tcPr/>
                <w:p>
                  <w:pPr>
                    <w:pStyle w:val="Compact"/>
                    <w:jc w:val="center"/>
                  </w:pPr>
                  <w:r>
                    <w:t xml:space="preserve">Contrast</w:t>
                  </w:r>
                </w:p>
              </w:tc>
              <w:tc>
                <w:tcPr/>
                <w:p>
                  <w:pPr>
                    <w:pStyle w:val="Compact"/>
                    <w:jc w:val="center"/>
                  </w:pPr>
                  <w:r>
                    <w:t xml:space="preserve">Mean</w:t>
                  </w:r>
                </w:p>
              </w:tc>
              <w:tc>
                <w:tcPr/>
                <w:p>
                  <w:pPr>
                    <w:pStyle w:val="Compact"/>
                    <w:jc w:val="center"/>
                  </w:pPr>
                  <w:r>
                    <w:t xml:space="preserve">95% CI</w:t>
                  </w:r>
                </w:p>
              </w:tc>
            </w:tr>
            <w:tr>
              <w:tc>
                <w:tcPr/>
                <w:p>
                  <w:pPr>
                    <w:pStyle w:val="Compact"/>
                    <w:jc w:val="center"/>
                  </w:pPr>
                  <w:r>
                    <w:t xml:space="preserve">Fluency</w:t>
                  </w:r>
                </w:p>
              </w:tc>
              <w:tc>
                <w:tcPr/>
                <w:p>
                  <w:pPr>
                    <w:pStyle w:val="Compact"/>
                    <w:jc w:val="center"/>
                  </w:pPr>
                  <w:r>
                    <w:t xml:space="preserve">ln(odds(Fluent) / odds(Disfluent))</w:t>
                  </w:r>
                </w:p>
              </w:tc>
              <w:tc>
                <w:tcPr/>
                <w:p>
                  <w:pPr>
                    <w:pStyle w:val="Compact"/>
                    <w:jc w:val="center"/>
                  </w:pPr>
                  <w:r>
                    <w:t xml:space="preserve">1.554</w:t>
                  </w:r>
                </w:p>
              </w:tc>
              <w:tc>
                <w:tcPr/>
                <w:p>
                  <w:pPr>
                    <w:pStyle w:val="Compact"/>
                    <w:jc w:val="center"/>
                  </w:pPr>
                  <w:r>
                    <w:t xml:space="preserve">[1.053, 2.271]</w:t>
                  </w:r>
                </w:p>
              </w:tc>
            </w:tr>
          </w:tbl>
          <w:bookmarkEnd w:id="77"/>
          <w:p/>
        </w:tc>
      </w:tr>
    </w:tbl>
    <w:p>
      <w:pPr>
        <w:pStyle w:val="BodyText"/>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CIs around it. Using this metric we see the effect size is small (0.17), 95% CI [-0.002, 0.361].</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bookmarkEnd w:id="78"/>
    <w:bookmarkStart w:id="79"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79"/>
    <w:bookmarkEnd w:id="80"/>
    <w:bookmarkStart w:id="93"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model, we nudged these values to 0.01, but this kind of data manipulation is generally discouraged, especially when the zeros are meaningful. In our case, these zeros may be structural—that is, they represent real, systematic instances where participants failed to answer correctly (rather than random noise or measurement error). For example, the fluency of the instructor might be a key factor in predicting these zero responses. To properly account for them,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zeros.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1"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transform 1 to .99</w:t>
            </w:r>
            <w:r>
              <w:br/>
            </w:r>
            <w:r>
              <w:rPr>
                <w:rStyle w:val="VerbatimChar"/>
              </w:rPr>
              <w:t xml:space="preserve">data_beta_0 &lt;- fluency_data |&gt;</w:t>
            </w:r>
            <w:r>
              <w:br/>
            </w:r>
            <w:r>
              <w:rPr>
                <w:rStyle w:val="VerbatimChar"/>
              </w:rPr>
              <w:t xml:space="preserve">  mutate(Accuracy = ifelse(Accuracy == 1, .99, Accuracy))</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w:t>
            </w:r>
            <w:r>
              <w:br/>
            </w:r>
            <w:r>
              <w:rPr>
                <w:rStyle w:val="VerbatimChar"/>
              </w:rPr>
              <w:t xml:space="preserve">)</w:t>
            </w:r>
          </w:p>
          <w:bookmarkEnd w:id="81"/>
        </w:tc>
      </w:tr>
    </w:tbl>
    <w:bookmarkStart w:id="82"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zeros (or near-zero values) via its inflation component, allowing it to better account for features in the data that a standard Beta distribution cannot accommodate.</w:t>
      </w:r>
    </w:p>
    <w:bookmarkEnd w:id="82"/>
    <w:bookmarkStart w:id="87"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bookmarkStart w:id="84" w:name="mean"/>
    <w:p>
      <w:pPr>
        <w:pStyle w:val="Heading4"/>
      </w:pPr>
      <w:r>
        <w:t xml:space="preserve">Mean</w:t>
      </w:r>
    </w:p>
    <w:p>
      <w:pPr>
        <w:pStyle w:val="FirstParagraph"/>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tbl>
      <w:tblPr>
        <w:tblStyle w:val="Table"/>
        <w:tblW w:type="pct" w:w="5000"/>
        <w:tblLayout w:type="fixed"/>
        <w:tblLook w:firstRow="0" w:lastRow="0" w:firstColumn="0" w:lastColumn="0" w:noHBand="0" w:noVBand="0" w:val="0000"/>
      </w:tblPr>
      <w:tblGrid>
        <w:gridCol w:w="7920"/>
      </w:tblGrid>
      <w:tr>
        <w:tc>
          <w:tcPr/>
          <w:bookmarkStart w:id="83" w:name="tbl-marg-mu-brms"/>
          <w:p>
            <w:pPr>
              <w:jc w:val="center"/>
            </w:pPr>
            <w:pPr>
              <w:jc w:val="start"/>
              <w:spacing w:before="200"/>
              <w:pStyle w:val="ImageCaption"/>
            </w:pPr>
            <w:r>
              <w:t xml:space="preserve">Table 7: Probablity fluency difference (</w:t>
            </w:r>
            <m:oMath>
              <m:r>
                <m:t>μ</m:t>
              </m:r>
            </m:oMath>
            <w:r>
              <w:t xml:space="preserv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jc w:val="center"/>
                  </w:pPr>
                  <w:r>
                    <w:t xml:space="preserve">Term</w:t>
                  </w:r>
                </w:p>
              </w:tc>
              <w:tc>
                <w:tcPr/>
                <w:p>
                  <w:pPr>
                    <w:pStyle w:val="Compact"/>
                    <w:jc w:val="center"/>
                  </w:pPr>
                  <w:r>
                    <w:t xml:space="preserve">Contrast</w:t>
                  </w:r>
                </w:p>
              </w:tc>
              <w:tc>
                <w:tcPr/>
                <w:p>
                  <w:pPr>
                    <w:pStyle w:val="Compact"/>
                    <w:jc w:val="center"/>
                  </w:pPr>
                  <w:r>
                    <w:t xml:space="preserve">Mean</w:t>
                  </w:r>
                </w:p>
              </w:tc>
              <w:tc>
                <w:tcPr/>
                <w:p>
                  <w:pPr>
                    <w:pStyle w:val="Compact"/>
                    <w:jc w:val="center"/>
                  </w:pPr>
                  <w:r>
                    <w:t xml:space="preserve">95% CI</w:t>
                  </w:r>
                </w:p>
              </w:tc>
            </w:tr>
            <w:tr>
              <w:tc>
                <w:tcPr/>
                <w:p>
                  <w:pPr>
                    <w:pStyle w:val="Compact"/>
                    <w:jc w:val="center"/>
                  </w:pPr>
                  <w:r>
                    <w:t xml:space="preserve">Fluency</w:t>
                  </w:r>
                </w:p>
              </w:tc>
              <w:tc>
                <w:tcPr/>
                <w:p>
                  <w:pPr>
                    <w:pStyle w:val="Compact"/>
                    <w:jc w:val="center"/>
                  </w:pPr>
                  <w:r>
                    <w:t xml:space="preserve">Fluent - Disfluent</w:t>
                  </w:r>
                </w:p>
              </w:tc>
              <w:tc>
                <w:tcPr/>
                <w:p>
                  <w:pPr>
                    <w:pStyle w:val="Compact"/>
                    <w:jc w:val="center"/>
                  </w:pPr>
                  <w:r>
                    <w:t xml:space="preserve">0.006</w:t>
                  </w:r>
                </w:p>
              </w:tc>
              <w:tc>
                <w:tcPr/>
                <w:p>
                  <w:pPr>
                    <w:pStyle w:val="Compact"/>
                    <w:jc w:val="center"/>
                  </w:pPr>
                  <w:r>
                    <w:t xml:space="preserve">[-0.079, 0.09]</w:t>
                  </w:r>
                </w:p>
              </w:tc>
            </w:tr>
          </w:tbl>
          <w:bookmarkEnd w:id="83"/>
          <w:p/>
        </w:tc>
      </w:tr>
    </w:tbl>
    <w:bookmarkEnd w:id="84"/>
    <w:bookmarkStart w:id="86" w:name="dispersion"/>
    <w:p>
      <w:pPr>
        <w:pStyle w:val="Heading4"/>
      </w:pPr>
      <w:r>
        <w:t xml:space="preserve">Dispersion</w:t>
      </w:r>
    </w:p>
    <w:p>
      <w:pPr>
        <w:pStyle w:val="FirstParagraph"/>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tbl>
      <w:tblPr>
        <w:tblStyle w:val="Table"/>
        <w:tblW w:type="pct" w:w="5000"/>
        <w:tblLayout w:type="fixed"/>
        <w:tblLook w:firstRow="0" w:lastRow="0" w:firstColumn="0" w:lastColumn="0" w:noHBand="0" w:noVBand="0" w:val="0000"/>
      </w:tblPr>
      <w:tblGrid>
        <w:gridCol w:w="7920"/>
      </w:tblGrid>
      <w:tr>
        <w:tc>
          <w:tcPr/>
          <w:bookmarkStart w:id="85" w:name="tbl-marg-phi-brms"/>
          <w:p>
            <w:pPr>
              <w:jc w:val="center"/>
            </w:pPr>
            <w:pPr>
              <w:jc w:val="start"/>
              <w:spacing w:before="200"/>
              <w:pStyle w:val="ImageCaption"/>
            </w:pPr>
            <w:r>
              <w:t xml:space="preserve">Table 8: Probablity fluency difference (</w:t>
            </w:r>
            <m:oMath>
              <m:r>
                <m:t>ϕ</m:t>
              </m:r>
            </m:oMath>
            <w:r>
              <w:t xml:space="preserve">)</w:t>
            </w:r>
          </w:p>
          <w:tbl>
            <w:tblPr>
              <w:tblStyle w:val="Table"/>
              <w:tblW w:type="pct" w:w="3750"/>
              <w:tblLayout w:type="fixed"/>
              <w:tblLook w:firstRow="1" w:lastRow="0" w:firstColumn="0" w:lastColumn="0" w:noHBand="0" w:noVBand="0" w:val="0020"/>
            </w:tblPr>
            <w:tblGrid>
              <w:gridCol w:w="1100"/>
              <w:gridCol w:w="2310"/>
              <w:gridCol w:w="770"/>
              <w:gridCol w:w="1760"/>
            </w:tblGrid>
            <w:tr>
              <w:trPr>
                <w:tblHeader w:val="on"/>
              </w:trPr>
              <w:tc>
                <w:tcPr/>
                <w:p>
                  <w:pPr>
                    <w:pStyle w:val="Compact"/>
                    <w:jc w:val="center"/>
                  </w:pPr>
                  <w:r>
                    <w:t xml:space="preserve">Term</w:t>
                  </w:r>
                </w:p>
              </w:tc>
              <w:tc>
                <w:tcPr/>
                <w:p>
                  <w:pPr>
                    <w:pStyle w:val="Compact"/>
                    <w:jc w:val="center"/>
                  </w:pPr>
                  <w:r>
                    <w:t xml:space="preserve">Contrast</w:t>
                  </w:r>
                </w:p>
              </w:tc>
              <w:tc>
                <w:tcPr/>
                <w:p>
                  <w:pPr>
                    <w:pStyle w:val="Compact"/>
                    <w:jc w:val="center"/>
                  </w:pPr>
                  <w:r>
                    <w:t xml:space="preserve">Mean</w:t>
                  </w:r>
                </w:p>
              </w:tc>
              <w:tc>
                <w:tcPr/>
                <w:p>
                  <w:pPr>
                    <w:pStyle w:val="Compact"/>
                    <w:jc w:val="center"/>
                  </w:pPr>
                  <w:r>
                    <w:t xml:space="preserve">95% CI</w:t>
                  </w:r>
                </w:p>
              </w:tc>
            </w:tr>
            <w:tr>
              <w:tc>
                <w:tcPr/>
                <w:p>
                  <w:pPr>
                    <w:pStyle w:val="Compact"/>
                    <w:jc w:val="center"/>
                  </w:pPr>
                  <w:r>
                    <w:t xml:space="preserve">Fluency</w:t>
                  </w:r>
                </w:p>
              </w:tc>
              <w:tc>
                <w:tcPr/>
                <w:p>
                  <w:pPr>
                    <w:pStyle w:val="Compact"/>
                    <w:jc w:val="center"/>
                  </w:pPr>
                  <w:r>
                    <w:t xml:space="preserve">Fluent - Disfluent</w:t>
                  </w:r>
                </w:p>
              </w:tc>
              <w:tc>
                <w:tcPr/>
                <w:p>
                  <w:pPr>
                    <w:pStyle w:val="Compact"/>
                    <w:jc w:val="center"/>
                  </w:pPr>
                  <w:r>
                    <w:t xml:space="preserve">4.49</w:t>
                  </w:r>
                </w:p>
              </w:tc>
              <w:tc>
                <w:tcPr/>
                <w:p>
                  <w:pPr>
                    <w:pStyle w:val="Compact"/>
                    <w:jc w:val="center"/>
                  </w:pPr>
                  <w:r>
                    <w:t xml:space="preserve">[1.31, 8.199]</w:t>
                  </w:r>
                </w:p>
              </w:tc>
            </w:tr>
          </w:tbl>
          <w:bookmarkEnd w:id="85"/>
          <w:p/>
        </w:tc>
      </w:tr>
    </w:tbl>
    <w:bookmarkEnd w:id="86"/>
    <w:bookmarkEnd w:id="87"/>
    <w:bookmarkStart w:id="92" w:name="zero-inflation"/>
    <w:p>
      <w:pPr>
        <w:pStyle w:val="Heading3"/>
      </w:pPr>
      <w:r>
        <w:t xml:space="preserve">Zero-Inflation</w:t>
      </w:r>
    </w:p>
    <w:p>
      <w:pPr>
        <w:pStyle w:val="FirstParagraph"/>
      </w:pPr>
      <w:r>
        <w:t xml:space="preserve">In</w:t>
      </w:r>
      <w:r>
        <w:t xml:space="preserve"> </w:t>
      </w:r>
      <w:hyperlink w:anchor="tbl-marg-zib-brms">
        <w:r>
          <w:rPr>
            <w:rStyle w:val="Hyperlink"/>
          </w:rPr>
          <w:t xml:space="preserve">Table 9</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zi-plot"/>
          <w:p>
            <w:pPr>
              <w:pStyle w:val="Compact"/>
              <w:jc w:val="center"/>
            </w:pPr>
            <w:r>
              <w:drawing>
                <wp:inline>
                  <wp:extent cx="5334000" cy="3295226"/>
                  <wp:effectExtent b="0" l="0" r="0" t="0"/>
                  <wp:docPr descr="" title="" id="89" name="Picture"/>
                  <a:graphic>
                    <a:graphicData uri="http://schemas.openxmlformats.org/drawingml/2006/picture">
                      <pic:pic>
                        <pic:nvPicPr>
                          <pic:cNvPr descr="ms_files/figure-docx/fig-zi-plot-1.png" id="90" name="Picture"/>
                          <pic:cNvPicPr>
                            <a:picLocks noChangeArrowheads="1" noChangeAspect="1"/>
                          </pic:cNvPicPr>
                        </pic:nvPicPr>
                        <pic:blipFill>
                          <a:blip r:embed="rId88"/>
                          <a:stretch>
                            <a:fillRect/>
                          </a:stretch>
                        </pic:blipFill>
                        <pic:spPr bwMode="auto">
                          <a:xfrm>
                            <a:off x="0" y="0"/>
                            <a:ext cx="5334000" cy="32952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Visualization of the predicted difference for zero-inflated part of model</w:t>
            </w:r>
          </w:p>
          <w:bookmarkEnd w:id="91"/>
        </w:tc>
      </w:tr>
    </w:tbl>
    <w:bookmarkEnd w:id="92"/>
    <w:bookmarkEnd w:id="93"/>
    <w:bookmarkStart w:id="103"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94"/>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and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and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tbl>
      <w:tblPr>
        <w:tblStyle w:val="Table"/>
        <w:tblW w:type="pct" w:w="5000"/>
        <w:tblLayout w:type="fixed"/>
        <w:tblLook w:firstRow="0" w:lastRow="0" w:firstColumn="0" w:lastColumn="0" w:noHBand="0" w:noVBand="0" w:val="0000"/>
      </w:tblPr>
      <w:tblGrid>
        <w:gridCol w:w="7920"/>
      </w:tblGrid>
      <w:tr>
        <w:tc>
          <w:tcPr/>
          <w:bookmarkStart w:id="98" w:name="fig-zoib"/>
          <w:p>
            <w:pPr>
              <w:pStyle w:val="Compact"/>
              <w:jc w:val="center"/>
            </w:pPr>
            <w:r>
              <w:drawing>
                <wp:inline>
                  <wp:extent cx="5334000" cy="3295967"/>
                  <wp:effectExtent b="0" l="0" r="0" t="0"/>
                  <wp:docPr descr="" title="" id="96" name="Picture"/>
                  <a:graphic>
                    <a:graphicData uri="http://schemas.openxmlformats.org/drawingml/2006/picture">
                      <pic:pic>
                        <pic:nvPicPr>
                          <pic:cNvPr descr="ms_files/figure-docx/fig-zoib-1.png" id="97" name="Picture"/>
                          <pic:cNvPicPr>
                            <a:picLocks noChangeArrowheads="1" noChangeAspect="1"/>
                          </pic:cNvPicPr>
                        </pic:nvPicPr>
                        <pic:blipFill>
                          <a:blip r:embed="rId95"/>
                          <a:stretch>
                            <a:fillRect/>
                          </a:stretch>
                        </pic:blipFill>
                        <pic:spPr bwMode="auto">
                          <a:xfrm>
                            <a:off x="0" y="0"/>
                            <a:ext cx="5334000" cy="329596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Simulated data from a ZOIB model illustrating the effects of the zero-one inflation parameter (</w:t>
            </w:r>
            <m:oMath>
              <m:r>
                <m:t>α</m:t>
              </m:r>
            </m:oMath>
            <w:r>
              <w:t xml:space="preserve">) and the conditional one-inflation parameter (</w:t>
            </w:r>
            <m:oMath>
              <m:r>
                <m:t>γ</m:t>
              </m:r>
            </m:oMath>
            <w:r>
              <w:t xml:space="preserve">).</w:t>
            </w:r>
          </w:p>
          <w:bookmarkEnd w:id="98"/>
        </w:tc>
      </w:tr>
    </w:tbl>
    <w:p>
      <w:pPr>
        <w:pStyle w:val="BodyText"/>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99"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backend = "cmdstanr",</w:t>
            </w:r>
            <w:r>
              <w:br/>
            </w:r>
            <w:r>
              <w:rPr>
                <w:rStyle w:val="VerbatimChar"/>
              </w:rPr>
              <w:t xml:space="preserve">  file = "bayes_zoib_model"</w:t>
            </w:r>
            <w:r>
              <w:br/>
            </w:r>
            <w:r>
              <w:rPr>
                <w:rStyle w:val="VerbatimChar"/>
              </w:rPr>
              <w:t xml:space="preserve">)</w:t>
            </w:r>
          </w:p>
          <w:bookmarkEnd w:id="99"/>
        </w:tc>
      </w:tr>
    </w:tbl>
    <w:bookmarkStart w:id="100"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00"/>
    <w:bookmarkStart w:id="102"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p>
    <w:tbl>
      <w:tblPr>
        <w:tblStyle w:val="Table"/>
        <w:tblW w:type="pct" w:w="5000"/>
        <w:tblLayout w:type="fixed"/>
        <w:tblLook w:firstRow="0" w:lastRow="0" w:firstColumn="0" w:lastColumn="0" w:noHBand="0" w:noVBand="0" w:val="0000"/>
      </w:tblPr>
      <w:tblGrid>
        <w:gridCol w:w="7920"/>
      </w:tblGrid>
      <w:tr>
        <w:tc>
          <w:tcPr/>
          <w:bookmarkStart w:id="101"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01"/>
        </w:tc>
      </w:tr>
    </w:tbl>
    <w:bookmarkEnd w:id="102"/>
    <w:bookmarkEnd w:id="103"/>
    <w:bookmarkStart w:id="108"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(but see</w:t>
      </w:r>
      <w:r>
        <w:t xml:space="preserve"> </w:t>
      </w:r>
      <w:hyperlink w:anchor="ref-Fullerton2023">
        <w:r>
          <w:rPr>
            <w:rStyle w:val="Hyperlink"/>
          </w:rPr>
          <w:t xml:space="preserve">Fullerton and Anderson 2021</w:t>
        </w:r>
      </w:hyperlink>
      <w:r>
        <w:t xml:space="preserve">;</w:t>
      </w:r>
      <w:r>
        <w:t xml:space="preserve"> </w:t>
      </w:r>
      <w:hyperlink w:anchor="ref-bürkner2019">
        <w:r>
          <w:rPr>
            <w:rStyle w:val="Hyperlink"/>
          </w:rPr>
          <w:t xml:space="preserve">Bürkner and Vuorre 2019</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X7cd18eb73a2d92149a7ad2ca420611b508cf98b">
        <w:r>
          <w:rPr>
            <w:rStyle w:val="Hyperlink"/>
          </w:rPr>
          <w:t xml:space="preserve">Wilkes et al. 2024</w:t>
        </w:r>
      </w:hyperlink>
      <w:r>
        <w:t xml:space="preserve">;</w:t>
      </w:r>
      <w:r>
        <w:t xml:space="preserve"> </w:t>
      </w:r>
      <w:hyperlink w:anchor="ref-martinVocalComplexitySocially2024">
        <w:r>
          <w:rPr>
            <w:rStyle w:val="Hyperlink"/>
          </w:rPr>
          <w:t xml:space="preserve">Martin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ref-nouvianGlyphosateImpairsAversive2023">
        <w:r>
          <w:rPr>
            <w:rStyle w:val="Hyperlink"/>
          </w:rPr>
          <w:t xml:space="preserve">Nouvian, Foster, and Weidenmüller 2023</w:t>
        </w:r>
      </w:hyperlink>
      <w:r>
        <w:t xml:space="preserve">)</w:t>
      </w:r>
      <w:r>
        <w:t xml:space="preserve"> </w:t>
      </w:r>
      <w:r>
        <w:t xml:space="preserve">because it produces only a single set of coefficient estimates in a similar manner to a standard beta regression or OLS.</w:t>
      </w:r>
    </w:p>
    <w:bookmarkStart w:id="107"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4"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04"/>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5"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05"/>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06"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06"/>
        </w:tc>
      </w:tr>
    </w:tbl>
    <w:bookmarkEnd w:id="107"/>
    <w:bookmarkEnd w:id="108"/>
    <w:bookmarkStart w:id="123"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tbl>
      <w:tblPr>
        <w:tblStyle w:val="Table"/>
        <w:tblW w:type="pct" w:w="5000"/>
        <w:tblLayout w:type="fixed"/>
        <w:tblLook w:firstRow="0" w:lastRow="0" w:firstColumn="0" w:lastColumn="0" w:noHBand="0" w:noVBand="0" w:val="0000"/>
      </w:tblPr>
      <w:tblGrid>
        <w:gridCol w:w="7920"/>
      </w:tblGrid>
      <w:tr>
        <w:tc>
          <w:tcPr/>
          <w:bookmarkStart w:id="109" w:name="tbl-ordbeta"/>
          <w:p>
            <w:pPr>
              <w:jc w:val="center"/>
            </w:pPr>
            <w:pPr>
              <w:jc w:val="start"/>
              <w:spacing w:before="200"/>
              <w:pStyle w:val="ImageCaption"/>
            </w:pPr>
            <w:r>
              <w:t xml:space="preserve">Table 10: 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jc w:val="center"/>
                  </w:pPr>
                  <w:r>
                    <w:t xml:space="preserve">Term</w:t>
                  </w:r>
                </w:p>
              </w:tc>
              <w:tc>
                <w:tcPr/>
                <w:p>
                  <w:pPr>
                    <w:pStyle w:val="Compact"/>
                    <w:jc w:val="center"/>
                  </w:pPr>
                  <w:r>
                    <w:t xml:space="preserve">Contrast</w:t>
                  </w:r>
                </w:p>
              </w:tc>
              <w:tc>
                <w:tcPr/>
                <w:p>
                  <w:pPr>
                    <w:pStyle w:val="Compact"/>
                    <w:jc w:val="center"/>
                  </w:pPr>
                  <w:r>
                    <w:t xml:space="preserve">Mean</w:t>
                  </w:r>
                </w:p>
              </w:tc>
              <w:tc>
                <w:tcPr/>
                <w:p>
                  <w:pPr>
                    <w:pStyle w:val="Compact"/>
                    <w:jc w:val="center"/>
                  </w:pPr>
                  <w:r>
                    <w:t xml:space="preserve">95% CI</w:t>
                  </w:r>
                </w:p>
              </w:tc>
            </w:tr>
            <w:tr>
              <w:tc>
                <w:tcPr/>
                <w:p>
                  <w:pPr>
                    <w:pStyle w:val="Compact"/>
                    <w:jc w:val="center"/>
                  </w:pPr>
                  <w:r>
                    <w:t xml:space="preserve">Fluency</w:t>
                  </w:r>
                </w:p>
              </w:tc>
              <w:tc>
                <w:tcPr/>
                <w:p>
                  <w:pPr>
                    <w:pStyle w:val="Compact"/>
                    <w:jc w:val="center"/>
                  </w:pPr>
                  <w:r>
                    <w:t xml:space="preserve">Fluent - Disfluent</w:t>
                  </w:r>
                </w:p>
              </w:tc>
              <w:tc>
                <w:tcPr/>
                <w:p>
                  <w:pPr>
                    <w:pStyle w:val="Compact"/>
                    <w:jc w:val="center"/>
                  </w:pPr>
                  <w:r>
                    <w:t xml:space="preserve">0.061</w:t>
                  </w:r>
                </w:p>
              </w:tc>
              <w:tc>
                <w:tcPr/>
                <w:p>
                  <w:pPr>
                    <w:pStyle w:val="Compact"/>
                    <w:jc w:val="center"/>
                  </w:pPr>
                  <w:r>
                    <w:t xml:space="preserve">[-0.016, 0.135]</w:t>
                  </w:r>
                </w:p>
              </w:tc>
            </w:tr>
          </w:tbl>
          <w:bookmarkEnd w:id="109"/>
          <w:p/>
        </w:tc>
      </w:tr>
    </w:tbl>
    <w:p>
      <w:pPr>
        <w:pStyle w:val="BodyText"/>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11"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tbl>
      <w:tblPr>
        <w:tblStyle w:val="Table"/>
        <w:tblW w:type="pct" w:w="5000"/>
        <w:tblLayout w:type="fixed"/>
        <w:tblLook w:firstRow="0" w:lastRow="0" w:firstColumn="0" w:lastColumn="0" w:noHBand="0" w:noVBand="0" w:val="0000"/>
      </w:tblPr>
      <w:tblGrid>
        <w:gridCol w:w="7920"/>
      </w:tblGrid>
      <w:tr>
        <w:tc>
          <w:tcPr/>
          <w:bookmarkStart w:id="110" w:name="tbl-cutpoints"/>
          <w:p>
            <w:pPr>
              <w:jc w:val="center"/>
            </w:pPr>
            <w:pPr>
              <w:jc w:val="start"/>
              <w:spacing w:before="200"/>
              <w:pStyle w:val="ImageCaption"/>
            </w:pPr>
            <w:r>
              <w:t xml:space="preserve">Table 11: 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jc w:val="center"/>
                  </w:pPr>
                  <w:r>
                    <w:t xml:space="preserve">Parameter</w:t>
                  </w:r>
                </w:p>
              </w:tc>
              <w:tc>
                <w:tcPr/>
                <w:p>
                  <w:pPr>
                    <w:pStyle w:val="Compact"/>
                    <w:jc w:val="center"/>
                  </w:pPr>
                  <w:r>
                    <w:t xml:space="preserve">Mean</w:t>
                  </w:r>
                </w:p>
              </w:tc>
              <w:tc>
                <w:tcPr/>
                <w:p>
                  <w:pPr>
                    <w:pStyle w:val="Compact"/>
                    <w:jc w:val="center"/>
                  </w:pPr>
                  <w:r>
                    <w:t xml:space="preserve">95% CI</w:t>
                  </w:r>
                </w:p>
              </w:tc>
            </w:tr>
            <w:tr>
              <w:tc>
                <w:tcPr/>
                <w:p>
                  <w:pPr>
                    <w:pStyle w:val="Compact"/>
                    <w:jc w:val="center"/>
                  </w:pPr>
                  <w:r>
                    <w:t xml:space="preserve">cutzero</w:t>
                  </w:r>
                </w:p>
              </w:tc>
              <w:tc>
                <w:tcPr/>
                <w:p>
                  <w:pPr>
                    <w:pStyle w:val="Compact"/>
                    <w:jc w:val="center"/>
                  </w:pPr>
                  <w:r>
                    <w:t xml:space="preserve">-2.96</w:t>
                  </w:r>
                </w:p>
              </w:tc>
              <w:tc>
                <w:tcPr/>
                <w:p>
                  <w:pPr>
                    <w:pStyle w:val="Compact"/>
                    <w:jc w:val="center"/>
                  </w:pPr>
                  <w:r>
                    <w:t xml:space="preserve">[-3.57, -2.41]</w:t>
                  </w:r>
                </w:p>
              </w:tc>
            </w:tr>
            <w:tr>
              <w:tc>
                <w:tcPr/>
                <w:p>
                  <w:pPr>
                    <w:pStyle w:val="Compact"/>
                    <w:jc w:val="center"/>
                  </w:pPr>
                  <w:r>
                    <w:t xml:space="preserve">cutone</w:t>
                  </w:r>
                </w:p>
              </w:tc>
              <w:tc>
                <w:tcPr/>
                <w:p>
                  <w:pPr>
                    <w:pStyle w:val="Compact"/>
                    <w:jc w:val="center"/>
                  </w:pPr>
                  <w:r>
                    <w:t xml:space="preserve">1.85</w:t>
                  </w:r>
                </w:p>
              </w:tc>
              <w:tc>
                <w:tcPr/>
                <w:p>
                  <w:pPr>
                    <w:pStyle w:val="Compact"/>
                    <w:jc w:val="center"/>
                  </w:pPr>
                  <w:r>
                    <w:t xml:space="preserve">[1.64, 2.08]</w:t>
                  </w:r>
                </w:p>
              </w:tc>
            </w:tr>
          </w:tbl>
          <w:bookmarkEnd w:id="110"/>
          <w:p/>
        </w:tc>
      </w:tr>
    </w:tbl>
    <w:p>
      <w:pPr>
        <w:pStyle w:val="BodyText"/>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11"/>
    <w:bookmarkStart w:id="121"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5" w:name="fig-ppcheckord"/>
          <w:p>
            <w:pPr>
              <w:pStyle w:val="Compact"/>
              <w:jc w:val="center"/>
            </w:pPr>
            <w:r>
              <w:drawing>
                <wp:inline>
                  <wp:extent cx="5334000" cy="3295226"/>
                  <wp:effectExtent b="0" l="0" r="0" t="0"/>
                  <wp:docPr descr="" title="" id="113" name="Picture"/>
                  <a:graphic>
                    <a:graphicData uri="http://schemas.openxmlformats.org/drawingml/2006/picture">
                      <pic:pic>
                        <pic:nvPicPr>
                          <pic:cNvPr descr="ms_files/figure-docx/fig-ppcheckord-1.png" id="114" name="Picture"/>
                          <pic:cNvPicPr>
                            <a:picLocks noChangeArrowheads="1" noChangeAspect="1"/>
                          </pic:cNvPicPr>
                        </pic:nvPicPr>
                        <pic:blipFill>
                          <a:blip r:embed="rId112"/>
                          <a:stretch>
                            <a:fillRect/>
                          </a:stretch>
                        </pic:blipFill>
                        <pic:spPr bwMode="auto">
                          <a:xfrm>
                            <a:off x="0" y="0"/>
                            <a:ext cx="5334000" cy="32952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Posterior predictive check for ordered beta regression model. A. Discrete posterior check. B. Continuous posterior check.</w:t>
            </w:r>
          </w:p>
          <w:bookmarkEnd w:id="115"/>
        </w:tc>
      </w:tr>
    </w:tbl>
    <w:p>
      <w:pPr>
        <w:pStyle w:val="BodyText"/>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bookmarkStart w:id="120" w:name="model-visualization"/>
    <w:p>
      <w:pPr>
        <w:pStyle w:val="Heading4"/>
      </w:pPr>
      <w:r>
        <w:t xml:space="preserve">Model Visualization</w:t>
      </w:r>
    </w:p>
    <w:p>
      <w:pPr>
        <w:pStyle w:val="FirstParagraph"/>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tbl>
      <w:tblPr>
        <w:tblStyle w:val="Table"/>
        <w:tblW w:type="pct" w:w="5000"/>
        <w:tblLayout w:type="fixed"/>
        <w:tblLook w:firstRow="0" w:lastRow="0" w:firstColumn="0" w:lastColumn="0" w:noHBand="0" w:noVBand="0" w:val="0000"/>
      </w:tblPr>
      <w:tblGrid>
        <w:gridCol w:w="7920"/>
      </w:tblGrid>
      <w:tr>
        <w:tc>
          <w:tcPr/>
          <w:bookmarkStart w:id="119" w:name="fig-heiss"/>
          <w:p>
            <w:pPr>
              <w:pStyle w:val="Compact"/>
              <w:jc w:val="center"/>
            </w:pPr>
            <w:r>
              <w:drawing>
                <wp:inline>
                  <wp:extent cx="5334000" cy="3295226"/>
                  <wp:effectExtent b="0" l="0" r="0" t="0"/>
                  <wp:docPr descr="" title="" id="117" name="Picture"/>
                  <a:graphic>
                    <a:graphicData uri="http://schemas.openxmlformats.org/drawingml/2006/picture">
                      <pic:pic>
                        <pic:nvPicPr>
                          <pic:cNvPr descr="ms_files/figure-docx/fig-heiss-1.png" id="118" name="Picture"/>
                          <pic:cNvPicPr>
                            <a:picLocks noChangeArrowheads="1" noChangeAspect="1"/>
                          </pic:cNvPicPr>
                        </pic:nvPicPr>
                        <pic:blipFill>
                          <a:blip r:embed="rId116"/>
                          <a:stretch>
                            <a:fillRect/>
                          </a:stretch>
                        </pic:blipFill>
                        <pic:spPr bwMode="auto">
                          <a:xfrm>
                            <a:off x="0" y="0"/>
                            <a:ext cx="5334000" cy="32952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Heiss Plot of Predicted Probablities across the scale (0-100)</w:t>
            </w:r>
          </w:p>
          <w:bookmarkEnd w:id="119"/>
        </w:tc>
      </w:tr>
    </w:tbl>
    <w:bookmarkEnd w:id="120"/>
    <w:bookmarkEnd w:id="121"/>
    <w:bookmarkStart w:id="122"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22"/>
    <w:bookmarkEnd w:id="123"/>
    <w:bookmarkEnd w:id="124"/>
    <w:bookmarkStart w:id="126"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and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25"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25"/>
    <w:bookmarkEnd w:id="126"/>
    <w:bookmarkStart w:id="219" w:name="references"/>
    <w:p>
      <w:pPr>
        <w:pStyle w:val="Heading1"/>
      </w:pPr>
      <w:r>
        <w:t xml:space="preserve">References</w:t>
      </w:r>
    </w:p>
    <w:bookmarkStart w:id="218" w:name="refs"/>
    <w:bookmarkStart w:id="128" w:name="ref-marginaleffects"/>
    <w:p>
      <w:pPr>
        <w:pStyle w:val="Bibliography"/>
      </w:pPr>
      <w:r>
        <w:t xml:space="preserve">Arel-Bundock, Vincent. 2024.</w:t>
      </w:r>
      <w:r>
        <w:t xml:space="preserve"> </w:t>
      </w:r>
      <w:r>
        <w:t xml:space="preserve">“Marginaleffects: Predictions, Comparisons, Slopes, Marginal Means, and Hypothesis Tests.”</w:t>
      </w:r>
      <w:r>
        <w:t xml:space="preserve"> </w:t>
      </w:r>
      <w:hyperlink r:id="rId127">
        <w:r>
          <w:rPr>
            <w:rStyle w:val="Hyperlink"/>
          </w:rPr>
          <w:t xml:space="preserve">https://CRAN.R-project.org/package=marginaleffects</w:t>
        </w:r>
      </w:hyperlink>
      <w:r>
        <w:t xml:space="preserve">.</w:t>
      </w:r>
    </w:p>
    <w:bookmarkEnd w:id="128"/>
    <w:bookmarkStart w:id="130" w:name="ref-margeffects2024"/>
    <w:p>
      <w:pPr>
        <w:pStyle w:val="Bibliography"/>
      </w:pPr>
      <w:r>
        <w:t xml:space="preserve">Arel-Bundock, Vincent, Noah Greifer, and Andrew Heiss. 2024.</w:t>
      </w:r>
      <w:r>
        <w:t xml:space="preserve"> </w:t>
      </w:r>
      <w:r>
        <w:t xml:space="preserve">“How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 </w:t>
      </w:r>
      <w:r>
        <w:t xml:space="preserve">111 (9): 1–32.</w:t>
      </w:r>
      <w:r>
        <w:t xml:space="preserve"> </w:t>
      </w:r>
      <w:hyperlink r:id="rId129">
        <w:r>
          <w:rPr>
            <w:rStyle w:val="Hyperlink"/>
          </w:rPr>
          <w:t xml:space="preserve">https://doi.org/10.18637/jss.v111.i09</w:t>
        </w:r>
      </w:hyperlink>
      <w:r>
        <w:t xml:space="preserve">.</w:t>
      </w:r>
    </w:p>
    <w:bookmarkEnd w:id="130"/>
    <w:bookmarkStart w:id="132" w:name="ref-bartlett1936"/>
    <w:p>
      <w:pPr>
        <w:pStyle w:val="Bibliography"/>
      </w:pPr>
      <w:r>
        <w:t xml:space="preserve">Bartlett, M. S. 1936.</w:t>
      </w:r>
      <w:r>
        <w:t xml:space="preserve"> </w:t>
      </w:r>
      <w:r>
        <w:t xml:space="preserve">“The Square Root Transformation in Analysis of Variance.”</w:t>
      </w:r>
      <w:r>
        <w:t xml:space="preserve"> </w:t>
      </w:r>
      <w:r>
        <w:rPr>
          <w:i/>
          <w:iCs/>
        </w:rPr>
        <w:t xml:space="preserve">Journal of the Royal Statistical Society Series B: Statistical Methodology</w:t>
      </w:r>
      <w:r>
        <w:t xml:space="preserve"> </w:t>
      </w:r>
      <w:r>
        <w:t xml:space="preserve">3 (1): 68–78.</w:t>
      </w:r>
      <w:r>
        <w:t xml:space="preserve"> </w:t>
      </w:r>
      <w:hyperlink r:id="rId131">
        <w:r>
          <w:rPr>
            <w:rStyle w:val="Hyperlink"/>
          </w:rPr>
          <w:t xml:space="preserve">https://doi.org/10.2307/2983678</w:t>
        </w:r>
      </w:hyperlink>
      <w:r>
        <w:t xml:space="preserve">.</w:t>
      </w:r>
    </w:p>
    <w:bookmarkEnd w:id="132"/>
    <w:bookmarkStart w:id="134" w:name="ref-bendixen2023"/>
    <w:p>
      <w:pPr>
        <w:pStyle w:val="Bibliography"/>
      </w:pPr>
      <w:r>
        <w:t xml:space="preserve">Bendixen, Theiss, and Benjamin Grant Purzycki. 2023.</w:t>
      </w:r>
      <w:r>
        <w:t xml:space="preserve"> </w:t>
      </w:r>
      <w:r>
        <w:t xml:space="preserve">“Cognitive and Cultural Models in Psychological Science: A Tutorial on Modeling Free-List Data as a Dependent Variable in Bayesian Regression.”</w:t>
      </w:r>
      <w:r>
        <w:t xml:space="preserve"> </w:t>
      </w:r>
      <w:r>
        <w:rPr>
          <w:i/>
          <w:iCs/>
        </w:rPr>
        <w:t xml:space="preserve">Psychological Methods</w:t>
      </w:r>
      <w:r>
        <w:t xml:space="preserve">, March.</w:t>
      </w:r>
      <w:r>
        <w:t xml:space="preserve"> </w:t>
      </w:r>
      <w:hyperlink r:id="rId133">
        <w:r>
          <w:rPr>
            <w:rStyle w:val="Hyperlink"/>
          </w:rPr>
          <w:t xml:space="preserve">https://doi.org/10.1037/met0000553</w:t>
        </w:r>
      </w:hyperlink>
      <w:r>
        <w:t xml:space="preserve">.</w:t>
      </w:r>
    </w:p>
    <w:bookmarkEnd w:id="134"/>
    <w:bookmarkStart w:id="136" w:name="ref-glmmTMB"/>
    <w:p>
      <w:pPr>
        <w:pStyle w:val="Bibliography"/>
      </w:pPr>
      <w:r>
        <w:t xml:space="preserve">Brooks, Mollie E., Kasper Kristensen, Koen J. van, Arni Magnusson, Casper W. Berg, Anders Nielsen, Hans J. Skaug, Martin Maechler, and Benjamin M. Bolker. 2017.</w:t>
      </w:r>
      <w:r>
        <w:t xml:space="preserve"> </w:t>
      </w:r>
      <w:r>
        <w:t xml:space="preserve">“</w:t>
      </w:r>
      <w:r>
        <w:t xml:space="preserve">glmmTMB</w:t>
      </w:r>
      <w:r>
        <w:t xml:space="preserve"> </w:t>
      </w:r>
      <w:r>
        <w:t xml:space="preserve">Balances Speed and Flexibility Among Packages for Zero-Inflated Generalized Linear Mixed Modeling”</w:t>
      </w:r>
      <w:r>
        <w:t xml:space="preserve"> </w:t>
      </w:r>
      <w:r>
        <w:t xml:space="preserve">9.</w:t>
      </w:r>
      <w:r>
        <w:t xml:space="preserve"> </w:t>
      </w:r>
      <w:hyperlink r:id="rId135">
        <w:r>
          <w:rPr>
            <w:rStyle w:val="Hyperlink"/>
          </w:rPr>
          <w:t xml:space="preserve">https://doi.org/10.32614/RJ-2017-066</w:t>
        </w:r>
      </w:hyperlink>
      <w:r>
        <w:t xml:space="preserve">.</w:t>
      </w:r>
    </w:p>
    <w:bookmarkEnd w:id="136"/>
    <w:bookmarkStart w:id="138" w:name="ref-brms"/>
    <w:p>
      <w:pPr>
        <w:pStyle w:val="Bibliography"/>
      </w:pPr>
      <w:r>
        <w:t xml:space="preserve">Bürkner, Paul-Christian. 2017.</w:t>
      </w:r>
      <w:r>
        <w:t xml:space="preserve"> </w:t>
      </w:r>
      <w:r>
        <w:t xml:space="preserve">“</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t xml:space="preserve">80.</w:t>
      </w:r>
      <w:r>
        <w:t xml:space="preserve"> </w:t>
      </w:r>
      <w:hyperlink r:id="rId137">
        <w:r>
          <w:rPr>
            <w:rStyle w:val="Hyperlink"/>
          </w:rPr>
          <w:t xml:space="preserve">https://doi.org/10.18637/jss.v080.i01</w:t>
        </w:r>
      </w:hyperlink>
      <w:r>
        <w:t xml:space="preserve">.</w:t>
      </w:r>
    </w:p>
    <w:bookmarkEnd w:id="138"/>
    <w:bookmarkStart w:id="140" w:name="ref-posterior2025a"/>
    <w:p>
      <w:pPr>
        <w:pStyle w:val="Bibliography"/>
      </w:pPr>
      <w:r>
        <w:t xml:space="preserve">Bürkner, Paul-Christian, Jonah Gabry, Matthew Kay, and Aki Vehtari. 2025.</w:t>
      </w:r>
      <w:r>
        <w:t xml:space="preserve"> </w:t>
      </w:r>
      <w:r>
        <w:t xml:space="preserve">“</w:t>
      </w:r>
      <w:r>
        <w:t xml:space="preserve">posterior</w:t>
      </w:r>
      <w:r>
        <w:t xml:space="preserve">: Tools for Working with Posterior Distributions.”</w:t>
      </w:r>
      <w:r>
        <w:t xml:space="preserve"> </w:t>
      </w:r>
      <w:hyperlink r:id="rId139">
        <w:r>
          <w:rPr>
            <w:rStyle w:val="Hyperlink"/>
          </w:rPr>
          <w:t xml:space="preserve">https://mc-stan.org/posterior/</w:t>
        </w:r>
      </w:hyperlink>
      <w:r>
        <w:t xml:space="preserve">.</w:t>
      </w:r>
    </w:p>
    <w:bookmarkEnd w:id="140"/>
    <w:bookmarkStart w:id="142" w:name="ref-bürkner2019"/>
    <w:p>
      <w:pPr>
        <w:pStyle w:val="Bibliography"/>
      </w:pPr>
      <w:r>
        <w:t xml:space="preserve">Bürkner, Paul-Christian, and Matti Vuorre. 2019.</w:t>
      </w:r>
      <w:r>
        <w:t xml:space="preserve"> </w:t>
      </w:r>
      <w:r>
        <w:t xml:space="preserve">“Ordinal Regression Models in Psychology: A Tutorial.”</w:t>
      </w:r>
      <w:r>
        <w:t xml:space="preserve"> </w:t>
      </w:r>
      <w:r>
        <w:rPr>
          <w:i/>
          <w:iCs/>
        </w:rPr>
        <w:t xml:space="preserve">Advances in Methods and Practices in Psychological Science</w:t>
      </w:r>
      <w:r>
        <w:t xml:space="preserve"> </w:t>
      </w:r>
      <w:r>
        <w:t xml:space="preserve">2 (1): 77–101.</w:t>
      </w:r>
      <w:r>
        <w:t xml:space="preserve"> </w:t>
      </w:r>
      <w:hyperlink r:id="rId141">
        <w:r>
          <w:rPr>
            <w:rStyle w:val="Hyperlink"/>
          </w:rPr>
          <w:t xml:space="preserve">https://doi.org/10.1177/2515245918823199</w:t>
        </w:r>
      </w:hyperlink>
      <w:r>
        <w:t xml:space="preserve">.</w:t>
      </w:r>
    </w:p>
    <w:bookmarkEnd w:id="142"/>
    <w:bookmarkStart w:id="144" w:name="ref-carpenter2013"/>
    <w:p>
      <w:pPr>
        <w:pStyle w:val="Bibliography"/>
      </w:pPr>
      <w:r>
        <w:t xml:space="preserve">Carpenter, Shana K., Miko M. Wilford, Nate Kornell, and Kellie M. Mullaney. 2013.</w:t>
      </w:r>
      <w:r>
        <w:t xml:space="preserve"> </w:t>
      </w:r>
      <w:r>
        <w:t xml:space="preserve">“Appearances Can Be Deceiving: Instructor Fluency Increases Perceptions of Learning Without Increasing Actual Learning.”</w:t>
      </w:r>
      <w:r>
        <w:t xml:space="preserve"> </w:t>
      </w:r>
      <w:r>
        <w:rPr>
          <w:i/>
          <w:iCs/>
        </w:rPr>
        <w:t xml:space="preserve">Psychonomic Bulletin &amp; Review</w:t>
      </w:r>
      <w:r>
        <w:t xml:space="preserve"> </w:t>
      </w:r>
      <w:r>
        <w:t xml:space="preserve">20 (6): 1350–56.</w:t>
      </w:r>
      <w:r>
        <w:t xml:space="preserve"> </w:t>
      </w:r>
      <w:hyperlink r:id="rId143">
        <w:r>
          <w:rPr>
            <w:rStyle w:val="Hyperlink"/>
          </w:rPr>
          <w:t xml:space="preserve">https://doi.org/10.3758/s13423-013-0442-z</w:t>
        </w:r>
      </w:hyperlink>
      <w:r>
        <w:t xml:space="preserve">.</w:t>
      </w:r>
    </w:p>
    <w:bookmarkEnd w:id="144"/>
    <w:bookmarkStart w:id="145" w:name="ref-cohen1977"/>
    <w:p>
      <w:pPr>
        <w:pStyle w:val="Bibliography"/>
      </w:pPr>
      <w:r>
        <w:t xml:space="preserve">Cohen, Jacob. 1977.</w:t>
      </w:r>
      <w:r>
        <w:t xml:space="preserve"> </w:t>
      </w:r>
      <w:r>
        <w:rPr>
          <w:i/>
          <w:iCs/>
        </w:rPr>
        <w:t xml:space="preserve">Statistical Power Analysis for the Behavioral Sciences, Rev. Ed.</w:t>
      </w:r>
      <w:r>
        <w:t xml:space="preserve"> Hillsdale, NJ, US: Lawrence Erlbaum Associates, Inc.</w:t>
      </w:r>
    </w:p>
    <w:bookmarkEnd w:id="145"/>
    <w:bookmarkStart w:id="147" w:name="ref-coretta2025bayesian"/>
    <w:p>
      <w:pPr>
        <w:pStyle w:val="Bibliography"/>
      </w:pPr>
      <w:r>
        <w:t xml:space="preserve">Coretta, Stefano, and Paul-Christian Bürkner. 2025.</w:t>
      </w:r>
      <w:r>
        <w:t xml:space="preserve"> </w:t>
      </w:r>
      <w:r>
        <w:t xml:space="preserve">“Bayesian Beta Regressions with Brms in r: A Tutorial for Phoneticians.”</w:t>
      </w:r>
      <w:r>
        <w:t xml:space="preserve"> </w:t>
      </w:r>
      <w:hyperlink r:id="rId146">
        <w:r>
          <w:rPr>
            <w:rStyle w:val="Hyperlink"/>
          </w:rPr>
          <w:t xml:space="preserve">https://doi.org/10.31219/osf.io/f9rqg_v1</w:t>
        </w:r>
      </w:hyperlink>
      <w:r>
        <w:t xml:space="preserve">.</w:t>
      </w:r>
    </w:p>
    <w:bookmarkEnd w:id="147"/>
    <w:bookmarkStart w:id="149" w:name="ref-betareg"/>
    <w:p>
      <w:pPr>
        <w:pStyle w:val="Bibliography"/>
      </w:pPr>
      <w:r>
        <w:t xml:space="preserve">Cribari-Neto, Francisco, and Achim Zeileis. 2010.</w:t>
      </w:r>
      <w:r>
        <w:t xml:space="preserve"> </w:t>
      </w:r>
      <w:r>
        <w:t xml:space="preserve">“Beta Regression in</w:t>
      </w:r>
      <w:r>
        <w:t xml:space="preserve"> </w:t>
      </w:r>
      <w:r>
        <w:t xml:space="preserve">r</w:t>
      </w:r>
      <w:r>
        <w:t xml:space="preserve">”</w:t>
      </w:r>
      <w:r>
        <w:t xml:space="preserve"> </w:t>
      </w:r>
      <w:r>
        <w:t xml:space="preserve">34.</w:t>
      </w:r>
      <w:r>
        <w:t xml:space="preserve"> </w:t>
      </w:r>
      <w:hyperlink r:id="rId148">
        <w:r>
          <w:rPr>
            <w:rStyle w:val="Hyperlink"/>
          </w:rPr>
          <w:t xml:space="preserve">https://doi.org/10.18637/jss.v034.i02</w:t>
        </w:r>
      </w:hyperlink>
      <w:r>
        <w:t xml:space="preserve">.</w:t>
      </w:r>
    </w:p>
    <w:bookmarkEnd w:id="149"/>
    <w:bookmarkStart w:id="151" w:name="ref-nix"/>
    <w:p>
      <w:pPr>
        <w:pStyle w:val="Bibliography"/>
      </w:pPr>
      <w:r>
        <w:t xml:space="preserve">Dolstra, Eelco, and The Nix contributors. 2006.</w:t>
      </w:r>
      <w:r>
        <w:t xml:space="preserve"> </w:t>
      </w:r>
      <w:r>
        <w:t xml:space="preserve">“Nix.”</w:t>
      </w:r>
      <w:r>
        <w:t xml:space="preserve"> </w:t>
      </w:r>
      <w:hyperlink r:id="rId150">
        <w:r>
          <w:rPr>
            <w:rStyle w:val="Hyperlink"/>
          </w:rPr>
          <w:t xml:space="preserve">https://nixos.org/</w:t>
        </w:r>
      </w:hyperlink>
      <w:r>
        <w:t xml:space="preserve">.</w:t>
      </w:r>
    </w:p>
    <w:bookmarkEnd w:id="151"/>
    <w:bookmarkStart w:id="153" w:name="ref-ferrari2004"/>
    <w:p>
      <w:pPr>
        <w:pStyle w:val="Bibliography"/>
      </w:pPr>
      <w:r>
        <w:t xml:space="preserve">Ferrari, Silvia, and Francisco Cribari-Neto. 2004.</w:t>
      </w:r>
      <w:r>
        <w:t xml:space="preserve"> </w:t>
      </w:r>
      <w:r>
        <w:t xml:space="preserve">“Beta Regression for Modelling Rates and Proportions.”</w:t>
      </w:r>
      <w:r>
        <w:t xml:space="preserve"> </w:t>
      </w:r>
      <w:r>
        <w:rPr>
          <w:i/>
          <w:iCs/>
        </w:rPr>
        <w:t xml:space="preserve">Journal of Applied Statistics</w:t>
      </w:r>
      <w:r>
        <w:t xml:space="preserve"> </w:t>
      </w:r>
      <w:r>
        <w:t xml:space="preserve">31 (7): 799–815.</w:t>
      </w:r>
      <w:r>
        <w:t xml:space="preserve"> </w:t>
      </w:r>
      <w:hyperlink r:id="rId152">
        <w:r>
          <w:rPr>
            <w:rStyle w:val="Hyperlink"/>
          </w:rPr>
          <w:t xml:space="preserve">https://doi.org/10.1080/0266476042000214501</w:t>
        </w:r>
      </w:hyperlink>
      <w:r>
        <w:t xml:space="preserve">.</w:t>
      </w:r>
    </w:p>
    <w:bookmarkEnd w:id="153"/>
    <w:bookmarkStart w:id="155" w:name="ref-Fullerton2023"/>
    <w:p>
      <w:pPr>
        <w:pStyle w:val="Bibliography"/>
      </w:pPr>
      <w:r>
        <w:t xml:space="preserve">Fullerton, Andrew S., and Kathryn Freeman Anderson. 2021.</w:t>
      </w:r>
      <w:r>
        <w:t xml:space="preserve"> </w:t>
      </w:r>
      <w:r>
        <w:t xml:space="preserve">“Ordered Regression Models: A Tutorial.”</w:t>
      </w:r>
      <w:r>
        <w:t xml:space="preserve"> </w:t>
      </w:r>
      <w:r>
        <w:rPr>
          <w:i/>
          <w:iCs/>
        </w:rPr>
        <w:t xml:space="preserve">Prevention Science</w:t>
      </w:r>
      <w:r>
        <w:t xml:space="preserve"> </w:t>
      </w:r>
      <w:r>
        <w:t xml:space="preserve">24 (3): 431–43.</w:t>
      </w:r>
      <w:r>
        <w:t xml:space="preserve"> </w:t>
      </w:r>
      <w:hyperlink r:id="rId154">
        <w:r>
          <w:rPr>
            <w:rStyle w:val="Hyperlink"/>
          </w:rPr>
          <w:t xml:space="preserve">https://doi.org/10.1007/s11121-021-01302-y</w:t>
        </w:r>
      </w:hyperlink>
      <w:r>
        <w:t xml:space="preserve">.</w:t>
      </w:r>
    </w:p>
    <w:bookmarkEnd w:id="155"/>
    <w:bookmarkStart w:id="157" w:name="ref-cmdstanr"/>
    <w:p>
      <w:pPr>
        <w:pStyle w:val="Bibliography"/>
      </w:pPr>
      <w:r>
        <w:t xml:space="preserve">Gabry, Jonah, Rok Češnovar, Andrew Johnson, and Steve Bronder. 2024.</w:t>
      </w:r>
      <w:r>
        <w:t xml:space="preserve"> </w:t>
      </w:r>
      <w:r>
        <w:t xml:space="preserve">“Cmdstanr: R Interface to ’CmdStan’.”</w:t>
      </w:r>
      <w:r>
        <w:t xml:space="preserve"> </w:t>
      </w:r>
      <w:hyperlink r:id="rId156">
        <w:r>
          <w:rPr>
            <w:rStyle w:val="Hyperlink"/>
          </w:rPr>
          <w:t xml:space="preserve">https://mc-stan.org/cmdstanr/</w:t>
        </w:r>
      </w:hyperlink>
      <w:r>
        <w:t xml:space="preserve">.</w:t>
      </w:r>
    </w:p>
    <w:bookmarkEnd w:id="157"/>
    <w:bookmarkStart w:id="159" w:name="ref-gelman2013bayesian"/>
    <w:p>
      <w:pPr>
        <w:pStyle w:val="Bibliography"/>
      </w:pPr>
      <w:r>
        <w:t xml:space="preserve">Gelman, Andrew, John B. Carlin, Hal S. Stern, David B. Dunson, Akti Vehtari, and Donald B. Rubin. 2013.</w:t>
      </w:r>
      <w:r>
        <w:t xml:space="preserve"> </w:t>
      </w:r>
      <w:r>
        <w:rPr>
          <w:i/>
          <w:iCs/>
        </w:rPr>
        <w:t xml:space="preserve">Bayesian Data Analysis</w:t>
      </w:r>
      <w:r>
        <w:t xml:space="preserve">. Third. Chapman &amp; Hall/CRC Texts in Statistical Science Series. Boca Raton, Florida: CRC.</w:t>
      </w:r>
      <w:r>
        <w:t xml:space="preserve"> </w:t>
      </w:r>
      <w:hyperlink r:id="rId158">
        <w:r>
          <w:rPr>
            <w:rStyle w:val="Hyperlink"/>
          </w:rPr>
          <w:t xml:space="preserve">https://stat.columbia.edu/~gelman/book/</w:t>
        </w:r>
      </w:hyperlink>
      <w:r>
        <w:t xml:space="preserve">.</w:t>
      </w:r>
    </w:p>
    <w:bookmarkEnd w:id="159"/>
    <w:bookmarkStart w:id="161" w:name="ref-heiss2021"/>
    <w:p>
      <w:pPr>
        <w:pStyle w:val="Bibliography"/>
      </w:pPr>
      <w:r>
        <w:t xml:space="preserve">Heiss, Andrew. 2021.</w:t>
      </w:r>
      <w:r>
        <w:t xml:space="preserve"> </w:t>
      </w:r>
      <w:r>
        <w:t xml:space="preserve">“A Guide to Modeling Proportions with Bayesian Beta and Zero-Inflated Beta Regression Models.”</w:t>
      </w:r>
      <w:r>
        <w:t xml:space="preserve"> </w:t>
      </w:r>
      <w:hyperlink r:id="rId160">
        <w:r>
          <w:rPr>
            <w:rStyle w:val="Hyperlink"/>
          </w:rPr>
          <w:t xml:space="preserve">http://dx.doi.org/10.59350/7p1a4-0tw75</w:t>
        </w:r>
      </w:hyperlink>
      <w:r>
        <w:t xml:space="preserve">.</w:t>
      </w:r>
    </w:p>
    <w:bookmarkEnd w:id="161"/>
    <w:bookmarkStart w:id="162" w:name="ref-bayes_rules"/>
    <w:p>
      <w:pPr>
        <w:pStyle w:val="Bibliography"/>
      </w:pPr>
      <w:r>
        <w:t xml:space="preserve">Johnson, Alicia, Miles Ott, and Mine Dogucu. 2022.</w:t>
      </w:r>
      <w:r>
        <w:t xml:space="preserve"> </w:t>
      </w:r>
      <w:r>
        <w:rPr>
          <w:i/>
          <w:iCs/>
        </w:rPr>
        <w:t xml:space="preserve">Bayes Rules!: An Introduction to Applied Bayesian Modeling</w:t>
      </w:r>
      <w:r>
        <w:t xml:space="preserve">. Routledge &amp; CRC Press.</w:t>
      </w:r>
    </w:p>
    <w:bookmarkEnd w:id="162"/>
    <w:bookmarkStart w:id="164" w:name="ref-kong2016"/>
    <w:p>
      <w:pPr>
        <w:pStyle w:val="Bibliography"/>
      </w:pPr>
      <w:r>
        <w:t xml:space="preserve">Kong, Eun Jong, and Jan Edwards. 2016.</w:t>
      </w:r>
      <w:r>
        <w:t xml:space="preserve"> </w:t>
      </w:r>
      <w:r>
        <w:t xml:space="preserve">“Individual Differences in Categorical Perception of Speech: Cue Weighting and Executive Function.”</w:t>
      </w:r>
      <w:r>
        <w:t xml:space="preserve"> </w:t>
      </w:r>
      <w:r>
        <w:rPr>
          <w:i/>
          <w:iCs/>
        </w:rPr>
        <w:t xml:space="preserve">Journal of Phonetics</w:t>
      </w:r>
      <w:r>
        <w:t xml:space="preserve"> </w:t>
      </w:r>
      <w:r>
        <w:t xml:space="preserve">59 (November): 40–57.</w:t>
      </w:r>
      <w:r>
        <w:t xml:space="preserve"> </w:t>
      </w:r>
      <w:hyperlink r:id="rId163">
        <w:r>
          <w:rPr>
            <w:rStyle w:val="Hyperlink"/>
          </w:rPr>
          <w:t xml:space="preserve">https://doi.org/10.1016/j.wocn.2016.08.006</w:t>
        </w:r>
      </w:hyperlink>
      <w:r>
        <w:t xml:space="preserve">.</w:t>
      </w:r>
    </w:p>
    <w:bookmarkEnd w:id="164"/>
    <w:bookmarkStart w:id="165" w:name="ref-kruschke2015doing"/>
    <w:p>
      <w:pPr>
        <w:pStyle w:val="Bibliography"/>
      </w:pPr>
      <w:r>
        <w:t xml:space="preserve">Kruschke, John K. 2015.</w:t>
      </w:r>
      <w:r>
        <w:t xml:space="preserve"> </w:t>
      </w:r>
      <w:r>
        <w:rPr>
          <w:i/>
          <w:iCs/>
        </w:rPr>
        <w:t xml:space="preserve">Doing Bayesian Data Analysis: A Tutorial with r, JAGS, and Stan</w:t>
      </w:r>
      <w:r>
        <w:t xml:space="preserve">. 2nd ed. Boston: Academic Press.</w:t>
      </w:r>
    </w:p>
    <w:bookmarkEnd w:id="165"/>
    <w:bookmarkStart w:id="167" w:name="ref-kubinec2022"/>
    <w:p>
      <w:pPr>
        <w:pStyle w:val="Bibliography"/>
      </w:pPr>
      <w:r>
        <w:t xml:space="preserve">Kubinec, Robert. 2022.</w:t>
      </w:r>
      <w:r>
        <w:t xml:space="preserve"> </w:t>
      </w:r>
      <w:r>
        <w:t xml:space="preserve">“Ordered Beta Regression: A Parsimonious, Well-Fitting Model for Continuous Data with Lower and Upper Bounds.”</w:t>
      </w:r>
      <w:r>
        <w:t xml:space="preserve"> </w:t>
      </w:r>
      <w:r>
        <w:rPr>
          <w:i/>
          <w:iCs/>
        </w:rPr>
        <w:t xml:space="preserve">Political Analysis</w:t>
      </w:r>
      <w:r>
        <w:t xml:space="preserve"> </w:t>
      </w:r>
      <w:r>
        <w:t xml:space="preserve">31 (4): 519–36.</w:t>
      </w:r>
      <w:r>
        <w:t xml:space="preserve"> </w:t>
      </w:r>
      <w:hyperlink r:id="rId166">
        <w:r>
          <w:rPr>
            <w:rStyle w:val="Hyperlink"/>
          </w:rPr>
          <w:t xml:space="preserve">https://doi.org/10.1017/pan.2022.20</w:t>
        </w:r>
      </w:hyperlink>
      <w:r>
        <w:t xml:space="preserve">.</w:t>
      </w:r>
    </w:p>
    <w:bookmarkEnd w:id="167"/>
    <w:bookmarkStart w:id="169" w:name="ref-ordbetareg"/>
    <w:p>
      <w:pPr>
        <w:pStyle w:val="Bibliography"/>
      </w:pPr>
      <w:r>
        <w:t xml:space="preserve">———. 2023.</w:t>
      </w:r>
      <w:r>
        <w:t xml:space="preserve"> </w:t>
      </w:r>
      <w:r>
        <w:t xml:space="preserve">“Ordbetareg: Ordered Beta Regression Models with ’Brms’.”</w:t>
      </w:r>
      <w:r>
        <w:t xml:space="preserve"> </w:t>
      </w:r>
      <w:hyperlink r:id="rId168">
        <w:r>
          <w:rPr>
            <w:rStyle w:val="Hyperlink"/>
          </w:rPr>
          <w:t xml:space="preserve">https://CRAN.R-project.org/package=ordbetareg</w:t>
        </w:r>
      </w:hyperlink>
      <w:r>
        <w:t xml:space="preserve">.</w:t>
      </w:r>
    </w:p>
    <w:bookmarkEnd w:id="169"/>
    <w:bookmarkStart w:id="171" w:name="ref-emmeans"/>
    <w:p>
      <w:pPr>
        <w:pStyle w:val="Bibliography"/>
      </w:pPr>
      <w:r>
        <w:t xml:space="preserve">Lenth, Russell V. 2025.</w:t>
      </w:r>
      <w:r>
        <w:t xml:space="preserve"> </w:t>
      </w:r>
      <w:r>
        <w:rPr>
          <w:i/>
          <w:iCs/>
        </w:rPr>
        <w:t xml:space="preserve">Emmeans: Estimated Marginal Means, Aka Least-Squares Means</w:t>
      </w:r>
      <w:r>
        <w:t xml:space="preserve">.</w:t>
      </w:r>
      <w:r>
        <w:t xml:space="preserve"> </w:t>
      </w:r>
      <w:hyperlink r:id="rId170">
        <w:r>
          <w:rPr>
            <w:rStyle w:val="Hyperlink"/>
          </w:rPr>
          <w:t xml:space="preserve">https://doi.org/10.32614/CRAN.package.emmeans</w:t>
        </w:r>
      </w:hyperlink>
      <w:r>
        <w:t xml:space="preserve">.</w:t>
      </w:r>
    </w:p>
    <w:bookmarkEnd w:id="171"/>
    <w:bookmarkStart w:id="173" w:name="ref-liu2015"/>
    <w:p>
      <w:pPr>
        <w:pStyle w:val="Bibliography"/>
      </w:pPr>
      <w:r>
        <w:t xml:space="preserve">Liu, Fang, and Yunchuan Kong. 2015.</w:t>
      </w:r>
      <w:r>
        <w:t xml:space="preserve"> </w:t>
      </w:r>
      <w:r>
        <w:t xml:space="preserve">“Zoib: An R Package for Bayesian Inference for Beta Regression and Zero/One Inflated Beta Regression.”</w:t>
      </w:r>
      <w:r>
        <w:t xml:space="preserve"> </w:t>
      </w:r>
      <w:r>
        <w:rPr>
          <w:i/>
          <w:iCs/>
        </w:rPr>
        <w:t xml:space="preserve">The R Journal</w:t>
      </w:r>
      <w:r>
        <w:t xml:space="preserve"> </w:t>
      </w:r>
      <w:r>
        <w:t xml:space="preserve">7 (2): 34.</w:t>
      </w:r>
      <w:r>
        <w:t xml:space="preserve"> </w:t>
      </w:r>
      <w:hyperlink r:id="rId172">
        <w:r>
          <w:rPr>
            <w:rStyle w:val="Hyperlink"/>
          </w:rPr>
          <w:t xml:space="preserve">https://doi.org/10.32614/rj-2015-019</w:t>
        </w:r>
      </w:hyperlink>
      <w:r>
        <w:t xml:space="preserve">.</w:t>
      </w:r>
    </w:p>
    <w:bookmarkEnd w:id="173"/>
    <w:bookmarkStart w:id="175" w:name="ref-easystats"/>
    <w:p>
      <w:pPr>
        <w:pStyle w:val="Bibliography"/>
      </w:pPr>
      <w:r>
        <w:t xml:space="preserve">Lüdecke, Daniel, Mattan S. Ben-Shachar, Indrajeet Patil, Brenton M. Wiernik, Etienne Bacher, Rémi Thériault, and Dominique Makowski. 2022.</w:t>
      </w:r>
      <w:r>
        <w:t xml:space="preserve"> </w:t>
      </w:r>
      <w:r>
        <w:t xml:space="preserve">“Easystats: Framework for Easy Statistical Modeling, Visualization, and Reporting.”</w:t>
      </w:r>
      <w:r>
        <w:t xml:space="preserve"> </w:t>
      </w:r>
      <w:hyperlink r:id="rId174">
        <w:r>
          <w:rPr>
            <w:rStyle w:val="Hyperlink"/>
          </w:rPr>
          <w:t xml:space="preserve">https://easystats.github.io/easystats/</w:t>
        </w:r>
      </w:hyperlink>
      <w:r>
        <w:t xml:space="preserve">.</w:t>
      </w:r>
    </w:p>
    <w:bookmarkEnd w:id="175"/>
    <w:bookmarkStart w:id="177" w:name="ref-makowski2019a"/>
    <w:p>
      <w:pPr>
        <w:pStyle w:val="Bibliography"/>
      </w:pPr>
      <w:r>
        <w:t xml:space="preserve">Makowski, Dominique, Mattan S. Ben-Shachar, S. H. Annabel Chen, and Daniel Lüdecke. 2019.</w:t>
      </w:r>
      <w:r>
        <w:t xml:space="preserve"> </w:t>
      </w:r>
      <w:r>
        <w:t xml:space="preserve">“Indices of Effect Existence and Significance in the Bayesian Framework.”</w:t>
      </w:r>
      <w:r>
        <w:t xml:space="preserve"> </w:t>
      </w:r>
      <w:r>
        <w:rPr>
          <w:i/>
          <w:iCs/>
        </w:rPr>
        <w:t xml:space="preserve">Frontiers in Psychology</w:t>
      </w:r>
      <w:r>
        <w:t xml:space="preserve"> </w:t>
      </w:r>
      <w:r>
        <w:t xml:space="preserve">10 (December).</w:t>
      </w:r>
      <w:r>
        <w:t xml:space="preserve"> </w:t>
      </w:r>
      <w:hyperlink r:id="rId176">
        <w:r>
          <w:rPr>
            <w:rStyle w:val="Hyperlink"/>
          </w:rPr>
          <w:t xml:space="preserve">https://doi.org/10.3389/fpsyg.2019.02767</w:t>
        </w:r>
      </w:hyperlink>
      <w:r>
        <w:t xml:space="preserve">.</w:t>
      </w:r>
    </w:p>
    <w:bookmarkEnd w:id="177"/>
    <w:bookmarkStart w:id="179" w:name="ref-makowski2019"/>
    <w:p>
      <w:pPr>
        <w:pStyle w:val="Bibliography"/>
      </w:pPr>
      <w:r>
        <w:t xml:space="preserve">Makowski, Dominique, Mattan Ben-Shachar, and Daniel Lüdecke. 2019.</w:t>
      </w:r>
      <w:r>
        <w:t xml:space="preserve"> </w:t>
      </w:r>
      <w:r>
        <w:t xml:space="preserve">“bayestestR: Describing Effects and Their Uncertainty, Existence and Significance Within the Bayesian Framework.”</w:t>
      </w:r>
      <w:r>
        <w:t xml:space="preserve"> </w:t>
      </w:r>
      <w:r>
        <w:rPr>
          <w:i/>
          <w:iCs/>
        </w:rPr>
        <w:t xml:space="preserve">Journal of Open Source Software</w:t>
      </w:r>
      <w:r>
        <w:t xml:space="preserve"> </w:t>
      </w:r>
      <w:r>
        <w:t xml:space="preserve">4 (40): 1541.</w:t>
      </w:r>
      <w:r>
        <w:t xml:space="preserve"> </w:t>
      </w:r>
      <w:hyperlink r:id="rId178">
        <w:r>
          <w:rPr>
            <w:rStyle w:val="Hyperlink"/>
          </w:rPr>
          <w:t xml:space="preserve">https://doi.org/10.21105/joss.01541</w:t>
        </w:r>
      </w:hyperlink>
      <w:r>
        <w:t xml:space="preserve">.</w:t>
      </w:r>
    </w:p>
    <w:bookmarkEnd w:id="179"/>
    <w:bookmarkStart w:id="181" w:name="ref-marsmanThreeInsightsBayesian2016"/>
    <w:p>
      <w:pPr>
        <w:pStyle w:val="Bibliography"/>
      </w:pPr>
      <w:r>
        <w:t xml:space="preserve">Marsman, Maarten, and Eric-Jan Wagenmakers. 2016.</w:t>
      </w:r>
      <w:r>
        <w:t xml:space="preserve"> </w:t>
      </w:r>
      <w:r>
        <w:t xml:space="preserve">“Three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 October.</w:t>
      </w:r>
      <w:r>
        <w:t xml:space="preserve"> </w:t>
      </w:r>
      <w:hyperlink r:id="rId180">
        <w:r>
          <w:rPr>
            <w:rStyle w:val="Hyperlink"/>
          </w:rPr>
          <w:t xml:space="preserve">https://doi.org/10.1177/0013164416669201</w:t>
        </w:r>
      </w:hyperlink>
      <w:r>
        <w:t xml:space="preserve">.</w:t>
      </w:r>
    </w:p>
    <w:bookmarkEnd w:id="181"/>
    <w:bookmarkStart w:id="183" w:name="ref-martinVocalComplexitySocially2024"/>
    <w:p>
      <w:pPr>
        <w:pStyle w:val="Bibliography"/>
      </w:pPr>
      <w:r>
        <w:t xml:space="preserve">Martin, Killian, Francesca M. Cornero, Nicola S. Clayton, Olivier Adam, Nicolas Obin, and Valérie Dufour. 2024.</w:t>
      </w:r>
      <w:r>
        <w:t xml:space="preserve"> </w:t>
      </w:r>
      <w:r>
        <w:t xml:space="preserve">“Vocal Complexity in a Socially Complex Corvid: Gradation, Diversity and Lack of Common Call Repertoire in Male Rooks.”</w:t>
      </w:r>
      <w:r>
        <w:t xml:space="preserve"> </w:t>
      </w:r>
      <w:r>
        <w:rPr>
          <w:i/>
          <w:iCs/>
        </w:rPr>
        <w:t xml:space="preserve">Royal Society Open Science</w:t>
      </w:r>
      <w:r>
        <w:t xml:space="preserve"> </w:t>
      </w:r>
      <w:r>
        <w:t xml:space="preserve">11 (1): 231713.</w:t>
      </w:r>
      <w:r>
        <w:t xml:space="preserve"> </w:t>
      </w:r>
      <w:hyperlink r:id="rId182">
        <w:r>
          <w:rPr>
            <w:rStyle w:val="Hyperlink"/>
          </w:rPr>
          <w:t xml:space="preserve">https://doi.org/10.1098/rsos.231713</w:t>
        </w:r>
      </w:hyperlink>
      <w:r>
        <w:t xml:space="preserve">.</w:t>
      </w:r>
    </w:p>
    <w:bookmarkEnd w:id="183"/>
    <w:bookmarkStart w:id="185" w:name="ref-mcelreath2020statistical"/>
    <w:p>
      <w:pPr>
        <w:pStyle w:val="Bibliography"/>
      </w:pPr>
      <w:r>
        <w:t xml:space="preserve">McElreath, Richard. 2020.</w:t>
      </w:r>
      <w:r>
        <w:t xml:space="preserve"> </w:t>
      </w:r>
      <w:r>
        <w:rPr>
          <w:i/>
          <w:iCs/>
        </w:rPr>
        <w:t xml:space="preserve">Statistical Rethinking: A Bayesian Course with Examples in r and STAN</w:t>
      </w:r>
      <w:r>
        <w:t xml:space="preserve">. 2nd ed. Chapman; Hall/CRC.</w:t>
      </w:r>
      <w:r>
        <w:t xml:space="preserve"> </w:t>
      </w:r>
      <w:hyperlink r:id="rId184">
        <w:r>
          <w:rPr>
            <w:rStyle w:val="Hyperlink"/>
          </w:rPr>
          <w:t xml:space="preserve">https://doi.org/10.1201/9780429029608</w:t>
        </w:r>
      </w:hyperlink>
      <w:r>
        <w:t xml:space="preserve">.</w:t>
      </w:r>
    </w:p>
    <w:bookmarkEnd w:id="185"/>
    <w:bookmarkStart w:id="187" w:name="ref-nelder1972"/>
    <w:p>
      <w:pPr>
        <w:pStyle w:val="Bibliography"/>
      </w:pPr>
      <w:r>
        <w:t xml:space="preserve">Nelder, J. A., and R. W. M. Wedderburn. 1972.</w:t>
      </w:r>
      <w:r>
        <w:t xml:space="preserve"> </w:t>
      </w:r>
      <w:r>
        <w:t xml:space="preserve">“Generalized Linear Models.”</w:t>
      </w:r>
      <w:r>
        <w:t xml:space="preserve"> </w:t>
      </w:r>
      <w:r>
        <w:rPr>
          <w:i/>
          <w:iCs/>
        </w:rPr>
        <w:t xml:space="preserve">Journal of the Royal Statistical Society. Series A (General)</w:t>
      </w:r>
      <w:r>
        <w:t xml:space="preserve"> </w:t>
      </w:r>
      <w:r>
        <w:t xml:space="preserve">135 (3): 370–84.</w:t>
      </w:r>
      <w:r>
        <w:t xml:space="preserve"> </w:t>
      </w:r>
      <w:hyperlink r:id="rId186">
        <w:r>
          <w:rPr>
            <w:rStyle w:val="Hyperlink"/>
          </w:rPr>
          <w:t xml:space="preserve">https://doi.org/10.2307/2344614</w:t>
        </w:r>
      </w:hyperlink>
      <w:r>
        <w:t xml:space="preserve">.</w:t>
      </w:r>
    </w:p>
    <w:bookmarkEnd w:id="187"/>
    <w:bookmarkStart w:id="189" w:name="ref-nouvianGlyphosateImpairsAversive2023"/>
    <w:p>
      <w:pPr>
        <w:pStyle w:val="Bibliography"/>
      </w:pPr>
      <w:r>
        <w:t xml:space="preserve">Nouvian, Morgane, James J. Foster, and Anja Weidenmüller. 2023.</w:t>
      </w:r>
      <w:r>
        <w:t xml:space="preserve"> </w:t>
      </w:r>
      <w:r>
        <w:t xml:space="preserve">“Glyphosate Impairs Aversive Learning in Bumblebees.”</w:t>
      </w:r>
      <w:r>
        <w:t xml:space="preserve"> </w:t>
      </w:r>
      <w:r>
        <w:rPr>
          <w:i/>
          <w:iCs/>
        </w:rPr>
        <w:t xml:space="preserve">Science of The Total Environment</w:t>
      </w:r>
      <w:r>
        <w:t xml:space="preserve"> </w:t>
      </w:r>
      <w:r>
        <w:t xml:space="preserve">898: 165527.</w:t>
      </w:r>
      <w:r>
        <w:t xml:space="preserve"> </w:t>
      </w:r>
      <w:hyperlink r:id="rId188">
        <w:r>
          <w:rPr>
            <w:rStyle w:val="Hyperlink"/>
          </w:rPr>
          <w:t xml:space="preserve">https://www.sciencedirect.com/science/article/pii/S0048969723041505</w:t>
        </w:r>
      </w:hyperlink>
      <w:r>
        <w:t xml:space="preserve">.</w:t>
      </w:r>
    </w:p>
    <w:bookmarkEnd w:id="189"/>
    <w:bookmarkStart w:id="191" w:name="ref-paolino2001"/>
    <w:p>
      <w:pPr>
        <w:pStyle w:val="Bibliography"/>
      </w:pPr>
      <w:r>
        <w:t xml:space="preserve">Paolino, Philip. 2001.</w:t>
      </w:r>
      <w:r>
        <w:t xml:space="preserve"> </w:t>
      </w:r>
      <w:r>
        <w:t xml:space="preserve">“Maximum Likelihood Estimation of Models with Beta-Distributed Dependent Variables.”</w:t>
      </w:r>
      <w:r>
        <w:t xml:space="preserve"> </w:t>
      </w:r>
      <w:r>
        <w:rPr>
          <w:i/>
          <w:iCs/>
        </w:rPr>
        <w:t xml:space="preserve">Political Analysis</w:t>
      </w:r>
      <w:r>
        <w:t xml:space="preserve"> </w:t>
      </w:r>
      <w:r>
        <w:t xml:space="preserve">9 (4): 325–46.</w:t>
      </w:r>
      <w:r>
        <w:t xml:space="preserve"> </w:t>
      </w:r>
      <w:hyperlink r:id="rId190">
        <w:r>
          <w:rPr>
            <w:rStyle w:val="Hyperlink"/>
          </w:rPr>
          <w:t xml:space="preserve">https://doi.org/10.1093/oxfordjournals.pan.a004873</w:t>
        </w:r>
      </w:hyperlink>
      <w:r>
        <w:t xml:space="preserve">.</w:t>
      </w:r>
    </w:p>
    <w:bookmarkEnd w:id="191"/>
    <w:bookmarkStart w:id="193" w:name="ref-R"/>
    <w:p>
      <w:pPr>
        <w:pStyle w:val="Bibliography"/>
      </w:pPr>
      <w:r>
        <w:t xml:space="preserve">R Core Team. 2024.</w:t>
      </w:r>
      <w:r>
        <w:t xml:space="preserve"> </w:t>
      </w:r>
      <w:r>
        <w:rPr>
          <w:i/>
          <w:iCs/>
        </w:rPr>
        <w:t xml:space="preserve">R: A Language and Environment for Statistical Computing</w:t>
      </w:r>
      <w:r>
        <w:t xml:space="preserve">. Vienna, Austria: R Foundation for Statistical Computing.</w:t>
      </w:r>
      <w:r>
        <w:t xml:space="preserve"> </w:t>
      </w:r>
      <w:hyperlink r:id="rId192">
        <w:r>
          <w:rPr>
            <w:rStyle w:val="Hyperlink"/>
          </w:rPr>
          <w:t xml:space="preserve">https://www.R-project.org/</w:t>
        </w:r>
      </w:hyperlink>
      <w:r>
        <w:t xml:space="preserve">.</w:t>
      </w:r>
    </w:p>
    <w:bookmarkEnd w:id="193"/>
    <w:bookmarkStart w:id="195" w:name="ref-rix"/>
    <w:p>
      <w:pPr>
        <w:pStyle w:val="Bibliography"/>
      </w:pPr>
      <w:r>
        <w:t xml:space="preserve">Rodrigues, Bruno, and Philipp Baumann. 2025.</w:t>
      </w:r>
      <w:r>
        <w:t xml:space="preserve"> </w:t>
      </w:r>
      <w:r>
        <w:t xml:space="preserve">“Rix: Reproducible Data Science Environments with ’Nix’.”</w:t>
      </w:r>
      <w:r>
        <w:t xml:space="preserve"> </w:t>
      </w:r>
      <w:hyperlink r:id="rId194">
        <w:r>
          <w:rPr>
            <w:rStyle w:val="Hyperlink"/>
          </w:rPr>
          <w:t xml:space="preserve">https://docs.ropensci.org/rix/</w:t>
        </w:r>
      </w:hyperlink>
      <w:r>
        <w:t xml:space="preserve">.</w:t>
      </w:r>
    </w:p>
    <w:bookmarkEnd w:id="195"/>
    <w:bookmarkStart w:id="197" w:name="ref-shresthaBigFiveTraits2024"/>
    <w:p>
      <w:pPr>
        <w:pStyle w:val="Bibliography"/>
      </w:pPr>
      <w:r>
        <w:t xml:space="preserve">Shrestha, Sujan, Kripa Sigdel, Madhusudan Pokharel, and Simon Columbus. 2024.</w:t>
      </w:r>
      <w:r>
        <w:t xml:space="preserve"> </w:t>
      </w:r>
      <w:r>
        <w:t xml:space="preserve">“Big Five Traits Predict Between- and Within-Person Variation in Loneliness.”</w:t>
      </w:r>
      <w:r>
        <w:t xml:space="preserve"> </w:t>
      </w:r>
      <w:r>
        <w:rPr>
          <w:i/>
          <w:iCs/>
        </w:rPr>
        <w:t xml:space="preserve">European Journal of Personality</w:t>
      </w:r>
      <w:r>
        <w:t xml:space="preserve">, March, 08902070241239834.</w:t>
      </w:r>
      <w:r>
        <w:t xml:space="preserve"> </w:t>
      </w:r>
      <w:hyperlink r:id="rId196">
        <w:r>
          <w:rPr>
            <w:rStyle w:val="Hyperlink"/>
          </w:rPr>
          <w:t xml:space="preserve">https://doi.org/10.1177/08902070241239834</w:t>
        </w:r>
      </w:hyperlink>
      <w:r>
        <w:t xml:space="preserve">.</w:t>
      </w:r>
    </w:p>
    <w:bookmarkEnd w:id="197"/>
    <w:bookmarkStart w:id="199" w:name="ref-sladekova2024unicorns"/>
    <w:p>
      <w:pPr>
        <w:pStyle w:val="Bibliography"/>
      </w:pPr>
      <w:r>
        <w:t xml:space="preserve">Sladekova, M., and A. P. Field. 2024.</w:t>
      </w:r>
      <w:r>
        <w:t xml:space="preserve"> </w:t>
      </w:r>
      <w:r>
        <w:t xml:space="preserve">“In Search of Unicorns: Assessing Statistical Assumptions in Real Psychology Datasets.”</w:t>
      </w:r>
      <w:r>
        <w:t xml:space="preserve"> </w:t>
      </w:r>
      <w:hyperlink r:id="rId198">
        <w:r>
          <w:rPr>
            <w:rStyle w:val="Hyperlink"/>
          </w:rPr>
          <w:t xml:space="preserve">https://doi.org/10.31234/osf.io/4rznt</w:t>
        </w:r>
      </w:hyperlink>
      <w:r>
        <w:t xml:space="preserve">.</w:t>
      </w:r>
    </w:p>
    <w:bookmarkEnd w:id="199"/>
    <w:bookmarkStart w:id="201" w:name="X73e0fd26e5c8c052d5da51648b5fbc9fcbc8bf8"/>
    <w:p>
      <w:pPr>
        <w:pStyle w:val="Bibliography"/>
      </w:pPr>
      <w:r>
        <w:t xml:space="preserve">Smith, Kirsten E., Leigh V. Panlilio, Jeffrey D. Feldman, Oliver Grundmann, Kelly E. Dunn, Christopher R. McCurdy, Albert Garcia-Romeu, and David H. Epstein. 2024.</w:t>
      </w:r>
      <w:r>
        <w:t xml:space="preserve"> </w:t>
      </w:r>
      <w:r>
        <w:t xml:space="preserve">“Ecological Momentary Assessment of Self-Reported Kratom Use, Effects, and Motivations Among US Adults.”</w:t>
      </w:r>
      <w:r>
        <w:t xml:space="preserve"> </w:t>
      </w:r>
      <w:r>
        <w:rPr>
          <w:i/>
          <w:iCs/>
        </w:rPr>
        <w:t xml:space="preserve">JAMA Network Open</w:t>
      </w:r>
      <w:r>
        <w:t xml:space="preserve"> </w:t>
      </w:r>
      <w:r>
        <w:t xml:space="preserve">7 (1): e2353401.</w:t>
      </w:r>
      <w:r>
        <w:t xml:space="preserve"> </w:t>
      </w:r>
      <w:hyperlink r:id="rId200">
        <w:r>
          <w:rPr>
            <w:rStyle w:val="Hyperlink"/>
          </w:rPr>
          <w:t xml:space="preserve">https://doi.org/10.1001/jamanetworkopen.2023.53401</w:t>
        </w:r>
      </w:hyperlink>
      <w:r>
        <w:t xml:space="preserve">.</w:t>
      </w:r>
    </w:p>
    <w:bookmarkEnd w:id="201"/>
    <w:bookmarkStart w:id="203" w:name="ref-smithson2006"/>
    <w:p>
      <w:pPr>
        <w:pStyle w:val="Bibliography"/>
      </w:pPr>
      <w:r>
        <w:t xml:space="preserve">Smithson, Michael, and Jay Verkuilen. 2006.</w:t>
      </w:r>
      <w:r>
        <w:t xml:space="preserve"> </w:t>
      </w:r>
      <w:r>
        <w:t xml:space="preserve">“A Better Lemon Squeezer? Maximum-Likelihood Regression with Beta-Distributed Dependent Variables.”</w:t>
      </w:r>
      <w:r>
        <w:t xml:space="preserve"> </w:t>
      </w:r>
      <w:r>
        <w:rPr>
          <w:i/>
          <w:iCs/>
        </w:rPr>
        <w:t xml:space="preserve">Psychological Methods</w:t>
      </w:r>
      <w:r>
        <w:t xml:space="preserve"> </w:t>
      </w:r>
      <w:r>
        <w:t xml:space="preserve">11 (1): 54–71.</w:t>
      </w:r>
      <w:r>
        <w:t xml:space="preserve"> </w:t>
      </w:r>
      <w:hyperlink r:id="rId202">
        <w:r>
          <w:rPr>
            <w:rStyle w:val="Hyperlink"/>
          </w:rPr>
          <w:t xml:space="preserve">https://doi.org/10.1037/1082-989x.11.1.54</w:t>
        </w:r>
      </w:hyperlink>
      <w:r>
        <w:t xml:space="preserve">.</w:t>
      </w:r>
    </w:p>
    <w:bookmarkEnd w:id="203"/>
    <w:bookmarkStart w:id="205" w:name="ref-stan2023"/>
    <w:p>
      <w:pPr>
        <w:pStyle w:val="Bibliography"/>
      </w:pPr>
      <w:r>
        <w:t xml:space="preserve">Team, Stan Development. 2023.</w:t>
      </w:r>
      <w:r>
        <w:t xml:space="preserve"> </w:t>
      </w:r>
      <w:r>
        <w:rPr>
          <w:i/>
          <w:iCs/>
        </w:rPr>
        <w:t xml:space="preserve">Stan: A Probabilistic Programming Language</w:t>
      </w:r>
      <w:r>
        <w:t xml:space="preserve">.</w:t>
      </w:r>
      <w:r>
        <w:t xml:space="preserve"> </w:t>
      </w:r>
      <w:hyperlink r:id="rId204">
        <w:r>
          <w:rPr>
            <w:rStyle w:val="Hyperlink"/>
          </w:rPr>
          <w:t xml:space="preserve">https://mc-stan.org</w:t>
        </w:r>
      </w:hyperlink>
      <w:r>
        <w:t xml:space="preserve">.</w:t>
      </w:r>
    </w:p>
    <w:bookmarkEnd w:id="205"/>
    <w:bookmarkStart w:id="207" w:name="ref-toftness2017"/>
    <w:p>
      <w:pPr>
        <w:pStyle w:val="Bibliography"/>
      </w:pPr>
      <w:r>
        <w:t xml:space="preserve">Toftness, Alexander R., Shana K. Carpenter, Jason Geller, Sierra Lauber, Madeline Johnson, and Patrick I. Armstrong. 2017.</w:t>
      </w:r>
      <w:r>
        <w:t xml:space="preserve"> </w:t>
      </w:r>
      <w:r>
        <w:t xml:space="preserve">“Instructor Fluency Leads to Higher Confidence in Learning, but Not Better Learning.”</w:t>
      </w:r>
      <w:r>
        <w:t xml:space="preserve"> </w:t>
      </w:r>
      <w:r>
        <w:rPr>
          <w:i/>
          <w:iCs/>
        </w:rPr>
        <w:t xml:space="preserve">Metacognition and Learning</w:t>
      </w:r>
      <w:r>
        <w:t xml:space="preserve"> </w:t>
      </w:r>
      <w:r>
        <w:t xml:space="preserve">13 (1): 1–14.</w:t>
      </w:r>
      <w:r>
        <w:t xml:space="preserve"> </w:t>
      </w:r>
      <w:hyperlink r:id="rId206">
        <w:r>
          <w:rPr>
            <w:rStyle w:val="Hyperlink"/>
          </w:rPr>
          <w:t xml:space="preserve">https://doi.org/10.1007/s11409-017-9175-0</w:t>
        </w:r>
      </w:hyperlink>
      <w:r>
        <w:t xml:space="preserve">.</w:t>
      </w:r>
    </w:p>
    <w:bookmarkEnd w:id="207"/>
    <w:bookmarkStart w:id="209" w:name="ref-vuorre2019"/>
    <w:p>
      <w:pPr>
        <w:pStyle w:val="Bibliography"/>
      </w:pPr>
      <w:r>
        <w:t xml:space="preserve">Vuorre, Matti. 2019.</w:t>
      </w:r>
      <w:r>
        <w:t xml:space="preserve"> </w:t>
      </w:r>
      <w:r>
        <w:t xml:space="preserve">“How to Analyze Visual Analog (Slider) Scale Data?”</w:t>
      </w:r>
      <w:r>
        <w:t xml:space="preserve"> February 18, 2019.</w:t>
      </w:r>
      <w:r>
        <w:t xml:space="preserve"> </w:t>
      </w:r>
      <w:hyperlink r:id="rId208">
        <w:r>
          <w:rPr>
            <w:rStyle w:val="Hyperlink"/>
          </w:rPr>
          <w:t xml:space="preserve">https://vuorre.com/posts/2019-02-18-analyze-analog-scale-ratings-with-zero-one-inflated-beta-models</w:t>
        </w:r>
      </w:hyperlink>
      <w:r>
        <w:t xml:space="preserve">.</w:t>
      </w:r>
    </w:p>
    <w:bookmarkEnd w:id="209"/>
    <w:bookmarkStart w:id="211" w:name="ref-wickhamDataScienceImport2023"/>
    <w:p>
      <w:pPr>
        <w:pStyle w:val="Bibliography"/>
      </w:pPr>
      <w:r>
        <w:t xml:space="preserve">Wickham, Hadley, Mine Çetinkaya-Rundel, and Garrett Grolemund.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10">
        <w:r>
          <w:rPr>
            <w:rStyle w:val="Hyperlink"/>
          </w:rPr>
          <w:t xml:space="preserve">https://r4ds.hadley.nz/</w:t>
        </w:r>
      </w:hyperlink>
      <w:r>
        <w:t xml:space="preserve">.</w:t>
      </w:r>
    </w:p>
    <w:bookmarkEnd w:id="211"/>
    <w:bookmarkStart w:id="213" w:name="ref-wilford2020"/>
    <w:p>
      <w:pPr>
        <w:pStyle w:val="Bibliography"/>
      </w:pPr>
      <w:r>
        <w:t xml:space="preserve">Wilford, Miko M., Nayantara Kurpad, Melanie Platt, and Yana Weinstein-Jones. 2020.</w:t>
      </w:r>
      <w:r>
        <w:t xml:space="preserve"> </w:t>
      </w:r>
      <w:r>
        <w:t xml:space="preserve">“Lecturer Fluency Can Impact Students’ Judgments of Learning and Actual Learning Performance.”</w:t>
      </w:r>
      <w:r>
        <w:t xml:space="preserve"> </w:t>
      </w:r>
      <w:r>
        <w:rPr>
          <w:i/>
          <w:iCs/>
        </w:rPr>
        <w:t xml:space="preserve">Applied Cognitive Psychology</w:t>
      </w:r>
      <w:r>
        <w:t xml:space="preserve"> </w:t>
      </w:r>
      <w:r>
        <w:t xml:space="preserve">34 (6): 1444–56.</w:t>
      </w:r>
      <w:r>
        <w:t xml:space="preserve"> </w:t>
      </w:r>
      <w:hyperlink r:id="rId212">
        <w:r>
          <w:rPr>
            <w:rStyle w:val="Hyperlink"/>
          </w:rPr>
          <w:t xml:space="preserve">https://doi.org/10.1002/acp.3724</w:t>
        </w:r>
      </w:hyperlink>
      <w:r>
        <w:t xml:space="preserve">.</w:t>
      </w:r>
    </w:p>
    <w:bookmarkEnd w:id="213"/>
    <w:bookmarkStart w:id="215" w:name="X7cd18eb73a2d92149a7ad2ca420611b508cf98b"/>
    <w:p>
      <w:pPr>
        <w:pStyle w:val="Bibliography"/>
      </w:pPr>
      <w:r>
        <w:t xml:space="preserve">Wilkes, Lexi N., Allison K. Barner, Aislyn A. Keyes, Dana Morton, Jarrett E. K. Byrnes, and Laura E. Dee. 2024.</w:t>
      </w:r>
      <w:r>
        <w:t xml:space="preserve"> </w:t>
      </w:r>
      <w:r>
        <w:t xml:space="preserve">“Quantifying Co‐extinctions and Ecosystem Service Vulnerability in Coastal Ecosystems Experiencing Climate Warming.”</w:t>
      </w:r>
      <w:r>
        <w:t xml:space="preserve"> </w:t>
      </w:r>
      <w:r>
        <w:rPr>
          <w:i/>
          <w:iCs/>
        </w:rPr>
        <w:t xml:space="preserve">Global Change Biology</w:t>
      </w:r>
      <w:r>
        <w:t xml:space="preserve"> </w:t>
      </w:r>
      <w:r>
        <w:t xml:space="preserve">30 (7): e17422.</w:t>
      </w:r>
      <w:r>
        <w:t xml:space="preserve"> </w:t>
      </w:r>
      <w:hyperlink r:id="rId214">
        <w:r>
          <w:rPr>
            <w:rStyle w:val="Hyperlink"/>
          </w:rPr>
          <w:t xml:space="preserve">https://doi.org/10.1111/gcb.17422</w:t>
        </w:r>
      </w:hyperlink>
      <w:r>
        <w:t xml:space="preserve">.</w:t>
      </w:r>
    </w:p>
    <w:bookmarkEnd w:id="215"/>
    <w:bookmarkStart w:id="217" w:name="ref-witherby2022"/>
    <w:p>
      <w:pPr>
        <w:pStyle w:val="Bibliography"/>
      </w:pPr>
      <w:r>
        <w:t xml:space="preserve">Witherby, Amber E., and Shana K. Carpenter. 2022.</w:t>
      </w:r>
      <w:r>
        <w:t xml:space="preserve"> </w:t>
      </w:r>
      <w:r>
        <w:t xml:space="preserve">“The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 </w:t>
      </w:r>
      <w:r>
        <w:t xml:space="preserve">11 (4): 500–509.</w:t>
      </w:r>
      <w:r>
        <w:t xml:space="preserve"> </w:t>
      </w:r>
      <w:hyperlink r:id="rId216">
        <w:r>
          <w:rPr>
            <w:rStyle w:val="Hyperlink"/>
          </w:rPr>
          <w:t xml:space="preserve">https://doi.org/10.1037/mac0000003</w:t>
        </w:r>
      </w:hyperlink>
      <w:r>
        <w:t xml:space="preserve">.</w:t>
      </w:r>
    </w:p>
    <w:bookmarkEnd w:id="217"/>
    <w:bookmarkEnd w:id="218"/>
    <w:bookmarkEnd w:id="2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and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and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2">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45">
    <w:p>
      <w:pPr>
        <w:pStyle w:val="FootnoteText"/>
      </w:pPr>
      <w:r>
        <w:rPr>
          <w:rStyle w:val="FootnoteReference"/>
        </w:rPr>
        <w:footnoteRef/>
      </w:r>
      <w:r>
        <w:t xml:space="preserve"> </w:t>
      </w:r>
      <w:r>
        <w:t xml:space="preserve">We used the</w:t>
      </w:r>
      <w:r>
        <w:t xml:space="preserve"> </w:t>
      </w:r>
      <w:r>
        <w:rPr>
          <w:rStyle w:val="VerbatimChar"/>
          <w:b/>
          <w:bCs/>
        </w:rPr>
        <w:t xml:space="preserve">easystats</w:t>
      </w:r>
      <w:r>
        <w:t xml:space="preserve"> </w:t>
      </w:r>
      <w:r>
        <w:t xml:space="preserve">ecosystem—specifically the</w:t>
      </w:r>
      <w:r>
        <w:t xml:space="preserve"> </w:t>
      </w:r>
      <w:r>
        <w:rPr>
          <w:rStyle w:val="VerbatimChar"/>
        </w:rPr>
        <w:t xml:space="preserve">modelsummary</w:t>
      </w:r>
      <w:r>
        <w:t xml:space="preserve"> </w:t>
      </w:r>
      <w:r>
        <w:t xml:space="preserve">and</w:t>
      </w:r>
      <w:r>
        <w:t xml:space="preserve"> </w:t>
      </w:r>
      <w:r>
        <w:rPr>
          <w:rStyle w:val="VerbatimChar"/>
        </w:rPr>
        <w:t xml:space="preserve">parameters</w:t>
      </w:r>
      <w:r>
        <w:t xml:space="preserve"> </w:t>
      </w:r>
      <w:r>
        <w:t xml:space="preserve">packages—to generate clean, publication-ready summaries of our Bayesian models. This approach improves upon the default output from</w:t>
      </w:r>
      <w:r>
        <w:t xml:space="preserve"> </w:t>
      </w:r>
      <w:r>
        <w:rPr>
          <w:rStyle w:val="VerbatimChar"/>
        </w:rPr>
        <w:t xml:space="preserve">brms</w:t>
      </w:r>
      <w:r>
        <w:t xml:space="preserve"> </w:t>
      </w:r>
      <w:r>
        <w:t xml:space="preserve">by presenting estimates in a more readable format and by including useful Bayesian diagnostics</w:t>
      </w:r>
    </w:p>
  </w:footnote>
  <w:footnote w:id="94">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and Kong 2015</w:t>
        </w:r>
      </w:hyperlink>
      <w:r>
        <w:t xml:space="preserve">)</w:t>
      </w:r>
      <w:r>
        <w:t xml:space="preserve"> </w:t>
      </w:r>
      <w:r>
        <w:t xml:space="preserve">if we believe that both 0s and 1s are distinct outcomes.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23" Target="media/rId23.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116" Target="media/rId116.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112" Target="media/rId112.png" /><Relationship Type="http://schemas.openxmlformats.org/officeDocument/2006/relationships/image" Id="rId49" Target="media/rId49.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hyperlink" Id="rId160" Target="http://dx.doi.org/10.59350/7p1a4-0tw75" TargetMode="External" /><Relationship Type="http://schemas.openxmlformats.org/officeDocument/2006/relationships/hyperlink" Id="rId127" Target="https://CRAN.R-project.org/package=marginaleffects" TargetMode="External" /><Relationship Type="http://schemas.openxmlformats.org/officeDocument/2006/relationships/hyperlink" Id="rId168" Target="https://CRAN.R-project.org/package=ordbetareg" TargetMode="External" /><Relationship Type="http://schemas.openxmlformats.org/officeDocument/2006/relationships/hyperlink" Id="rId194" Target="https://docs.ropensci.org/rix/" TargetMode="External" /><Relationship Type="http://schemas.openxmlformats.org/officeDocument/2006/relationships/hyperlink" Id="rId200" Target="https://doi.org/10.1001/jamanetworkopen.2023.53401" TargetMode="External" /><Relationship Type="http://schemas.openxmlformats.org/officeDocument/2006/relationships/hyperlink" Id="rId212" Target="https://doi.org/10.1002/acp.3724" TargetMode="External" /><Relationship Type="http://schemas.openxmlformats.org/officeDocument/2006/relationships/hyperlink" Id="rId154" Target="https://doi.org/10.1007/s11121-021-01302-y" TargetMode="External" /><Relationship Type="http://schemas.openxmlformats.org/officeDocument/2006/relationships/hyperlink" Id="rId206" Target="https://doi.org/10.1007/s11409-017-9175-0" TargetMode="External" /><Relationship Type="http://schemas.openxmlformats.org/officeDocument/2006/relationships/hyperlink" Id="rId163" Target="https://doi.org/10.1016/j.wocn.2016.08.006" TargetMode="External" /><Relationship Type="http://schemas.openxmlformats.org/officeDocument/2006/relationships/hyperlink" Id="rId166" Target="https://doi.org/10.1017/pan.2022.20" TargetMode="External" /><Relationship Type="http://schemas.openxmlformats.org/officeDocument/2006/relationships/hyperlink" Id="rId202" Target="https://doi.org/10.1037/1082-989x.11.1.54" TargetMode="External" /><Relationship Type="http://schemas.openxmlformats.org/officeDocument/2006/relationships/hyperlink" Id="rId216" Target="https://doi.org/10.1037/mac0000003" TargetMode="External" /><Relationship Type="http://schemas.openxmlformats.org/officeDocument/2006/relationships/hyperlink" Id="rId133" Target="https://doi.org/10.1037/met0000553" TargetMode="External" /><Relationship Type="http://schemas.openxmlformats.org/officeDocument/2006/relationships/hyperlink" Id="rId152" Target="https://doi.org/10.1080/0266476042000214501" TargetMode="External" /><Relationship Type="http://schemas.openxmlformats.org/officeDocument/2006/relationships/hyperlink" Id="rId190" Target="https://doi.org/10.1093/oxfordjournals.pan.a004873" TargetMode="External" /><Relationship Type="http://schemas.openxmlformats.org/officeDocument/2006/relationships/hyperlink" Id="rId182" Target="https://doi.org/10.1098/rsos.231713" TargetMode="External" /><Relationship Type="http://schemas.openxmlformats.org/officeDocument/2006/relationships/hyperlink" Id="rId214" Target="https://doi.org/10.1111/gcb.17422" TargetMode="External" /><Relationship Type="http://schemas.openxmlformats.org/officeDocument/2006/relationships/hyperlink" Id="rId180" Target="https://doi.org/10.1177/0013164416669201" TargetMode="External" /><Relationship Type="http://schemas.openxmlformats.org/officeDocument/2006/relationships/hyperlink" Id="rId196" Target="https://doi.org/10.1177/08902070241239834" TargetMode="External" /><Relationship Type="http://schemas.openxmlformats.org/officeDocument/2006/relationships/hyperlink" Id="rId141" Target="https://doi.org/10.1177/2515245918823199" TargetMode="External" /><Relationship Type="http://schemas.openxmlformats.org/officeDocument/2006/relationships/hyperlink" Id="rId184" Target="https://doi.org/10.1201/9780429029608" TargetMode="External" /><Relationship Type="http://schemas.openxmlformats.org/officeDocument/2006/relationships/hyperlink" Id="rId148" Target="https://doi.org/10.18637/jss.v034.i02" TargetMode="External" /><Relationship Type="http://schemas.openxmlformats.org/officeDocument/2006/relationships/hyperlink" Id="rId137" Target="https://doi.org/10.18637/jss.v080.i01" TargetMode="External" /><Relationship Type="http://schemas.openxmlformats.org/officeDocument/2006/relationships/hyperlink" Id="rId129" Target="https://doi.org/10.18637/jss.v111.i09" TargetMode="External" /><Relationship Type="http://schemas.openxmlformats.org/officeDocument/2006/relationships/hyperlink" Id="rId178" Target="https://doi.org/10.21105/joss.01541" TargetMode="External" /><Relationship Type="http://schemas.openxmlformats.org/officeDocument/2006/relationships/hyperlink" Id="rId186" Target="https://doi.org/10.2307/2344614" TargetMode="External" /><Relationship Type="http://schemas.openxmlformats.org/officeDocument/2006/relationships/hyperlink" Id="rId131" Target="https://doi.org/10.2307/2983678" TargetMode="External" /><Relationship Type="http://schemas.openxmlformats.org/officeDocument/2006/relationships/hyperlink" Id="rId146" Target="https://doi.org/10.31219/osf.io/f9rqg_v1" TargetMode="External" /><Relationship Type="http://schemas.openxmlformats.org/officeDocument/2006/relationships/hyperlink" Id="rId198" Target="https://doi.org/10.31234/osf.io/4rznt" TargetMode="External" /><Relationship Type="http://schemas.openxmlformats.org/officeDocument/2006/relationships/hyperlink" Id="rId170" Target="https://doi.org/10.32614/CRAN.package.emmeans" TargetMode="External" /><Relationship Type="http://schemas.openxmlformats.org/officeDocument/2006/relationships/hyperlink" Id="rId135" Target="https://doi.org/10.32614/RJ-2017-066" TargetMode="External" /><Relationship Type="http://schemas.openxmlformats.org/officeDocument/2006/relationships/hyperlink" Id="rId172" Target="https://doi.org/10.32614/rj-2015-019" TargetMode="External" /><Relationship Type="http://schemas.openxmlformats.org/officeDocument/2006/relationships/hyperlink" Id="rId176" Target="https://doi.org/10.3389/fpsyg.2019.02767" TargetMode="External" /><Relationship Type="http://schemas.openxmlformats.org/officeDocument/2006/relationships/hyperlink" Id="rId143" Target="https://doi.org/10.3758/s13423-013-0442-z" TargetMode="External" /><Relationship Type="http://schemas.openxmlformats.org/officeDocument/2006/relationships/hyperlink" Id="rId174" Target="https://easystats.github.io/easystats/" TargetMode="External" /><Relationship Type="http://schemas.openxmlformats.org/officeDocument/2006/relationships/hyperlink" Id="rId20" Target="https://github.com/jgeller112/beta_regression_tutorial" TargetMode="External" /><Relationship Type="http://schemas.openxmlformats.org/officeDocument/2006/relationships/hyperlink" Id="rId204" Target="https://mc-stan.org" TargetMode="External" /><Relationship Type="http://schemas.openxmlformats.org/officeDocument/2006/relationships/hyperlink" Id="rId156" Target="https://mc-stan.org/cmdstanr/" TargetMode="External" /><Relationship Type="http://schemas.openxmlformats.org/officeDocument/2006/relationships/hyperlink" Id="rId139" Target="https://mc-stan.org/posterior/" TargetMode="External" /><Relationship Type="http://schemas.openxmlformats.org/officeDocument/2006/relationships/hyperlink" Id="rId150" Target="https://nixos.org/" TargetMode="External" /><Relationship Type="http://schemas.openxmlformats.org/officeDocument/2006/relationships/hyperlink" Id="rId210" Target="https://r4ds.hadley.nz/" TargetMode="External" /><Relationship Type="http://schemas.openxmlformats.org/officeDocument/2006/relationships/hyperlink" Id="rId158" Target="https://stat.columbia.edu/~gelman/book/" TargetMode="External" /><Relationship Type="http://schemas.openxmlformats.org/officeDocument/2006/relationships/hyperlink" Id="rId208" Target="https://vuorre.com/posts/2019-02-18-analyze-analog-scale-ratings-with-zero-one-inflated-beta-models" TargetMode="External" /><Relationship Type="http://schemas.openxmlformats.org/officeDocument/2006/relationships/hyperlink" Id="rId192" Target="https://www.R-project.org/" TargetMode="External" /><Relationship Type="http://schemas.openxmlformats.org/officeDocument/2006/relationships/hyperlink" Id="rId188" Target="https://www.sciencedirect.com/science/article/pii/S0048969723041505" TargetMode="External" /></Relationships>
</file>

<file path=word/_rels/footnotes.xml.rels><?xml version="1.0" encoding="UTF-8"?><Relationships xmlns="http://schemas.openxmlformats.org/package/2006/relationships"><Relationship Type="http://schemas.openxmlformats.org/officeDocument/2006/relationships/hyperlink" Id="rId160" Target="http://dx.doi.org/10.59350/7p1a4-0tw75" TargetMode="External" /><Relationship Type="http://schemas.openxmlformats.org/officeDocument/2006/relationships/hyperlink" Id="rId127" Target="https://CRAN.R-project.org/package=marginaleffects" TargetMode="External" /><Relationship Type="http://schemas.openxmlformats.org/officeDocument/2006/relationships/hyperlink" Id="rId168" Target="https://CRAN.R-project.org/package=ordbetareg" TargetMode="External" /><Relationship Type="http://schemas.openxmlformats.org/officeDocument/2006/relationships/hyperlink" Id="rId194" Target="https://docs.ropensci.org/rix/" TargetMode="External" /><Relationship Type="http://schemas.openxmlformats.org/officeDocument/2006/relationships/hyperlink" Id="rId200" Target="https://doi.org/10.1001/jamanetworkopen.2023.53401" TargetMode="External" /><Relationship Type="http://schemas.openxmlformats.org/officeDocument/2006/relationships/hyperlink" Id="rId212" Target="https://doi.org/10.1002/acp.3724" TargetMode="External" /><Relationship Type="http://schemas.openxmlformats.org/officeDocument/2006/relationships/hyperlink" Id="rId154" Target="https://doi.org/10.1007/s11121-021-01302-y" TargetMode="External" /><Relationship Type="http://schemas.openxmlformats.org/officeDocument/2006/relationships/hyperlink" Id="rId206" Target="https://doi.org/10.1007/s11409-017-9175-0" TargetMode="External" /><Relationship Type="http://schemas.openxmlformats.org/officeDocument/2006/relationships/hyperlink" Id="rId163" Target="https://doi.org/10.1016/j.wocn.2016.08.006" TargetMode="External" /><Relationship Type="http://schemas.openxmlformats.org/officeDocument/2006/relationships/hyperlink" Id="rId166" Target="https://doi.org/10.1017/pan.2022.20" TargetMode="External" /><Relationship Type="http://schemas.openxmlformats.org/officeDocument/2006/relationships/hyperlink" Id="rId202" Target="https://doi.org/10.1037/1082-989x.11.1.54" TargetMode="External" /><Relationship Type="http://schemas.openxmlformats.org/officeDocument/2006/relationships/hyperlink" Id="rId216" Target="https://doi.org/10.1037/mac0000003" TargetMode="External" /><Relationship Type="http://schemas.openxmlformats.org/officeDocument/2006/relationships/hyperlink" Id="rId133" Target="https://doi.org/10.1037/met0000553" TargetMode="External" /><Relationship Type="http://schemas.openxmlformats.org/officeDocument/2006/relationships/hyperlink" Id="rId152" Target="https://doi.org/10.1080/0266476042000214501" TargetMode="External" /><Relationship Type="http://schemas.openxmlformats.org/officeDocument/2006/relationships/hyperlink" Id="rId190" Target="https://doi.org/10.1093/oxfordjournals.pan.a004873" TargetMode="External" /><Relationship Type="http://schemas.openxmlformats.org/officeDocument/2006/relationships/hyperlink" Id="rId182" Target="https://doi.org/10.1098/rsos.231713" TargetMode="External" /><Relationship Type="http://schemas.openxmlformats.org/officeDocument/2006/relationships/hyperlink" Id="rId214" Target="https://doi.org/10.1111/gcb.17422" TargetMode="External" /><Relationship Type="http://schemas.openxmlformats.org/officeDocument/2006/relationships/hyperlink" Id="rId180" Target="https://doi.org/10.1177/0013164416669201" TargetMode="External" /><Relationship Type="http://schemas.openxmlformats.org/officeDocument/2006/relationships/hyperlink" Id="rId196" Target="https://doi.org/10.1177/08902070241239834" TargetMode="External" /><Relationship Type="http://schemas.openxmlformats.org/officeDocument/2006/relationships/hyperlink" Id="rId141" Target="https://doi.org/10.1177/2515245918823199" TargetMode="External" /><Relationship Type="http://schemas.openxmlformats.org/officeDocument/2006/relationships/hyperlink" Id="rId184" Target="https://doi.org/10.1201/9780429029608" TargetMode="External" /><Relationship Type="http://schemas.openxmlformats.org/officeDocument/2006/relationships/hyperlink" Id="rId148" Target="https://doi.org/10.18637/jss.v034.i02" TargetMode="External" /><Relationship Type="http://schemas.openxmlformats.org/officeDocument/2006/relationships/hyperlink" Id="rId137" Target="https://doi.org/10.18637/jss.v080.i01" TargetMode="External" /><Relationship Type="http://schemas.openxmlformats.org/officeDocument/2006/relationships/hyperlink" Id="rId129" Target="https://doi.org/10.18637/jss.v111.i09" TargetMode="External" /><Relationship Type="http://schemas.openxmlformats.org/officeDocument/2006/relationships/hyperlink" Id="rId178" Target="https://doi.org/10.21105/joss.01541" TargetMode="External" /><Relationship Type="http://schemas.openxmlformats.org/officeDocument/2006/relationships/hyperlink" Id="rId186" Target="https://doi.org/10.2307/2344614" TargetMode="External" /><Relationship Type="http://schemas.openxmlformats.org/officeDocument/2006/relationships/hyperlink" Id="rId131" Target="https://doi.org/10.2307/2983678" TargetMode="External" /><Relationship Type="http://schemas.openxmlformats.org/officeDocument/2006/relationships/hyperlink" Id="rId146" Target="https://doi.org/10.31219/osf.io/f9rqg_v1" TargetMode="External" /><Relationship Type="http://schemas.openxmlformats.org/officeDocument/2006/relationships/hyperlink" Id="rId198" Target="https://doi.org/10.31234/osf.io/4rznt" TargetMode="External" /><Relationship Type="http://schemas.openxmlformats.org/officeDocument/2006/relationships/hyperlink" Id="rId170" Target="https://doi.org/10.32614/CRAN.package.emmeans" TargetMode="External" /><Relationship Type="http://schemas.openxmlformats.org/officeDocument/2006/relationships/hyperlink" Id="rId135" Target="https://doi.org/10.32614/RJ-2017-066" TargetMode="External" /><Relationship Type="http://schemas.openxmlformats.org/officeDocument/2006/relationships/hyperlink" Id="rId172" Target="https://doi.org/10.32614/rj-2015-019" TargetMode="External" /><Relationship Type="http://schemas.openxmlformats.org/officeDocument/2006/relationships/hyperlink" Id="rId176" Target="https://doi.org/10.3389/fpsyg.2019.02767" TargetMode="External" /><Relationship Type="http://schemas.openxmlformats.org/officeDocument/2006/relationships/hyperlink" Id="rId143" Target="https://doi.org/10.3758/s13423-013-0442-z" TargetMode="External" /><Relationship Type="http://schemas.openxmlformats.org/officeDocument/2006/relationships/hyperlink" Id="rId174" Target="https://easystats.github.io/easystats/" TargetMode="External" /><Relationship Type="http://schemas.openxmlformats.org/officeDocument/2006/relationships/hyperlink" Id="rId20" Target="https://github.com/jgeller112/beta_regression_tutorial" TargetMode="External" /><Relationship Type="http://schemas.openxmlformats.org/officeDocument/2006/relationships/hyperlink" Id="rId204" Target="https://mc-stan.org" TargetMode="External" /><Relationship Type="http://schemas.openxmlformats.org/officeDocument/2006/relationships/hyperlink" Id="rId156" Target="https://mc-stan.org/cmdstanr/" TargetMode="External" /><Relationship Type="http://schemas.openxmlformats.org/officeDocument/2006/relationships/hyperlink" Id="rId139" Target="https://mc-stan.org/posterior/" TargetMode="External" /><Relationship Type="http://schemas.openxmlformats.org/officeDocument/2006/relationships/hyperlink" Id="rId150" Target="https://nixos.org/" TargetMode="External" /><Relationship Type="http://schemas.openxmlformats.org/officeDocument/2006/relationships/hyperlink" Id="rId210" Target="https://r4ds.hadley.nz/" TargetMode="External" /><Relationship Type="http://schemas.openxmlformats.org/officeDocument/2006/relationships/hyperlink" Id="rId158" Target="https://stat.columbia.edu/~gelman/book/" TargetMode="External" /><Relationship Type="http://schemas.openxmlformats.org/officeDocument/2006/relationships/hyperlink" Id="rId208" Target="https://vuorre.com/posts/2019-02-18-analyze-analog-scale-ratings-with-zero-one-inflated-beta-models" TargetMode="External" /><Relationship Type="http://schemas.openxmlformats.org/officeDocument/2006/relationships/hyperlink" Id="rId192" Target="https://www.R-project.org/" TargetMode="External" /><Relationship Type="http://schemas.openxmlformats.org/officeDocument/2006/relationships/hyperlink" Id="rId188" Target="https://www.sciencedirect.com/science/article/pii/S00489697230415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Beta Way: A Tutorial For Using Beta Regression in Psychological Research</dc:title>
  <dc:creator>Jason Geller; Robert Kubinec; Chelsea M. Parlett Pelleriti; Matti Vuorre</dc:creator>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3" name="affiliations">
    <vt:lpwstr/>
  </property>
  <property fmtid="{D5CDD505-2E9C-101B-9397-08002B2CF9AE}" pid="4" name="author-note">
    <vt:lpwstr/>
  </property>
  <property fmtid="{D5CDD505-2E9C-101B-9397-08002B2CF9AE}" pid="5" name="authors">
    <vt:lpwstr/>
  </property>
  <property fmtid="{D5CDD505-2E9C-101B-9397-08002B2CF9AE}" pid="6" name="biblio-config">
    <vt:lpwstr>True</vt:lpwstr>
  </property>
  <property fmtid="{D5CDD505-2E9C-101B-9397-08002B2CF9AE}" pid="7" name="bibliography">
    <vt:lpwstr>bibliography.bib</vt:lpwstr>
  </property>
  <property fmtid="{D5CDD505-2E9C-101B-9397-08002B2CF9AE}" pid="8" name="by-affiliation">
    <vt:lpwstr/>
  </property>
  <property fmtid="{D5CDD505-2E9C-101B-9397-08002B2CF9AE}" pid="9" name="by-author">
    <vt:lpwstr/>
  </property>
  <property fmtid="{D5CDD505-2E9C-101B-9397-08002B2CF9AE}" pid="10" name="execute">
    <vt:lpwstr/>
  </property>
  <property fmtid="{D5CDD505-2E9C-101B-9397-08002B2CF9AE}" pid="11" name="floatsintext">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nitr">
    <vt:lpwstr/>
  </property>
  <property fmtid="{D5CDD505-2E9C-101B-9397-08002B2CF9AE}" pid="16" name="labels">
    <vt:lpwstr/>
  </property>
  <property fmtid="{D5CDD505-2E9C-101B-9397-08002B2CF9AE}" pid="17" name="language">
    <vt:lpwstr/>
  </property>
  <property fmtid="{D5CDD505-2E9C-101B-9397-08002B2CF9AE}" pid="18" name="link-citations">
    <vt:lpwstr>True</vt:lpwstr>
  </property>
  <property fmtid="{D5CDD505-2E9C-101B-9397-08002B2CF9AE}" pid="19" name="mask">
    <vt:lpwstr>False</vt:lpwstr>
  </property>
  <property fmtid="{D5CDD505-2E9C-101B-9397-08002B2CF9AE}" pid="20" name="numbered-lines">
    <vt:lpwstr>False</vt:lpwstr>
  </property>
  <property fmtid="{D5CDD505-2E9C-101B-9397-08002B2CF9AE}" pid="21" name="shorttitle">
    <vt:lpwstr>Beta Regression Tutorial</vt:lpwstr>
  </property>
  <property fmtid="{D5CDD505-2E9C-101B-9397-08002B2CF9AE}" pid="22" name="suppress-title-page">
    <vt:lpwstr>False</vt:lpwstr>
  </property>
  <property fmtid="{D5CDD505-2E9C-101B-9397-08002B2CF9AE}" pid="23" name="toc-title">
    <vt:lpwstr>Table of contents</vt:lpwstr>
  </property>
  <property fmtid="{D5CDD505-2E9C-101B-9397-08002B2CF9AE}" pid="24" name="word-count">
    <vt:lpwstr>True</vt:lpwstr>
  </property>
</Properties>
</file>