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5.png" ContentType="image/png"/>
  <Override PartName="/word/media/rId100.png" ContentType="image/png"/>
  <Override PartName="/word/media/rId75.png" ContentType="image/png"/>
  <Override PartName="/word/media/rId131.png" ContentType="image/png"/>
  <Override PartName="/word/media/rId109.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9761</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 and guides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(dot)</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[-0.002,0.169],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5"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0.262</w:t>
            </w:r>
          </w:p>
        </w:tc>
        <w:tc>
          <w:tcPr/>
          <w:p>
            <w:pPr>
              <w:pStyle w:val="Compact"/>
            </w:pPr>
            <w:r>
              <w:t xml:space="preserve">[0.212, 0.318]</w:t>
            </w:r>
          </w:p>
        </w:tc>
      </w:tr>
      <w:tr>
        <w:tc>
          <w:tcPr/>
          <w:p>
            <w:pPr>
              <w:pStyle w:val="Compact"/>
            </w:pPr>
            <w:r>
              <w:t xml:space="preserve">Fluent</w:t>
            </w:r>
          </w:p>
        </w:tc>
        <w:tc>
          <w:tcPr/>
          <w:p>
            <w:pPr>
              <w:pStyle w:val="Compact"/>
            </w:pPr>
            <w:r>
              <w:t xml:space="preserve">0.357</w:t>
            </w:r>
          </w:p>
        </w:tc>
        <w:tc>
          <w:tcPr/>
          <w:p>
            <w:pPr>
              <w:pStyle w:val="Compact"/>
            </w:pPr>
            <w:r>
              <w:t xml:space="preserve">[0.293, 0.428]</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[0.011, 0.179]</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w:t>
            </w:r>
          </w:p>
        </w:tc>
        <w:tc>
          <w:tcPr/>
          <w:p>
            <w:pPr>
              <w:pStyle w:val="Compact"/>
            </w:pPr>
            <w:r>
              <w:t xml:space="preserve">[1.053, 2.335]</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3"/>
    <w:bookmarkStart w:id="99"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4"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[1.671, 3.366]</w:t>
            </w:r>
          </w:p>
        </w:tc>
        <w:tc>
          <w:tcPr/>
          <w:p>
            <w:pPr>
              <w:pStyle w:val="Compact"/>
            </w:pPr>
            <w:r>
              <w:t xml:space="preserve">1</w:t>
            </w:r>
          </w:p>
        </w:tc>
      </w:tr>
      <w:tr>
        <w:tc>
          <w:tcPr/>
          <w:p>
            <w:pPr>
              <w:pStyle w:val="Compact"/>
            </w:pPr>
            <w:r>
              <w:t xml:space="preserve">b_phi_FluencyFluent</w:t>
            </w:r>
          </w:p>
        </w:tc>
        <w:tc>
          <w:tcPr/>
          <w:p>
            <w:pPr>
              <w:pStyle w:val="Compact"/>
            </w:pPr>
            <w:r>
              <w:t xml:space="preserve">2.53</w:t>
            </w:r>
          </w:p>
        </w:tc>
        <w:tc>
          <w:tcPr/>
          <w:p>
            <w:pPr>
              <w:pStyle w:val="Compact"/>
            </w:pPr>
            <w:r>
              <w:t xml:space="preserve">[1.463, 4.253]</w:t>
            </w:r>
          </w:p>
        </w:tc>
        <w:tc>
          <w:tcPr/>
          <w:p>
            <w:pPr>
              <w:pStyle w:val="Compact"/>
            </w:pPr>
            <w:r>
              <w:t xml:space="preserve">1</w:t>
            </w:r>
          </w:p>
        </w:tc>
      </w:tr>
    </w:tbl>
    <w:bookmarkEnd w:id="94"/>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8"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6" name="Picture"/>
            <a:graphic>
              <a:graphicData uri="http://schemas.openxmlformats.org/drawingml/2006/picture">
                <pic:pic>
                  <pic:nvPicPr>
                    <pic:cNvPr descr="ms_files/figure-docx/fig-plt-diff-1.png" id="97"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bookmarkEnd w:id="98"/>
    <w:bookmarkEnd w:id="99"/>
    <w:bookmarkStart w:id="104"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3"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1" name="Picture"/>
            <a:graphic>
              <a:graphicData uri="http://schemas.openxmlformats.org/drawingml/2006/picture">
                <pic:pic>
                  <pic:nvPicPr>
                    <pic:cNvPr descr="ms_files/figure-docx/fig-post-pred-1.png" id="102"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bookmarkEnd w:id="103"/>
    <w:bookmarkEnd w:id="104"/>
    <w:bookmarkEnd w:id="105"/>
    <w:bookmarkStart w:id="114"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8</w:t>
        </w:r>
      </w:hyperlink>
      <w:r>
        <w:t xml:space="preserve"> </w:t>
      </w:r>
      <w:r>
        <w:t xml:space="preserve">there is no significant effect for Fluency.</w:t>
      </w:r>
    </w:p>
    <w:bookmarkStart w:id="106"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[-0.079, 0.083]</w:t>
            </w:r>
          </w:p>
        </w:tc>
      </w:tr>
    </w:tbl>
    <w:bookmarkEnd w:id="106"/>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9</w:t>
        </w:r>
      </w:hyperlink>
      <w:r>
        <w:t xml:space="preserve">, there is a significant effect of fluency on dispersion, with disfluency having a larger variation than fluency.</w:t>
      </w:r>
    </w:p>
    <w:bookmarkStart w:id="107"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750"/>
        <w:tblLayout w:type="fixed"/>
        <w:tblLook w:firstRow="1" w:lastRow="0" w:firstColumn="0" w:lastColumn="0" w:noHBand="0" w:noVBand="0" w:val="0020"/>
      </w:tblPr>
      <w:tblGrid>
        <w:gridCol w:w="1100"/>
        <w:gridCol w:w="2310"/>
        <w:gridCol w:w="77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4.49</w:t>
            </w:r>
          </w:p>
        </w:tc>
        <w:tc>
          <w:tcPr/>
          <w:p>
            <w:pPr>
              <w:pStyle w:val="Compact"/>
            </w:pPr>
            <w:r>
              <w:t xml:space="preserve">[1.33, 7.913]</w:t>
            </w:r>
          </w:p>
        </w:tc>
      </w:tr>
    </w:tbl>
    <w:bookmarkEnd w:id="107"/>
    <w:bookmarkEnd w:id="108"/>
    <w:bookmarkStart w:id="113"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w:t>
      </w:r>
      <w:r>
        <w:t xml:space="preserve">we see that watching a lecture video with a fluent instructor reduces the proportion of zeros by about 13%. The Cr.I does not include zero.</w:t>
      </w:r>
    </w:p>
    <w:p>
      <w:pPr>
        <w:pStyle w:val="BodyText"/>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2"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6"/>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5943600"/>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2"/>
    <w:bookmarkStart w:id="123" w:name="gamma"/>
    <w:p>
      <w:pPr>
        <w:pStyle w:val="Heading3"/>
      </w:pPr>
      <m:oMath>
        <m:r>
          <m:t>γ</m:t>
        </m:r>
      </m:oMath>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30"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9" w:name="references"/>
    <w:p>
      <w:pPr>
        <w:pStyle w:val="Heading2"/>
      </w:pPr>
      <w:r>
        <w:t xml:space="preserve">References</w:t>
      </w:r>
    </w:p>
    <w:bookmarkStart w:id="228"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14">
        <w:r>
          <w:rPr>
            <w:rStyle w:val="Hyperlink"/>
          </w:rPr>
          <w:t xml:space="preserve">https://doi.org/10.1037/1082-989x.11.1.54</w:t>
        </w:r>
      </w:hyperlink>
    </w:p>
    <w:bookmarkEnd w:id="215"/>
    <w:bookmarkStart w:id="217"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6">
        <w:r>
          <w:rPr>
            <w:rStyle w:val="Hyperlink"/>
          </w:rPr>
          <w:t xml:space="preserve">https://mc-stan.org</w:t>
        </w:r>
      </w:hyperlink>
    </w:p>
    <w:bookmarkEnd w:id="217"/>
    <w:bookmarkStart w:id="219"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8">
        <w:r>
          <w:rPr>
            <w:rStyle w:val="Hyperlink"/>
          </w:rPr>
          <w:t xml:space="preserve">https://doi.org/10.1007/s11409-017-9175-0</w:t>
        </w:r>
      </w:hyperlink>
    </w:p>
    <w:bookmarkEnd w:id="219"/>
    <w:bookmarkStart w:id="221"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0">
        <w:r>
          <w:rPr>
            <w:rStyle w:val="Hyperlink"/>
          </w:rPr>
          <w:t xml:space="preserve">https://vuorre.com/posts/2019-02-18-analyze-analog-scale-ratings-with-zero-one-inflated-beta-models</w:t>
        </w:r>
      </w:hyperlink>
    </w:p>
    <w:bookmarkEnd w:id="221"/>
    <w:bookmarkStart w:id="22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2">
        <w:r>
          <w:rPr>
            <w:rStyle w:val="Hyperlink"/>
          </w:rPr>
          <w:t xml:space="preserve">https://doi.org/10.1002/acp.3724</w:t>
        </w:r>
      </w:hyperlink>
    </w:p>
    <w:bookmarkEnd w:id="223"/>
    <w:bookmarkStart w:id="22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4">
        <w:r>
          <w:rPr>
            <w:rStyle w:val="Hyperlink"/>
          </w:rPr>
          <w:t xml:space="preserve">https://doi.org/10.1111/gcb.17422</w:t>
        </w:r>
      </w:hyperlink>
    </w:p>
    <w:bookmarkEnd w:id="225"/>
    <w:bookmarkStart w:id="22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6">
        <w:r>
          <w:rPr>
            <w:rStyle w:val="Hyperlink"/>
          </w:rPr>
          <w:t xml:space="preserve">https://doi.org/10.1037/mac0000003</w:t>
        </w:r>
      </w:hyperlink>
    </w:p>
    <w:bookmarkEnd w:id="227"/>
    <w:bookmarkEnd w:id="228"/>
    <w:bookmarkEnd w:id="229"/>
    <w:bookmarkEnd w:id="23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5">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9761</vt:lpwstr>
  </property>
  <property fmtid="{D5CDD505-2E9C-101B-9397-08002B2CF9AE}" pid="63" name="zerocitations">
    <vt:lpwstr>False</vt:lpwstr>
  </property>
</Properties>
</file>