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6.png" ContentType="image/png"/>
  <Override PartName="/word/media/rId81.png" ContentType="image/png"/>
  <Override PartName="/word/media/rId74.png" ContentType="image/png"/>
  <Override PartName="/word/media/rId132.png" ContentType="image/png"/>
  <Override PartName="/word/media/rId70.png" ContentType="image/png"/>
  <Override PartName="/word/media/rId108.png" ContentType="image/png"/>
  <Override PartName="/word/media/rId1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9389</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w:t>
      </w:r>
    </w:p>
    <w:p>
      <w:pPr>
        <w:pStyle w:val="SourceCode"/>
      </w:pPr>
      <w:r>
        <w:rPr>
          <w:rStyle w:val="VerbatimChar"/>
        </w:rPr>
        <w:t xml:space="preserve">&lt;! -- I won't lie, I still doubt myself over this after years in stats: isnt the assumtion for linear regression that errors are normally distributed, not the outcome? in which case maybe point 1 should be re-woreded? but perhaps I'm wrong? ---CMP --&gt;</w:t>
      </w:r>
    </w:p>
    <w:p>
      <w:pPr>
        <w:pStyle w:val="FirstParagraph"/>
      </w:pPr>
      <w:r>
        <w:t xml:space="preserve">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w:t>
      </w:r>
    </w:p>
    <w:p>
      <w:pPr>
        <w:pStyle w:val="SourceCode"/>
      </w:pPr>
      <w:r>
        <w:rPr>
          <w:rStyle w:val="VerbatimChar"/>
        </w:rPr>
        <w:t xml:space="preserve">&lt;! -- I don't think you define GLiM before using it here? ---CMP --&gt;</w:t>
      </w:r>
    </w:p>
    <w:p>
      <w:pPr>
        <w:pStyle w:val="FirstParagraph"/>
      </w:pPr>
      <w:r>
        <w:t xml:space="preserve">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w:t>
      </w:r>
    </w:p>
    <w:p>
      <w:pPr>
        <w:pStyle w:val="SourceCode"/>
      </w:pPr>
      <w:r>
        <w:rPr>
          <w:rStyle w:val="VerbatimChar"/>
        </w:rPr>
        <w:t xml:space="preserve">&lt;! -- I get what you're saying here, but it's worded a bit confusingly for a beginner --&gt;</w:t>
      </w:r>
    </w:p>
    <w:p>
      <w:pPr>
        <w:pStyle w:val="SourceCode"/>
      </w:pPr>
      <w:r>
        <w:rPr>
          <w:rStyle w:val="VerbatimChar"/>
        </w:rPr>
        <w:t xml:space="preserve">&lt;! -- Original:A pd of 95%, 97.5%, 99.5%, and 99.95% corresponds approximately to two-sided p-values of 0.10, 0.05, 0.01, and 0.001, respectively. For directional hypotheses, the pd can be interpreted as roughly equivalent to one minus the p-value [@marsmanThreeInsightsBayesian2016]. --&gt;</w:t>
      </w:r>
    </w:p>
    <w:p>
      <w:pPr>
        <w:pStyle w:val="FirstParagraph"/>
      </w:pPr>
      <w:r>
        <w:t xml:space="preserve">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Johnson et al. (</w:t>
      </w:r>
      <w:hyperlink w:anchor="ref-bayes_rules">
        <w:r>
          <w:rPr>
            <w:rStyle w:val="Hyperlink"/>
          </w:rPr>
          <w:t xml:space="preserve">2022</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3"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w:t>
      </w:r>
    </w:p>
    <w:p>
      <w:pPr>
        <w:pStyle w:val="SourceCode"/>
      </w:pPr>
      <w:r>
        <w:rPr>
          <w:rStyle w:val="VerbatimChar"/>
        </w:rPr>
        <w:t xml:space="preserve">&lt;! -- (here, the credible interval is an Equal Tailed Interval, in which the two tails of the posterior not included in the Cr.I have the same probability: one minus the Cr.I probability.) ---CMP: might be helpfult to add, or as a footnote. Or you might leave this out, if you're assuming they already are familiar --&gt;</w:t>
      </w:r>
    </w:p>
    <w:p>
      <w:pPr>
        <w:pStyle w:val="FirstParagraph"/>
      </w:pPr>
      <w:r>
        <w:t xml:space="preserve">.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Cr.I for this estimate spans from 0.001 to 0.167.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4704     3020</w:t>
      </w:r>
      <w:r>
        <w:br/>
      </w:r>
      <w:r>
        <w:rPr>
          <w:rStyle w:val="VerbatimChar"/>
        </w:rPr>
        <w:t xml:space="preserve">FluencyFluent     0.08      0.04     0.00     0.17 1.00     4645     3230</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4011     2951</w:t>
      </w:r>
    </w:p>
    <w:bookmarkEnd w:id="67"/>
    <w:bookmarkEnd w:id="68"/>
    <w:bookmarkStart w:id="102"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Because of this we will not do this nor condone our readers to do this. To run this Beta model we will remove the 0s and 1s.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of assuming dispersion is constant,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4.94</w:t>
            </w:r>
          </w:p>
        </w:tc>
        <w:tc>
          <w:tcPr/>
          <w:p>
            <w:pPr>
              <w:pStyle w:val="Compact"/>
            </w:pPr>
            <w:r>
              <w:t xml:space="preserve">[3.173, 7.266]</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[0.865, 2.739]</w:t>
            </w:r>
          </w:p>
        </w:tc>
        <w:tc>
          <w:tcPr/>
          <w:p>
            <w:pPr>
              <w:pStyle w:val="Compact"/>
            </w:pPr>
            <w:r>
              <w:t xml:space="preserve">0.927</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w:t>
      </w:r>
    </w:p>
    <w:p>
      <w:pPr>
        <w:pStyle w:val="SourceCode"/>
      </w:pPr>
      <w:r>
        <w:rPr>
          <w:rStyle w:val="VerbatimChar"/>
        </w:rPr>
        <w:t xml:space="preserve">&lt;! -- Q: is this a unique benefit of a beta regression? or just using brms or similar software which gives more flexibility to any model?? ---CMP --&gt;</w:t>
      </w:r>
    </w:p>
    <w:p>
      <w:pPr>
        <w:pStyle w:val="FirstParagraph"/>
      </w:pPr>
      <w:r>
        <w:t xml:space="preserve">.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0.296</w:t>
            </w:r>
          </w:p>
        </w:tc>
        <w:tc>
          <w:tcPr/>
          <w:p>
            <w:pPr>
              <w:pStyle w:val="Compact"/>
            </w:pPr>
            <w:r>
              <w:t xml:space="preserve">[0.248, 0.351]</w:t>
            </w:r>
          </w:p>
        </w:tc>
      </w:tr>
      <w:tr>
        <w:tc>
          <w:tcPr/>
          <w:p>
            <w:pPr>
              <w:pStyle w:val="Compact"/>
            </w:pPr>
            <w:r>
              <w:t xml:space="preserve">Fluent</w:t>
            </w:r>
          </w:p>
        </w:tc>
        <w:tc>
          <w:tcPr/>
          <w:p>
            <w:pPr>
              <w:pStyle w:val="Compact"/>
            </w:pPr>
            <w:r>
              <w:t xml:space="preserve">0.353</w:t>
            </w:r>
          </w:p>
        </w:tc>
        <w:tc>
          <w:tcPr/>
          <w:p>
            <w:pPr>
              <w:pStyle w:val="Compact"/>
            </w:pPr>
            <w:r>
              <w:t xml:space="preserve">[0.302, 0.41]</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100"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SourceCode"/>
      </w:pPr>
      <w:r>
        <w:rPr>
          <w:rStyle w:val="VerbatimChar"/>
        </w:rPr>
        <w:t xml:space="preserve">&lt;! -- Jason this is so insanely clear, what a great explanation of MEs. --&gt;</w:t>
      </w:r>
    </w:p>
    <w:p>
      <w:pPr>
        <w:pStyle w:val="FirstParagraph"/>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4444"/>
        <w:tblLayout w:type="fixed"/>
        <w:tblLook w:firstRow="1" w:lastRow="0" w:firstColumn="0" w:lastColumn="0" w:noHBand="0" w:noVBand="0" w:val="0020"/>
      </w:tblPr>
      <w:tblGrid>
        <w:gridCol w:w="1100"/>
        <w:gridCol w:w="2310"/>
        <w:gridCol w:w="880"/>
        <w:gridCol w:w="1980"/>
        <w:gridCol w:w="7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[-0.014, 0.133]</w:t>
            </w:r>
          </w:p>
        </w:tc>
        <w:tc>
          <w:tcPr/>
          <w:p>
            <w:pPr>
              <w:pStyle w:val="Compact"/>
            </w:pPr>
            <w:r>
              <w:t xml:space="preserve">0.94</w:t>
            </w:r>
          </w:p>
        </w:tc>
      </w:tr>
    </w:tbl>
    <w:bookmarkEnd w:id="97"/>
    <w:p>
      <w:pPr>
        <w:pStyle w:val="AfterWithoutNote"/>
      </w:pPr>
      <w:r>
        <w:t xml:space="preserve">p</w:t>
      </w:r>
    </w:p>
    <w:p>
      <w:pPr>
        <w:pStyle w:val="BodyText"/>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contains 0 as one of the 95% most credible values, meaning the evidence for an effect of fluency is unlikely.</w:t>
      </w:r>
    </w:p>
    <w:p>
      <w:pPr>
        <w:pStyle w:val="SourceCode"/>
      </w:pPr>
      <w:r>
        <w:rPr>
          <w:rStyle w:val="VerbatimChar"/>
        </w:rPr>
        <w:t xml:space="preserve">&lt;! -- "meaning the evidence for an effect of fluency is unlikely" feels like a counter intuitive conclusion given everything we've told readers (though is very consistent with frequentist framework). Maybe instead you could add the pd (code added) and say "meaning we can't rule out a 0 or weakly negative effect. However, the probability of a positive effect is 94%." --&gt;</w:t>
      </w:r>
    </w:p>
    <w:bookmarkStart w:id="98"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867"/>
        <w:gridCol w:w="1735"/>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1.299</w:t>
            </w:r>
          </w:p>
        </w:tc>
        <w:tc>
          <w:tcPr/>
          <w:p>
            <w:pPr>
              <w:pStyle w:val="Compact"/>
            </w:pPr>
            <w:r>
              <w:t xml:space="preserve">[0.94, 1.833]</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(@eq-cohenh) to calculate Cohen’s</w:t>
      </w:r>
      <w:r>
        <w:t xml:space="preserve"> </w:t>
      </w:r>
      <w:r>
        <w:rPr>
          <w:i/>
          <w:iCs/>
        </w:rPr>
        <w:t xml:space="preserve">h</w:t>
      </w:r>
      <w:r>
        <w:t xml:space="preserve"> </w:t>
      </w:r>
      <w:r>
        <w:t xml:space="preserve">along with the 95% CIs around it. Using this metric we see the effect size is small (0.107), 95% Cr.I [-0.002, 0.361].</w:t>
      </w:r>
    </w:p>
    <w:p>
      <w:pPr>
        <w:pStyle w:val="BodyText"/>
      </w:pPr>
      <w:bookmarkStart w:id="99"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99"/>
    </w:p>
    <w:bookmarkEnd w:id="100"/>
    <w:bookmarkStart w:id="101"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1"/>
    <w:bookmarkEnd w:id="102"/>
    <w:bookmarkStart w:id="113"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removed these values, but this kind of data manipulation is generally discouraged, especially when the 0s are meaningful. In our case, these 0s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3"/>
        </w:tc>
      </w:tr>
    </w:tbl>
    <w:bookmarkStart w:id="104"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4"/>
    <w:bookmarkStart w:id="107"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5"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0.117]</w:t>
            </w:r>
          </w:p>
        </w:tc>
      </w:tr>
    </w:tbl>
    <w:bookmarkEnd w:id="105"/>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6"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2.68</w:t>
            </w:r>
          </w:p>
        </w:tc>
        <w:tc>
          <w:tcPr/>
          <w:p>
            <w:pPr>
              <w:pStyle w:val="Compact"/>
            </w:pPr>
            <w:r>
              <w:t xml:space="preserve">[-0.916, 6.491]</w:t>
            </w:r>
          </w:p>
        </w:tc>
      </w:tr>
    </w:tbl>
    <w:bookmarkEnd w:id="106"/>
    <w:bookmarkEnd w:id="107"/>
    <w:bookmarkStart w:id="112"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7</w:t>
        </w:r>
      </w:hyperlink>
      <w:r>
        <w:t xml:space="preserve">).</w:t>
      </w:r>
    </w:p>
    <w:bookmarkStart w:id="111"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9" name="Picture"/>
            <a:graphic>
              <a:graphicData uri="http://schemas.openxmlformats.org/drawingml/2006/picture">
                <pic:pic>
                  <pic:nvPicPr>
                    <pic:cNvPr descr="ms_files/figure-docx/fig-zi-plot-1.png" id="110" name="Picture"/>
                    <pic:cNvPicPr>
                      <a:picLocks noChangeArrowheads="1" noChangeAspect="1"/>
                    </pic:cNvPicPr>
                  </pic:nvPicPr>
                  <pic:blipFill>
                    <a:blip r:embed="rId108"/>
                    <a:stretch>
                      <a:fillRect/>
                    </a:stretch>
                  </pic:blipFill>
                  <pic:spPr bwMode="auto">
                    <a:xfrm>
                      <a:off x="0" y="0"/>
                      <a:ext cx="5504749" cy="3400711"/>
                    </a:xfrm>
                    <a:prstGeom prst="rect">
                      <a:avLst/>
                    </a:prstGeom>
                    <a:noFill/>
                    <a:ln w="9525">
                      <a:noFill/>
                      <a:headEnd/>
                      <a:tailEnd/>
                    </a:ln>
                  </pic:spPr>
                </pic:pic>
              </a:graphicData>
            </a:graphic>
          </wp:inline>
        </w:drawing>
      </w:r>
    </w:p>
    <w:bookmarkEnd w:id="111"/>
    <w:bookmarkEnd w:id="112"/>
    <w:bookmarkEnd w:id="113"/>
    <w:bookmarkStart w:id="123"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4"/>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8"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6" name="Picture"/>
            <a:graphic>
              <a:graphicData uri="http://schemas.openxmlformats.org/drawingml/2006/picture">
                <pic:pic>
                  <pic:nvPicPr>
                    <pic:cNvPr descr="ms_files/figure-docx/fig-zoib-1.png" id="117" name="Picture"/>
                    <pic:cNvPicPr>
                      <a:picLocks noChangeArrowheads="1" noChangeAspect="1"/>
                    </pic:cNvPicPr>
                  </pic:nvPicPr>
                  <pic:blipFill>
                    <a:blip r:embed="rId115"/>
                    <a:stretch>
                      <a:fillRect/>
                    </a:stretch>
                  </pic:blipFill>
                  <pic:spPr bwMode="auto">
                    <a:xfrm>
                      <a:off x="0" y="0"/>
                      <a:ext cx="5943600" cy="3672649"/>
                    </a:xfrm>
                    <a:prstGeom prst="rect">
                      <a:avLst/>
                    </a:prstGeom>
                    <a:noFill/>
                    <a:ln w="9525">
                      <a:noFill/>
                      <a:headEnd/>
                      <a:tailEnd/>
                    </a:ln>
                  </pic:spPr>
                </pic:pic>
              </a:graphicData>
            </a:graphic>
          </wp:inline>
        </w:drawing>
      </w:r>
    </w:p>
    <w:bookmarkEnd w:id="118"/>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9"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9"/>
        </w:tc>
      </w:tr>
    </w:tbl>
    <w:bookmarkStart w:id="120"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0"/>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1"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1"/>
        </w:tc>
      </w:tr>
    </w:tbl>
    <w:bookmarkEnd w:id="122"/>
    <w:bookmarkEnd w:id="123"/>
    <w:bookmarkStart w:id="12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5"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6"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6"/>
        </w:tc>
      </w:tr>
    </w:tbl>
    <w:bookmarkEnd w:id="127"/>
    <w:bookmarkEnd w:id="128"/>
    <w:bookmarkStart w:id="14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9"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[-0.015, 0.135]</w:t>
            </w:r>
          </w:p>
        </w:tc>
      </w:tr>
    </w:tbl>
    <w:bookmarkEnd w:id="129"/>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0"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2.08]</w:t>
            </w:r>
          </w:p>
        </w:tc>
      </w:tr>
    </w:tbl>
    <w:bookmarkEnd w:id="130"/>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1"/>
    <w:bookmarkStart w:id="14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5"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3" name="Picture"/>
            <a:graphic>
              <a:graphicData uri="http://schemas.openxmlformats.org/drawingml/2006/picture">
                <pic:pic>
                  <pic:nvPicPr>
                    <pic:cNvPr descr="ms_files/figure-docx/fig-ppcheckord-1.png" id="134" name="Picture"/>
                    <pic:cNvPicPr>
                      <a:picLocks noChangeArrowheads="1" noChangeAspect="1"/>
                    </pic:cNvPicPr>
                  </pic:nvPicPr>
                  <pic:blipFill>
                    <a:blip r:embed="rId132"/>
                    <a:stretch>
                      <a:fillRect/>
                    </a:stretch>
                  </pic:blipFill>
                  <pic:spPr bwMode="auto">
                    <a:xfrm>
                      <a:off x="0" y="0"/>
                      <a:ext cx="5943600" cy="3671823"/>
                    </a:xfrm>
                    <a:prstGeom prst="rect">
                      <a:avLst/>
                    </a:prstGeom>
                    <a:noFill/>
                    <a:ln w="9525">
                      <a:noFill/>
                      <a:headEnd/>
                      <a:tailEnd/>
                    </a:ln>
                  </pic:spPr>
                </pic:pic>
              </a:graphicData>
            </a:graphic>
          </wp:inline>
        </w:drawing>
      </w:r>
    </w:p>
    <w:bookmarkEnd w:id="13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9"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7" name="Picture"/>
            <a:graphic>
              <a:graphicData uri="http://schemas.openxmlformats.org/drawingml/2006/picture">
                <pic:pic>
                  <pic:nvPicPr>
                    <pic:cNvPr descr="ms_files/figure-docx/fig-heiss-1.png" id="138" name="Picture"/>
                    <pic:cNvPicPr>
                      <a:picLocks noChangeArrowheads="1" noChangeAspect="1"/>
                    </pic:cNvPicPr>
                  </pic:nvPicPr>
                  <pic:blipFill>
                    <a:blip r:embed="rId136"/>
                    <a:stretch>
                      <a:fillRect/>
                    </a:stretch>
                  </pic:blipFill>
                  <pic:spPr bwMode="auto">
                    <a:xfrm>
                      <a:off x="0" y="0"/>
                      <a:ext cx="5504749" cy="3400711"/>
                    </a:xfrm>
                    <a:prstGeom prst="rect">
                      <a:avLst/>
                    </a:prstGeom>
                    <a:noFill/>
                    <a:ln w="9525">
                      <a:noFill/>
                      <a:headEnd/>
                      <a:tailEnd/>
                    </a:ln>
                  </pic:spPr>
                </pic:pic>
              </a:graphicData>
            </a:graphic>
          </wp:inline>
        </w:drawing>
      </w:r>
    </w:p>
    <w:bookmarkEnd w:id="139"/>
    <w:bookmarkEnd w:id="140"/>
    <w:bookmarkStart w:id="14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1"/>
    <w:bookmarkEnd w:id="142"/>
    <w:bookmarkEnd w:id="143"/>
    <w:bookmarkStart w:id="14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4"/>
    <w:bookmarkEnd w:id="145"/>
    <w:bookmarkStart w:id="244" w:name="references"/>
    <w:p>
      <w:pPr>
        <w:pStyle w:val="Heading1"/>
      </w:pPr>
      <w:r>
        <w:t xml:space="preserve">References</w:t>
      </w:r>
    </w:p>
    <w:bookmarkStart w:id="243" w:name="refs"/>
    <w:bookmarkStart w:id="14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6">
        <w:r>
          <w:rPr>
            <w:rStyle w:val="Hyperlink"/>
          </w:rPr>
          <w:t xml:space="preserve">https://CRAN.R-project.org/package=marginaleffects</w:t>
        </w:r>
      </w:hyperlink>
    </w:p>
    <w:bookmarkEnd w:id="147"/>
    <w:bookmarkStart w:id="14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8">
        <w:r>
          <w:rPr>
            <w:rStyle w:val="Hyperlink"/>
          </w:rPr>
          <w:t xml:space="preserve">https://doi.org/10.18637/jss.v111.i09</w:t>
        </w:r>
      </w:hyperlink>
    </w:p>
    <w:bookmarkEnd w:id="149"/>
    <w:bookmarkStart w:id="15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0">
        <w:r>
          <w:rPr>
            <w:rStyle w:val="Hyperlink"/>
          </w:rPr>
          <w:t xml:space="preserve">https://doi.org/10.2307/2983678</w:t>
        </w:r>
      </w:hyperlink>
    </w:p>
    <w:bookmarkEnd w:id="151"/>
    <w:bookmarkStart w:id="15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2">
        <w:r>
          <w:rPr>
            <w:rStyle w:val="Hyperlink"/>
          </w:rPr>
          <w:t xml:space="preserve">https://doi.org/10.1037/met0000553</w:t>
        </w:r>
      </w:hyperlink>
    </w:p>
    <w:bookmarkEnd w:id="153"/>
    <w:bookmarkStart w:id="15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4">
        <w:r>
          <w:rPr>
            <w:rStyle w:val="Hyperlink"/>
          </w:rPr>
          <w:t xml:space="preserve">https://doi.org/10.32614/RJ-2017-066</w:t>
        </w:r>
      </w:hyperlink>
    </w:p>
    <w:bookmarkEnd w:id="155"/>
    <w:bookmarkStart w:id="15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6">
        <w:r>
          <w:rPr>
            <w:rStyle w:val="Hyperlink"/>
          </w:rPr>
          <w:t xml:space="preserve">https://doi.org/10.18637/jss.v080.i01</w:t>
        </w:r>
      </w:hyperlink>
    </w:p>
    <w:bookmarkEnd w:id="157"/>
    <w:bookmarkStart w:id="15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8">
        <w:r>
          <w:rPr>
            <w:rStyle w:val="Hyperlink"/>
          </w:rPr>
          <w:t xml:space="preserve">https://mc-stan.org/posterior/</w:t>
        </w:r>
      </w:hyperlink>
    </w:p>
    <w:bookmarkEnd w:id="159"/>
    <w:bookmarkStart w:id="16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0">
        <w:r>
          <w:rPr>
            <w:rStyle w:val="Hyperlink"/>
          </w:rPr>
          <w:t xml:space="preserve">https://doi.org/10.1177/2515245918823199</w:t>
        </w:r>
      </w:hyperlink>
    </w:p>
    <w:bookmarkEnd w:id="161"/>
    <w:bookmarkStart w:id="16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2">
        <w:r>
          <w:rPr>
            <w:rStyle w:val="Hyperlink"/>
          </w:rPr>
          <w:t xml:space="preserve">https://doi.org/10.3758/s13423-013-0442-z</w:t>
        </w:r>
      </w:hyperlink>
    </w:p>
    <w:bookmarkEnd w:id="163"/>
    <w:bookmarkStart w:id="16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4"/>
    <w:bookmarkStart w:id="16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5">
        <w:r>
          <w:rPr>
            <w:rStyle w:val="Hyperlink"/>
          </w:rPr>
          <w:t xml:space="preserve">https://doi.org/10.31219/osf.io/f9rqg_v1</w:t>
        </w:r>
      </w:hyperlink>
      <w:r>
        <w:t xml:space="preserve">.</w:t>
      </w:r>
    </w:p>
    <w:bookmarkEnd w:id="166"/>
    <w:bookmarkStart w:id="16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67">
        <w:r>
          <w:rPr>
            <w:rStyle w:val="Hyperlink"/>
          </w:rPr>
          <w:t xml:space="preserve">https://doi.org/10.1126/science.adq1814</w:t>
        </w:r>
      </w:hyperlink>
    </w:p>
    <w:bookmarkEnd w:id="168"/>
    <w:bookmarkStart w:id="17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9">
        <w:r>
          <w:rPr>
            <w:rStyle w:val="Hyperlink"/>
          </w:rPr>
          <w:t xml:space="preserve">https://doi.org/10.18637/jss.v034.i02</w:t>
        </w:r>
      </w:hyperlink>
    </w:p>
    <w:bookmarkEnd w:id="170"/>
    <w:bookmarkStart w:id="17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1">
        <w:r>
          <w:rPr>
            <w:rStyle w:val="Hyperlink"/>
          </w:rPr>
          <w:t xml:space="preserve">https://nixos.org/</w:t>
        </w:r>
      </w:hyperlink>
    </w:p>
    <w:bookmarkEnd w:id="172"/>
    <w:bookmarkStart w:id="17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3">
        <w:r>
          <w:rPr>
            <w:rStyle w:val="Hyperlink"/>
          </w:rPr>
          <w:t xml:space="preserve">https://doi.org/10.1080/0266476042000214501</w:t>
        </w:r>
      </w:hyperlink>
    </w:p>
    <w:bookmarkEnd w:id="174"/>
    <w:bookmarkStart w:id="17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5">
        <w:r>
          <w:rPr>
            <w:rStyle w:val="Hyperlink"/>
          </w:rPr>
          <w:t xml:space="preserve">https://doi.org/10.1007/s11121-021-01302-y</w:t>
        </w:r>
      </w:hyperlink>
    </w:p>
    <w:bookmarkEnd w:id="176"/>
    <w:bookmarkStart w:id="17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7">
        <w:r>
          <w:rPr>
            <w:rStyle w:val="Hyperlink"/>
          </w:rPr>
          <w:t xml:space="preserve">https://mc-stan.org/cmdstanr/</w:t>
        </w:r>
      </w:hyperlink>
    </w:p>
    <w:bookmarkEnd w:id="178"/>
    <w:bookmarkStart w:id="18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9">
        <w:r>
          <w:rPr>
            <w:rStyle w:val="Hyperlink"/>
          </w:rPr>
          <w:t xml:space="preserve">https://stat.columbia.edu/~gelman/book/</w:t>
        </w:r>
      </w:hyperlink>
    </w:p>
    <w:bookmarkEnd w:id="180"/>
    <w:bookmarkStart w:id="18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1">
        <w:r>
          <w:rPr>
            <w:rStyle w:val="Hyperlink"/>
          </w:rPr>
          <w:t xml:space="preserve">http://dx.doi.org/10.59350/7p1a4-0tw75</w:t>
        </w:r>
      </w:hyperlink>
    </w:p>
    <w:bookmarkEnd w:id="182"/>
    <w:bookmarkStart w:id="18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3">
        <w:r>
          <w:rPr>
            <w:rStyle w:val="Hyperlink"/>
          </w:rPr>
          <w:t xml:space="preserve">https://doi.org/10.1525/collabra.140755</w:t>
        </w:r>
      </w:hyperlink>
    </w:p>
    <w:bookmarkEnd w:id="184"/>
    <w:bookmarkStart w:id="18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5"/>
    <w:bookmarkStart w:id="187"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6">
        <w:r>
          <w:rPr>
            <w:rStyle w:val="Hyperlink"/>
          </w:rPr>
          <w:t xml:space="preserve">https://doi.org/10.1016/j.wocn.2016.08.006</w:t>
        </w:r>
      </w:hyperlink>
    </w:p>
    <w:bookmarkEnd w:id="187"/>
    <w:bookmarkStart w:id="189"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88">
        <w:r>
          <w:rPr>
            <w:rStyle w:val="Hyperlink"/>
          </w:rPr>
          <w:t xml:space="preserve">https://doi.org/10.1111/j.1467-9280.2008.02127.x</w:t>
        </w:r>
      </w:hyperlink>
    </w:p>
    <w:bookmarkEnd w:id="189"/>
    <w:bookmarkStart w:id="190"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0"/>
    <w:bookmarkStart w:id="192"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1">
        <w:r>
          <w:rPr>
            <w:rStyle w:val="Hyperlink"/>
          </w:rPr>
          <w:t xml:space="preserve">https://doi.org/10.1017/pan.2022.20</w:t>
        </w:r>
      </w:hyperlink>
    </w:p>
    <w:bookmarkEnd w:id="192"/>
    <w:bookmarkStart w:id="194"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3">
        <w:r>
          <w:rPr>
            <w:rStyle w:val="Hyperlink"/>
          </w:rPr>
          <w:t xml:space="preserve">https://CRAN.R-project.org/package=ordbetareg</w:t>
        </w:r>
      </w:hyperlink>
    </w:p>
    <w:bookmarkEnd w:id="194"/>
    <w:bookmarkStart w:id="196"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95">
        <w:r>
          <w:rPr>
            <w:rStyle w:val="Hyperlink"/>
          </w:rPr>
          <w:t xml:space="preserve">https://doi.org/10.32614/CRAN.package.emmeans</w:t>
        </w:r>
      </w:hyperlink>
    </w:p>
    <w:bookmarkEnd w:id="196"/>
    <w:bookmarkStart w:id="198"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7">
        <w:r>
          <w:rPr>
            <w:rStyle w:val="Hyperlink"/>
          </w:rPr>
          <w:t xml:space="preserve">https://doi.org/10.32614/rj-2015-019</w:t>
        </w:r>
      </w:hyperlink>
    </w:p>
    <w:bookmarkEnd w:id="198"/>
    <w:bookmarkStart w:id="200"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9">
        <w:r>
          <w:rPr>
            <w:rStyle w:val="Hyperlink"/>
          </w:rPr>
          <w:t xml:space="preserve">https://easystats.github.io/easystats/</w:t>
        </w:r>
      </w:hyperlink>
    </w:p>
    <w:bookmarkEnd w:id="200"/>
    <w:bookmarkStart w:id="202"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1">
        <w:r>
          <w:rPr>
            <w:rStyle w:val="Hyperlink"/>
          </w:rPr>
          <w:t xml:space="preserve">https://doi.org/10.3389/fpsyg.2019.02767</w:t>
        </w:r>
      </w:hyperlink>
    </w:p>
    <w:bookmarkEnd w:id="202"/>
    <w:bookmarkStart w:id="204"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3">
        <w:r>
          <w:rPr>
            <w:rStyle w:val="Hyperlink"/>
          </w:rPr>
          <w:t xml:space="preserve">https://doi.org/10.21105/joss.01541</w:t>
        </w:r>
      </w:hyperlink>
    </w:p>
    <w:bookmarkEnd w:id="204"/>
    <w:bookmarkStart w:id="206"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05">
        <w:r>
          <w:rPr>
            <w:rStyle w:val="Hyperlink"/>
          </w:rPr>
          <w:t xml:space="preserve">https://doi.org/10.1177/0013164416669201</w:t>
        </w:r>
      </w:hyperlink>
    </w:p>
    <w:bookmarkEnd w:id="206"/>
    <w:bookmarkStart w:id="208"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7">
        <w:r>
          <w:rPr>
            <w:rStyle w:val="Hyperlink"/>
          </w:rPr>
          <w:t xml:space="preserve">https://doi.org/10.1098/rsos.231713</w:t>
        </w:r>
      </w:hyperlink>
    </w:p>
    <w:bookmarkEnd w:id="208"/>
    <w:bookmarkStart w:id="210"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9">
        <w:r>
          <w:rPr>
            <w:rStyle w:val="Hyperlink"/>
          </w:rPr>
          <w:t xml:space="preserve">https://doi.org/10.1201/9780429029608</w:t>
        </w:r>
      </w:hyperlink>
    </w:p>
    <w:bookmarkEnd w:id="210"/>
    <w:bookmarkStart w:id="212"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1">
        <w:r>
          <w:rPr>
            <w:rStyle w:val="Hyperlink"/>
          </w:rPr>
          <w:t xml:space="preserve">https://doi.org/10.2307/2344614</w:t>
        </w:r>
      </w:hyperlink>
    </w:p>
    <w:bookmarkEnd w:id="212"/>
    <w:bookmarkStart w:id="214"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3">
        <w:r>
          <w:rPr>
            <w:rStyle w:val="Hyperlink"/>
          </w:rPr>
          <w:t xml:space="preserve">https://www.sciencedirect.com/science/article/pii/S0048969723041505</w:t>
        </w:r>
      </w:hyperlink>
    </w:p>
    <w:bookmarkEnd w:id="214"/>
    <w:bookmarkStart w:id="216"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15">
        <w:r>
          <w:rPr>
            <w:rStyle w:val="Hyperlink"/>
          </w:rPr>
          <w:t xml:space="preserve">https://doi.org/10.1093/oxfordjournals.pan.a004873</w:t>
        </w:r>
      </w:hyperlink>
    </w:p>
    <w:bookmarkEnd w:id="216"/>
    <w:bookmarkStart w:id="218"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7">
        <w:r>
          <w:rPr>
            <w:rStyle w:val="Hyperlink"/>
          </w:rPr>
          <w:t xml:space="preserve">https://www.R-project.org/</w:t>
        </w:r>
      </w:hyperlink>
    </w:p>
    <w:bookmarkEnd w:id="218"/>
    <w:bookmarkStart w:id="220"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9">
        <w:r>
          <w:rPr>
            <w:rStyle w:val="Hyperlink"/>
          </w:rPr>
          <w:t xml:space="preserve">https://docs.ropensci.org/rix/</w:t>
        </w:r>
      </w:hyperlink>
    </w:p>
    <w:bookmarkEnd w:id="220"/>
    <w:bookmarkStart w:id="222"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1">
        <w:r>
          <w:rPr>
            <w:rStyle w:val="Hyperlink"/>
          </w:rPr>
          <w:t xml:space="preserve">https://doi.org/10.1177/08902070241239834</w:t>
        </w:r>
      </w:hyperlink>
    </w:p>
    <w:bookmarkEnd w:id="222"/>
    <w:bookmarkStart w:id="224"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3">
        <w:r>
          <w:rPr>
            <w:rStyle w:val="Hyperlink"/>
          </w:rPr>
          <w:t xml:space="preserve">https://doi.org/10.31234/osf.io/4rznt</w:t>
        </w:r>
      </w:hyperlink>
    </w:p>
    <w:bookmarkEnd w:id="224"/>
    <w:bookmarkStart w:id="226"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25">
        <w:r>
          <w:rPr>
            <w:rStyle w:val="Hyperlink"/>
          </w:rPr>
          <w:t xml:space="preserve">https://doi.org/10.1001/jamanetworkopen.2023.53401</w:t>
        </w:r>
      </w:hyperlink>
    </w:p>
    <w:bookmarkEnd w:id="226"/>
    <w:bookmarkStart w:id="228"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7">
        <w:r>
          <w:rPr>
            <w:rStyle w:val="Hyperlink"/>
          </w:rPr>
          <w:t xml:space="preserve">https://doi.org/10.1037/1082-989x.11.1.54</w:t>
        </w:r>
      </w:hyperlink>
    </w:p>
    <w:bookmarkEnd w:id="228"/>
    <w:bookmarkStart w:id="230"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9">
        <w:r>
          <w:rPr>
            <w:rStyle w:val="Hyperlink"/>
          </w:rPr>
          <w:t xml:space="preserve">https://mc-stan.org</w:t>
        </w:r>
      </w:hyperlink>
    </w:p>
    <w:bookmarkEnd w:id="230"/>
    <w:bookmarkStart w:id="232"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1">
        <w:r>
          <w:rPr>
            <w:rStyle w:val="Hyperlink"/>
          </w:rPr>
          <w:t xml:space="preserve">https://doi.org/10.1007/s11409-017-9175-0</w:t>
        </w:r>
      </w:hyperlink>
    </w:p>
    <w:bookmarkEnd w:id="232"/>
    <w:bookmarkStart w:id="234"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3">
        <w:r>
          <w:rPr>
            <w:rStyle w:val="Hyperlink"/>
          </w:rPr>
          <w:t xml:space="preserve">https://vuorre.com/posts/2019-02-18-analyze-analog-scale-ratings-with-zero-one-inflated-beta-models</w:t>
        </w:r>
      </w:hyperlink>
    </w:p>
    <w:bookmarkEnd w:id="234"/>
    <w:bookmarkStart w:id="236"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35">
        <w:r>
          <w:rPr>
            <w:rStyle w:val="Hyperlink"/>
          </w:rPr>
          <w:t xml:space="preserve">https://r4ds.hadley.nz/</w:t>
        </w:r>
      </w:hyperlink>
    </w:p>
    <w:bookmarkEnd w:id="236"/>
    <w:bookmarkStart w:id="238"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7">
        <w:r>
          <w:rPr>
            <w:rStyle w:val="Hyperlink"/>
          </w:rPr>
          <w:t xml:space="preserve">https://doi.org/10.1002/acp.3724</w:t>
        </w:r>
      </w:hyperlink>
    </w:p>
    <w:bookmarkEnd w:id="238"/>
    <w:bookmarkStart w:id="240"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9">
        <w:r>
          <w:rPr>
            <w:rStyle w:val="Hyperlink"/>
          </w:rPr>
          <w:t xml:space="preserve">https://doi.org/10.1111/gcb.17422</w:t>
        </w:r>
      </w:hyperlink>
    </w:p>
    <w:bookmarkEnd w:id="240"/>
    <w:bookmarkStart w:id="242"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1">
        <w:r>
          <w:rPr>
            <w:rStyle w:val="Hyperlink"/>
          </w:rPr>
          <w:t xml:space="preserve">https://doi.org/10.1037/mac0000003</w:t>
        </w:r>
      </w:hyperlink>
    </w:p>
    <w:bookmarkEnd w:id="242"/>
    <w:bookmarkEnd w:id="243"/>
    <w:sectPr>
      <w:lnNumType w:countBy="1" w:restart="continuous"/>
    </w:sectPr>
    <w:bookmarkEnd w:id="244"/>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4">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6" Target="media/rId136.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2" Target="media/rId132.png" /><Relationship Type="http://schemas.openxmlformats.org/officeDocument/2006/relationships/image" Id="rId70" Target="media/rId70.png" /><Relationship Type="http://schemas.openxmlformats.org/officeDocument/2006/relationships/image" Id="rId108" Target="media/rId108.png" /><Relationship Type="http://schemas.openxmlformats.org/officeDocument/2006/relationships/image" Id="rId115" Target="media/rId115.png" /><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9389</vt:lpwstr>
  </property>
  <property fmtid="{D5CDD505-2E9C-101B-9397-08002B2CF9AE}" pid="63" name="zerocitations">
    <vt:lpwstr>False</vt:lpwstr>
  </property>
</Properties>
</file>