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10565</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-0.004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4360     2830</w:t>
      </w:r>
      <w:r>
        <w:br/>
      </w:r>
      <w:r>
        <w:rPr>
          <w:rStyle w:val="VerbatimChar"/>
        </w:rPr>
        <w:t xml:space="preserve">FluencyFluent     0.08      0.04    -0.00     0.17 1.00     4149     3015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4390     3193</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t xml:space="preserve">Importantly,</w:t>
      </w:r>
      <w:r>
        <w:t xml:space="preserve"> </w:t>
      </w:r>
      <w:r>
        <w:rPr>
          <w:i/>
          <w:iCs/>
        </w:rPr>
        <w:t xml:space="preserve">pd</w:t>
      </w:r>
      <w:r>
        <w:t xml:space="preserve"> </w:t>
      </w:r>
      <w: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t xml:space="preserve"> </w:t>
      </w:r>
      <w:r>
        <w:t xml:space="preserve">(Kruschke, 2015)</w:t>
      </w:r>
      <w:r>
        <w:t xml:space="preserve">. Unlike a hypothesis test of a point null (e.g., exactly zero), the ROPE defines a range of values that are deemed too small to be of substantive importance. As a rule of thumb</w:t>
      </w:r>
      <w:r>
        <w:t xml:space="preserve"> </w:t>
      </w:r>
      <w:r>
        <w:t xml:space="preserve">(see Kruschke, 2018)</w:t>
      </w:r>
      <w: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t xml:space="preserve">The</w:t>
      </w:r>
      <w:r>
        <w:t xml:space="preserve"> </w:t>
      </w:r>
      <w:r>
        <w:rPr>
          <w:rStyle w:val="VerbatimChar"/>
        </w:rPr>
        <w:t xml:space="preserve">rope()</w:t>
      </w:r>
      <w:r>
        <w:t xml:space="preserve"> </w:t>
      </w:r>
      <w:r>
        <w:t xml:space="preserve">function in the</w:t>
      </w:r>
      <w:r>
        <w:t xml:space="preserve"> </w:t>
      </w:r>
      <w:r>
        <w:rPr>
          <w:rStyle w:val="VerbatimChar"/>
        </w:rPr>
        <w:t xml:space="preserve">bayestestR</w:t>
      </w:r>
      <w:r>
        <w:t xml:space="preserve"> </w:t>
      </w:r>
      <w:r>
        <w:t xml:space="preserve">package computes the proportion of the posterior within the ROPE to facilitate this evaluation. By default, from bayesian models fit via</w:t>
      </w:r>
      <w:r>
        <w:t xml:space="preserve"> </w:t>
      </w:r>
      <w:r>
        <w:rPr>
          <w:rStyle w:val="VerbatimChar"/>
        </w:rPr>
        <w:t xml:space="preserve">brms</w:t>
      </w:r>
      <w:r>
        <w:t xml:space="preserve"> </w:t>
      </w:r>
      <w:r>
        <w:t xml:space="preserve">the package determines a ROPE based on the data (roughly reflecting</w:t>
      </w:r>
      <w:r>
        <w:t xml:space="preserve"> </w:t>
      </w:r>
      <w:r>
        <w:t xml:space="preserve">“negligible”</w:t>
      </w:r>
      <w:r>
        <w:t xml:space="preserve"> </w:t>
      </w:r>
      <w:r>
        <w:t xml:space="preserve">effects), but these defaults should be used cautiously. The choice of ROPE should ultimately be guided by theoretical considerations, prior research, and the substantive context of the study. In</w:t>
      </w:r>
      <w:r>
        <w:t xml:space="preserve"> </w:t>
      </w:r>
      <w:r>
        <w:rPr>
          <w:b/>
          <w:bCs/>
        </w:rPr>
        <w:t xml:space="preserve">?@lst-rope</w:t>
      </w:r>
      <w:r>
        <w:t xml:space="preserve">, we show how to compute this using</w:t>
      </w:r>
      <w:r>
        <w:t xml:space="preserve"> </w:t>
      </w:r>
      <w:r>
        <w:rPr>
          <w:rStyle w:val="VerbatimChar"/>
        </w:rPr>
        <w:t xml:space="preserve">bayestestR</w:t>
      </w:r>
      <w:r>
        <w:t xml:space="preserve">. Running the function with default settings suggests that less than 5% of the posterior distribution lies within the default ROPE (indicating the effect is larger than .02) (see</w:t>
      </w:r>
      <w:r>
        <w:t xml:space="preserve"> </w:t>
      </w:r>
      <w:hyperlink w:anchor="fig-rope">
        <w:r>
          <w:rPr>
            <w:rStyle w:val="Hyperlink"/>
          </w:rPr>
          <w:t xml:space="preserve">Figure 4</w:t>
        </w:r>
      </w:hyperlink>
      <w: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[3.296, 7.337]</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[0.854, 2.735]</w:t>
            </w:r>
          </w:p>
        </w:tc>
        <w:tc>
          <w:tcPr/>
          <w:p>
            <w:pPr>
              <w:pStyle w:val="Compact"/>
            </w:pPr>
            <w:r>
              <w:t xml:space="preserve">0.925</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[0.249, 0.346]</w:t>
            </w:r>
          </w:p>
        </w:tc>
      </w:tr>
      <w:tr>
        <w:tc>
          <w:tcPr/>
          <w:p>
            <w:pPr>
              <w:pStyle w:val="Compact"/>
            </w:pPr>
            <w:r>
              <w:t xml:space="preserve">Fluent</w:t>
            </w:r>
          </w:p>
        </w:tc>
        <w:tc>
          <w:tcPr/>
          <w:p>
            <w:pPr>
              <w:pStyle w:val="Compact"/>
            </w:pPr>
            <w:r>
              <w:t xml:space="preserve">0.353</w:t>
            </w:r>
          </w:p>
        </w:tc>
        <w:tc>
          <w:tcPr/>
          <w:p>
            <w:pPr>
              <w:pStyle w:val="Compact"/>
            </w:pPr>
            <w:r>
              <w:t xml:space="preserve">[0.303, 0.407]</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[-0.014, 0.13]</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0.118]</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[-0.89, 6.662]</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0.136]</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-2.43]</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504749" cy="3400711"/>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504749" cy="3400711"/>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4" w:name="references"/>
    <w:p>
      <w:pPr>
        <w:pStyle w:val="Heading1"/>
      </w:pPr>
      <w:r>
        <w:t xml:space="preserve">References</w:t>
      </w:r>
    </w:p>
    <w:bookmarkStart w:id="263"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mments">
    <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10565</vt:lpwstr>
  </property>
  <property fmtid="{D5CDD505-2E9C-101B-9397-08002B2CF9AE}" pid="67" name="zerocitations">
    <vt:lpwstr>False</vt:lpwstr>
  </property>
</Properties>
</file>