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8.png" ContentType="image/png"/>
  <Override PartName="/word/media/rId63.png" ContentType="image/png"/>
  <Override PartName="/word/media/rId146.png" ContentType="image/png"/>
  <Override PartName="/word/media/rId54.png" ContentType="image/png"/>
  <Override PartName="/word/media/rId88.png" ContentType="image/png"/>
  <Override PartName="/word/media/rId80.png" ContentType="image/png"/>
  <Override PartName="/word/media/rId142.png" ContentType="image/png"/>
  <Override PartName="/word/media/rId76.png" ContentType="image/png"/>
  <Override PartName="/word/media/rId117.png" ContentType="image/png"/>
  <Override PartName="/word/media/rId1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10504</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time a participant fixates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proportion of respondents agreeing with a given statement or belief</w:t>
      </w:r>
      <w:r>
        <w:t xml:space="preserve"> </w:t>
      </w:r>
      <w:r>
        <w:t xml:space="preserve">(e.g.,</w:t>
      </w:r>
      <w:r>
        <w:t xml:space="preserve"> </w:t>
      </w:r>
      <w:hyperlink w:anchor="ref-Costello2024">
        <w:r>
          <w:rPr>
            <w:rStyle w:val="Hyperlink"/>
          </w:rPr>
          <w:t xml:space="preserve">Costello et al., 2024</w:t>
        </w:r>
      </w:hyperlink>
      <w:r>
        <w:t xml:space="preserve">)</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w:t>
      </w:r>
      <w:hyperlink w:anchor="ref-sladekova2024unicorns">
        <w:r>
          <w:rPr>
            <w:rStyle w:val="Hyperlink"/>
          </w:rPr>
          <w:t xml:space="preserve">Sladekova &amp; Field, 2024</w:t>
        </w:r>
      </w:hyperlink>
      <w:r>
        <w:t xml:space="preserve">)</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)(see</w:t>
      </w:r>
      <w:r>
        <w:t xml:space="preserve"> </w:t>
      </w:r>
      <w:hyperlink w:anchor="fig-p-value-pd-comp">
        <w:r>
          <w:rPr>
            <w:rStyle w:val="Hyperlink"/>
          </w:rPr>
          <w:t xml:space="preserve">Figure 2</w:t>
        </w:r>
      </w:hyperlink>
      <w:r>
        <w:t xml:space="preserve"> </w:t>
      </w:r>
      <w:r>
        <w:t xml:space="preserve">for a visual description of how the</w:t>
      </w:r>
      <w:r>
        <w:t xml:space="preserve"> </w:t>
      </w:r>
      <w:r>
        <w:rPr>
          <w:i/>
          <w:iCs/>
        </w:rPr>
        <w:t xml:space="preserve">pd</w:t>
      </w:r>
      <w:r>
        <w:t xml:space="preserve"> </w:t>
      </w:r>
      <w:r>
        <w:t xml:space="preserve">and</w:t>
      </w:r>
      <w:r>
        <w:t xml:space="preserve"> </w:t>
      </w:r>
      <w:r>
        <w:rPr>
          <w:i/>
          <w:iCs/>
        </w:rPr>
        <w:t xml:space="preserve">p</w:t>
      </w:r>
      <w:r>
        <w:t xml:space="preserve">-value are related).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bookmarkStart w:id="57" w:name="fig-p-value-pd-comp"/>
    <w:p>
      <w:pPr>
        <w:pStyle w:val="FigureTitle"/>
      </w:pPr>
      <w:r>
        <w:t xml:space="preserve">Figure 2</w:t>
      </w:r>
    </w:p>
    <w:p>
      <w:pPr>
        <w:pStyle w:val="Caption"/>
      </w:pPr>
      <w:r>
        <w:t xml:space="preserve">A Bayesian posterior distribution (assuming uniform prior) centered around the point estimate 1.645 and a Frequentist sampling distribution (under the null; centered at 0). In the Bayesian posterior distribution, the blue area represents the</w:t>
      </w:r>
      <w:r>
        <w:t xml:space="preserve"> </w:t>
      </w:r>
      <m:oMath>
        <m:r>
          <m:t>α</m:t>
        </m:r>
      </m:oMath>
      <w:r>
        <w:t xml:space="preserve"> </w:t>
      </w:r>
      <w:r>
        <w:t xml:space="preserve">probability of direction (pd), and the red area represents</w:t>
      </w:r>
      <w:r>
        <w:t xml:space="preserve"> </w:t>
      </w:r>
      <m:oMath>
        <m:r>
          <m:t>1</m:t>
        </m:r>
        <m:r>
          <m:rPr>
            <m:sty m:val="p"/>
          </m:rPr>
          <m:t>−</m:t>
        </m:r>
        <m:r>
          <m:t>α</m:t>
        </m:r>
      </m:oMath>
      <w:r>
        <w:t xml:space="preserve"> </w:t>
      </w:r>
      <w:r>
        <w:t xml:space="preserve">of the distribution. In the Frequentist sampling distribution, the red tail areas represent the rejection region at</w:t>
      </w:r>
      <w:r>
        <w:t xml:space="preserve"> </w:t>
      </w:r>
      <m:oMath>
        <m:r>
          <m:t>α</m:t>
        </m:r>
        <m:r>
          <m:rPr>
            <m:sty m:val="p"/>
          </m:rPr>
          <m:t>=</m:t>
        </m:r>
        <m:r>
          <m:t>0.1</m:t>
        </m:r>
      </m:oMath>
      <w:r>
        <w:t xml:space="preserve">. Note that the mean estimate for the Bayesian posterior distribution falls exactly at the</w:t>
      </w:r>
      <w:r>
        <w:t xml:space="preserve"> </w:t>
      </w:r>
      <m:oMath>
        <m:r>
          <m:t>1</m:t>
        </m:r>
        <m:r>
          <m:rPr>
            <m:sty m:val="p"/>
          </m:rPr>
          <m:t>−</m:t>
        </m:r>
        <m:f>
          <m:fPr>
            <m:type m:val="bar"/>
          </m:fPr>
          <m:num>
            <m:r>
              <m:t>α</m:t>
            </m:r>
          </m:num>
          <m:den>
            <m:r>
              <m:t>2</m:t>
            </m:r>
          </m:den>
        </m:f>
      </m:oMath>
      <w:r>
        <w:t xml:space="preserve"> </w:t>
      </w:r>
      <w:r>
        <w:t xml:space="preserve">cutoff in the Frequentist sampling distribution. In this sense, the pd is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8"/>
    <w:bookmarkEnd w:id="59"/>
    <w:bookmarkStart w:id="153"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0.005 to 0.162.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3794     2873</w:t>
      </w:r>
      <w:r>
        <w:br/>
      </w:r>
      <w:r>
        <w:rPr>
          <w:rStyle w:val="VerbatimChar"/>
        </w:rPr>
        <w:t xml:space="preserve">FluencyFluent     0.08      0.04     0.00     0.16 1.00     4061     2914</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4277     3197</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w:t>
      </w:r>
      <w:hyperlink w:anchor="ref-makowski2019a">
        <w:r>
          <w:rPr>
            <w:rStyle w:val="Hyperlink"/>
          </w:rPr>
          <w:t xml:space="preserve">Makowski, Ben-Shachar, Chen, et al., 2019</w:t>
        </w:r>
      </w:hyperlink>
      <w:r>
        <w:t xml:space="preserve">;</w:t>
      </w:r>
      <w:r>
        <w:t xml:space="preserve"> </w:t>
      </w:r>
      <w:hyperlink w:anchor="ref-makowski2019">
        <w:r>
          <w:rPr>
            <w:rStyle w:val="Hyperlink"/>
          </w:rPr>
          <w:t xml:space="preserve">Makowski, Ben-Shachar, &amp; Lüdecke, 2019</w:t>
        </w:r>
      </w:hyperlink>
      <w:r>
        <w:t xml:space="preserve">)</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p>
      <w:pPr>
        <w:pStyle w:val="FirstParagraph"/>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w:t>
      </w:r>
      <w:r>
        <w:t xml:space="preserve"> </w:t>
      </w:r>
      <w:r>
        <w:rPr>
          <w:b/>
          <w:bCs/>
        </w:rPr>
        <w:t xml:space="preserve">?@tbl-hypo</w:t>
      </w:r>
      <w:r>
        <w:t xml:space="preserve"> </w:t>
      </w:r>
      <w:r>
        <w:t xml:space="preserve">The evidence ratio (ER) for the fluency effect is 49, providing very strong evidence that the effect is both non-zero and positive</w:t>
      </w:r>
      <w:r>
        <w:t xml:space="preserve"> </w:t>
      </w:r>
      <w:r>
        <w:t xml:space="preserve">(</w:t>
      </w:r>
      <w:hyperlink w:anchor="ref-jeffries1961">
        <w:r>
          <w:rPr>
            <w:rStyle w:val="Hyperlink"/>
          </w:rPr>
          <w:t xml:space="preserve">Jeffries, 1961</w:t>
        </w:r>
      </w:hyperlink>
      <w:r>
        <w:t xml:space="preserve">;</w:t>
      </w:r>
      <w:r>
        <w:t xml:space="preserve"> </w:t>
      </w:r>
      <w:hyperlink w:anchor="ref-kass1995">
        <w:r>
          <w:rPr>
            <w:rStyle w:val="Hyperlink"/>
          </w:rPr>
          <w:t xml:space="preserve">Kass &amp; Raftery, 1995</w:t>
        </w:r>
      </w:hyperlink>
      <w:r>
        <w:t xml:space="preserve">)</w:t>
      </w:r>
      <w:r>
        <w:t xml:space="preserve">.</w:t>
      </w:r>
    </w:p>
    <w:bookmarkStart w:id="72" w:name="tbl-hypo"/>
    <w:tbl>
      <w:tblPr>
        <w:tblStyle w:val="Table"/>
        <w:tblW w:type="pct" w:w="3611"/>
        <w:tblLayout w:type="fixed"/>
        <w:tblLook w:firstRow="1" w:lastRow="0" w:firstColumn="0" w:lastColumn="0" w:noHBand="0" w:noVBand="0" w:val="0020"/>
      </w:tblPr>
      <w:tblGrid>
        <w:gridCol w:w="2420"/>
        <w:gridCol w:w="880"/>
        <w:gridCol w:w="1870"/>
        <w:gridCol w:w="55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[0.018, 0.152]</w:t>
            </w:r>
          </w:p>
        </w:tc>
        <w:tc>
          <w:tcPr/>
          <w:p>
            <w:pPr>
              <w:pStyle w:val="Compact"/>
            </w:pPr>
            <w:r>
              <w:t xml:space="preserve">49</w:t>
            </w:r>
          </w:p>
        </w:tc>
      </w:tr>
    </w:tbl>
    <w:bookmarkEnd w:id="72"/>
    <w:bookmarkEnd w:id="73"/>
    <w:bookmarkEnd w:id="74"/>
    <w:bookmarkStart w:id="110"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[3.306, 7.241]</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[0.857, 2.664]</w:t>
            </w:r>
          </w:p>
        </w:tc>
        <w:tc>
          <w:tcPr/>
          <w:p>
            <w:pPr>
              <w:pStyle w:val="Compact"/>
            </w:pPr>
            <w:r>
              <w:t xml:space="preserve">0.923</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[0.248, 0.349]</w:t>
            </w:r>
          </w:p>
        </w:tc>
      </w:tr>
      <w:tr>
        <w:tc>
          <w:tcPr/>
          <w:p>
            <w:pPr>
              <w:pStyle w:val="Compact"/>
            </w:pPr>
            <w:r>
              <w:t xml:space="preserve">Fluent</w:t>
            </w:r>
          </w:p>
        </w:tc>
        <w:tc>
          <w:tcPr/>
          <w:p>
            <w:pPr>
              <w:pStyle w:val="Compact"/>
            </w:pPr>
            <w:r>
              <w:t xml:space="preserve">0.354</w:t>
            </w:r>
          </w:p>
        </w:tc>
        <w:tc>
          <w:tcPr/>
          <w:p>
            <w:pPr>
              <w:pStyle w:val="Compact"/>
            </w:pPr>
            <w:r>
              <w:t xml:space="preserve">[0.302, 0.409]</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8"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[-0.017, 0.132]</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bookmarkStart w:id="106" w:name="tbl-or"/>
    <w:p>
      <w:pPr>
        <w:pStyle w:val="FigureTitle"/>
      </w:pPr>
      <w:r>
        <w:t xml:space="preserve">Table 7</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759"/>
        <w:gridCol w:w="1844"/>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1.3</w:t>
            </w:r>
          </w:p>
        </w:tc>
        <w:tc>
          <w:tcPr/>
          <w:p>
            <w:pPr>
              <w:pStyle w:val="Compact"/>
            </w:pPr>
            <w:r>
              <w:t xml:space="preserve">[0.927, 1.822]</w:t>
            </w:r>
          </w:p>
        </w:tc>
      </w:tr>
    </w:tbl>
    <w:bookmarkEnd w:id="106"/>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7"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7"/>
    </w:p>
    <w:bookmarkEnd w:id="108"/>
    <w:bookmarkStart w:id="109"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9"/>
    <w:bookmarkEnd w:id="110"/>
    <w:bookmarkStart w:id="12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1"/>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2"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2"/>
        </w:tc>
      </w:tr>
    </w:tbl>
    <w:bookmarkStart w:id="113"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3"/>
    <w:bookmarkStart w:id="11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4"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[-0.029, 0.117]</w:t>
            </w:r>
          </w:p>
        </w:tc>
      </w:tr>
    </w:tbl>
    <w:bookmarkEnd w:id="11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5"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2.72</w:t>
            </w:r>
          </w:p>
        </w:tc>
        <w:tc>
          <w:tcPr/>
          <w:p>
            <w:pPr>
              <w:pStyle w:val="Compact"/>
            </w:pPr>
            <w:r>
              <w:t xml:space="preserve">[-0.907, 6.762]</w:t>
            </w:r>
          </w:p>
        </w:tc>
      </w:tr>
    </w:tbl>
    <w:bookmarkEnd w:id="115"/>
    <w:bookmarkEnd w:id="116"/>
    <w:bookmarkStart w:id="12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20"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8" name="Picture"/>
            <a:graphic>
              <a:graphicData uri="http://schemas.openxmlformats.org/drawingml/2006/picture">
                <pic:pic>
                  <pic:nvPicPr>
                    <pic:cNvPr descr="ms_files/figure-docx/fig-zi-plot-1.png" id="119" name="Picture"/>
                    <pic:cNvPicPr>
                      <a:picLocks noChangeArrowheads="1" noChangeAspect="1"/>
                    </pic:cNvPicPr>
                  </pic:nvPicPr>
                  <pic:blipFill>
                    <a:blip r:embed="rId117"/>
                    <a:stretch>
                      <a:fillRect/>
                    </a:stretch>
                  </pic:blipFill>
                  <pic:spPr bwMode="auto">
                    <a:xfrm>
                      <a:off x="0" y="0"/>
                      <a:ext cx="5504749" cy="3400711"/>
                    </a:xfrm>
                    <a:prstGeom prst="rect">
                      <a:avLst/>
                    </a:prstGeom>
                    <a:noFill/>
                    <a:ln w="9525">
                      <a:noFill/>
                      <a:headEnd/>
                      <a:tailEnd/>
                    </a:ln>
                  </pic:spPr>
                </pic:pic>
              </a:graphicData>
            </a:graphic>
          </wp:inline>
        </w:drawing>
      </w:r>
    </w:p>
    <w:bookmarkEnd w:id="120"/>
    <w:bookmarkEnd w:id="121"/>
    <w:bookmarkEnd w:id="122"/>
    <w:bookmarkStart w:id="13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3"/>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7"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5" name="Picture"/>
            <a:graphic>
              <a:graphicData uri="http://schemas.openxmlformats.org/drawingml/2006/picture">
                <pic:pic>
                  <pic:nvPicPr>
                    <pic:cNvPr descr="ms_files/figure-docx/fig-zoib-1.png" id="126" name="Picture"/>
                    <pic:cNvPicPr>
                      <a:picLocks noChangeArrowheads="1" noChangeAspect="1"/>
                    </pic:cNvPicPr>
                  </pic:nvPicPr>
                  <pic:blipFill>
                    <a:blip r:embed="rId124"/>
                    <a:stretch>
                      <a:fillRect/>
                    </a:stretch>
                  </pic:blipFill>
                  <pic:spPr bwMode="auto">
                    <a:xfrm>
                      <a:off x="0" y="0"/>
                      <a:ext cx="5943600" cy="3672649"/>
                    </a:xfrm>
                    <a:prstGeom prst="rect">
                      <a:avLst/>
                    </a:prstGeom>
                    <a:noFill/>
                    <a:ln w="9525">
                      <a:noFill/>
                      <a:headEnd/>
                      <a:tailEnd/>
                    </a:ln>
                  </pic:spPr>
                </pic:pic>
              </a:graphicData>
            </a:graphic>
          </wp:inline>
        </w:drawing>
      </w:r>
    </w:p>
    <w:bookmarkEnd w:id="12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8"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8"/>
        </w:tc>
      </w:tr>
    </w:tbl>
    <w:bookmarkStart w:id="129"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9"/>
    <w:bookmarkStart w:id="13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0"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0"/>
        </w:tc>
      </w:tr>
    </w:tbl>
    <w:bookmarkEnd w:id="131"/>
    <w:bookmarkEnd w:id="132"/>
    <w:bookmarkStart w:id="13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3"/>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6"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6"/>
        </w:tc>
      </w:tr>
    </w:tbl>
    <w:bookmarkEnd w:id="137"/>
    <w:bookmarkEnd w:id="138"/>
    <w:bookmarkStart w:id="15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9" w:name="tbl-ordBeta"/>
    <w:p>
      <w:pPr>
        <w:pStyle w:val="FigureTitle"/>
      </w:pPr>
      <w:r>
        <w:t xml:space="preserve">Table 11</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0.062</w:t>
            </w:r>
          </w:p>
        </w:tc>
        <w:tc>
          <w:tcPr/>
          <w:p>
            <w:pPr>
              <w:pStyle w:val="Compact"/>
            </w:pPr>
            <w:r>
              <w:t xml:space="preserve">[-0.016, 0.139]</w:t>
            </w:r>
          </w:p>
        </w:tc>
      </w:tr>
    </w:tbl>
    <w:bookmarkEnd w:id="139"/>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0"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[-3.56, -2.42]</w:t>
            </w:r>
          </w:p>
        </w:tc>
      </w:tr>
      <w:tr>
        <w:tc>
          <w:tcPr/>
          <w:p>
            <w:pPr>
              <w:pStyle w:val="Compact"/>
            </w:pPr>
            <w:r>
              <w:t xml:space="preserve">cutone</w:t>
            </w:r>
          </w:p>
        </w:tc>
        <w:tc>
          <w:tcPr/>
          <w:p>
            <w:pPr>
              <w:pStyle w:val="Compact"/>
            </w:pPr>
            <w:r>
              <w:t xml:space="preserve">1.85</w:t>
            </w:r>
          </w:p>
        </w:tc>
        <w:tc>
          <w:tcPr/>
          <w:p>
            <w:pPr>
              <w:pStyle w:val="Compact"/>
            </w:pPr>
            <w:r>
              <w:t xml:space="preserve">[1.63, 2.07]</w:t>
            </w:r>
          </w:p>
        </w:tc>
      </w:tr>
    </w:tbl>
    <w:bookmarkEnd w:id="140"/>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1"/>
    <w:bookmarkStart w:id="15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5"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3" name="Picture"/>
            <a:graphic>
              <a:graphicData uri="http://schemas.openxmlformats.org/drawingml/2006/picture">
                <pic:pic>
                  <pic:nvPicPr>
                    <pic:cNvPr descr="ms_files/figure-docx/fig-ppcheckord-1.png" id="144" name="Picture"/>
                    <pic:cNvPicPr>
                      <a:picLocks noChangeArrowheads="1" noChangeAspect="1"/>
                    </pic:cNvPicPr>
                  </pic:nvPicPr>
                  <pic:blipFill>
                    <a:blip r:embed="rId142"/>
                    <a:stretch>
                      <a:fillRect/>
                    </a:stretch>
                  </pic:blipFill>
                  <pic:spPr bwMode="auto">
                    <a:xfrm>
                      <a:off x="0" y="0"/>
                      <a:ext cx="5943600" cy="3671823"/>
                    </a:xfrm>
                    <a:prstGeom prst="rect">
                      <a:avLst/>
                    </a:prstGeom>
                    <a:noFill/>
                    <a:ln w="9525">
                      <a:noFill/>
                      <a:headEnd/>
                      <a:tailEnd/>
                    </a:ln>
                  </pic:spPr>
                </pic:pic>
              </a:graphicData>
            </a:graphic>
          </wp:inline>
        </w:drawing>
      </w:r>
    </w:p>
    <w:bookmarkEnd w:id="14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9"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7" name="Picture"/>
            <a:graphic>
              <a:graphicData uri="http://schemas.openxmlformats.org/drawingml/2006/picture">
                <pic:pic>
                  <pic:nvPicPr>
                    <pic:cNvPr descr="ms_files/figure-docx/fig-heiss-1.png" id="148" name="Picture"/>
                    <pic:cNvPicPr>
                      <a:picLocks noChangeArrowheads="1" noChangeAspect="1"/>
                    </pic:cNvPicPr>
                  </pic:nvPicPr>
                  <pic:blipFill>
                    <a:blip r:embed="rId146"/>
                    <a:stretch>
                      <a:fillRect/>
                    </a:stretch>
                  </pic:blipFill>
                  <pic:spPr bwMode="auto">
                    <a:xfrm>
                      <a:off x="0" y="0"/>
                      <a:ext cx="5504749" cy="3400711"/>
                    </a:xfrm>
                    <a:prstGeom prst="rect">
                      <a:avLst/>
                    </a:prstGeom>
                    <a:noFill/>
                    <a:ln w="9525">
                      <a:noFill/>
                      <a:headEnd/>
                      <a:tailEnd/>
                    </a:ln>
                  </pic:spPr>
                </pic:pic>
              </a:graphicData>
            </a:graphic>
          </wp:inline>
        </w:drawing>
      </w:r>
    </w:p>
    <w:bookmarkEnd w:id="149"/>
    <w:bookmarkEnd w:id="150"/>
    <w:bookmarkStart w:id="15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1"/>
    <w:bookmarkEnd w:id="152"/>
    <w:bookmarkEnd w:id="153"/>
    <w:bookmarkStart w:id="15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4"/>
    <w:bookmarkEnd w:id="155"/>
    <w:bookmarkStart w:id="259" w:name="references"/>
    <w:p>
      <w:pPr>
        <w:pStyle w:val="Heading1"/>
      </w:pPr>
      <w:r>
        <w:t xml:space="preserve">References</w:t>
      </w:r>
    </w:p>
    <w:bookmarkStart w:id="258" w:name="refs"/>
    <w:bookmarkStart w:id="15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6">
        <w:r>
          <w:rPr>
            <w:rStyle w:val="Hyperlink"/>
          </w:rPr>
          <w:t xml:space="preserve">https://CRAN.R-project.org/package=marginaleffects</w:t>
        </w:r>
      </w:hyperlink>
    </w:p>
    <w:bookmarkEnd w:id="157"/>
    <w:bookmarkStart w:id="15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8">
        <w:r>
          <w:rPr>
            <w:rStyle w:val="Hyperlink"/>
          </w:rPr>
          <w:t xml:space="preserve">https://doi.org/10.18637/jss.v111.i09</w:t>
        </w:r>
      </w:hyperlink>
    </w:p>
    <w:bookmarkEnd w:id="159"/>
    <w:bookmarkStart w:id="16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0">
        <w:r>
          <w:rPr>
            <w:rStyle w:val="Hyperlink"/>
          </w:rPr>
          <w:t xml:space="preserve">https://doi.org/10.2307/2983678</w:t>
        </w:r>
      </w:hyperlink>
    </w:p>
    <w:bookmarkEnd w:id="161"/>
    <w:bookmarkStart w:id="16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2">
        <w:r>
          <w:rPr>
            <w:rStyle w:val="Hyperlink"/>
          </w:rPr>
          <w:t xml:space="preserve">https://doi.org/10.1037/met0000553</w:t>
        </w:r>
      </w:hyperlink>
    </w:p>
    <w:bookmarkEnd w:id="163"/>
    <w:bookmarkStart w:id="16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4">
        <w:r>
          <w:rPr>
            <w:rStyle w:val="Hyperlink"/>
          </w:rPr>
          <w:t xml:space="preserve">https://doi.org/10.32614/RJ-2017-066</w:t>
        </w:r>
      </w:hyperlink>
    </w:p>
    <w:bookmarkEnd w:id="165"/>
    <w:bookmarkStart w:id="16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6">
        <w:r>
          <w:rPr>
            <w:rStyle w:val="Hyperlink"/>
          </w:rPr>
          <w:t xml:space="preserve">https://doi.org/10.18637/jss.v080.i01</w:t>
        </w:r>
      </w:hyperlink>
    </w:p>
    <w:bookmarkEnd w:id="167"/>
    <w:bookmarkStart w:id="16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8">
        <w:r>
          <w:rPr>
            <w:rStyle w:val="Hyperlink"/>
          </w:rPr>
          <w:t xml:space="preserve">https://mc-stan.org/posterior/</w:t>
        </w:r>
      </w:hyperlink>
    </w:p>
    <w:bookmarkEnd w:id="169"/>
    <w:bookmarkStart w:id="17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0">
        <w:r>
          <w:rPr>
            <w:rStyle w:val="Hyperlink"/>
          </w:rPr>
          <w:t xml:space="preserve">https://doi.org/10.1177/2515245918823199</w:t>
        </w:r>
      </w:hyperlink>
    </w:p>
    <w:bookmarkEnd w:id="171"/>
    <w:bookmarkStart w:id="17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2">
        <w:r>
          <w:rPr>
            <w:rStyle w:val="Hyperlink"/>
          </w:rPr>
          <w:t xml:space="preserve">https://doi.org/10.3758/s13423-013-0442-z</w:t>
        </w:r>
      </w:hyperlink>
    </w:p>
    <w:bookmarkEnd w:id="173"/>
    <w:bookmarkStart w:id="17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4"/>
    <w:bookmarkStart w:id="17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5">
        <w:r>
          <w:rPr>
            <w:rStyle w:val="Hyperlink"/>
          </w:rPr>
          <w:t xml:space="preserve">https://doi.org/10.31219/osf.io/f9rqg_v1</w:t>
        </w:r>
      </w:hyperlink>
      <w:r>
        <w:t xml:space="preserve">.</w:t>
      </w:r>
    </w:p>
    <w:bookmarkEnd w:id="176"/>
    <w:bookmarkStart w:id="17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7">
        <w:r>
          <w:rPr>
            <w:rStyle w:val="Hyperlink"/>
          </w:rPr>
          <w:t xml:space="preserve">https://doi.org/10.1126/science.adq1814</w:t>
        </w:r>
      </w:hyperlink>
    </w:p>
    <w:bookmarkEnd w:id="178"/>
    <w:bookmarkStart w:id="18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9">
        <w:r>
          <w:rPr>
            <w:rStyle w:val="Hyperlink"/>
          </w:rPr>
          <w:t xml:space="preserve">https://doi.org/10.18637/jss.v034.i02</w:t>
        </w:r>
      </w:hyperlink>
    </w:p>
    <w:bookmarkEnd w:id="180"/>
    <w:bookmarkStart w:id="18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1">
        <w:r>
          <w:rPr>
            <w:rStyle w:val="Hyperlink"/>
          </w:rPr>
          <w:t xml:space="preserve">https://nixos.org/</w:t>
        </w:r>
      </w:hyperlink>
    </w:p>
    <w:bookmarkEnd w:id="182"/>
    <w:bookmarkStart w:id="18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3">
        <w:r>
          <w:rPr>
            <w:rStyle w:val="Hyperlink"/>
          </w:rPr>
          <w:t xml:space="preserve">https://doi.org/10.1080/0266476042000214501</w:t>
        </w:r>
      </w:hyperlink>
    </w:p>
    <w:bookmarkEnd w:id="184"/>
    <w:bookmarkStart w:id="18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5">
        <w:r>
          <w:rPr>
            <w:rStyle w:val="Hyperlink"/>
          </w:rPr>
          <w:t xml:space="preserve">https://doi.org/10.1007/s11121-021-01302-y</w:t>
        </w:r>
      </w:hyperlink>
    </w:p>
    <w:bookmarkEnd w:id="186"/>
    <w:bookmarkStart w:id="18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7">
        <w:r>
          <w:rPr>
            <w:rStyle w:val="Hyperlink"/>
          </w:rPr>
          <w:t xml:space="preserve">https://mc-stan.org/cmdstanr/</w:t>
        </w:r>
      </w:hyperlink>
    </w:p>
    <w:bookmarkEnd w:id="188"/>
    <w:bookmarkStart w:id="19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9">
        <w:r>
          <w:rPr>
            <w:rStyle w:val="Hyperlink"/>
          </w:rPr>
          <w:t xml:space="preserve">https://stat.columbia.edu/~gelman/book/</w:t>
        </w:r>
      </w:hyperlink>
    </w:p>
    <w:bookmarkEnd w:id="190"/>
    <w:bookmarkStart w:id="19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1">
        <w:r>
          <w:rPr>
            <w:rStyle w:val="Hyperlink"/>
          </w:rPr>
          <w:t xml:space="preserve">http://dx.doi.org/10.59350/7p1a4-0tw75</w:t>
        </w:r>
      </w:hyperlink>
    </w:p>
    <w:bookmarkEnd w:id="192"/>
    <w:bookmarkStart w:id="19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3">
        <w:r>
          <w:rPr>
            <w:rStyle w:val="Hyperlink"/>
          </w:rPr>
          <w:t xml:space="preserve">https://doi.org/10.1525/collabra.140755</w:t>
        </w:r>
      </w:hyperlink>
    </w:p>
    <w:bookmarkEnd w:id="194"/>
    <w:bookmarkStart w:id="195" w:name="ref-jeffries1961"/>
    <w:p>
      <w:pPr>
        <w:pStyle w:val="Bibliography"/>
      </w:pPr>
      <w:r>
        <w:t xml:space="preserve">Jeffries, H. (1961).</w:t>
      </w:r>
      <w:r>
        <w:t xml:space="preserve"> </w:t>
      </w:r>
      <w:r>
        <w:rPr>
          <w:i/>
          <w:iCs/>
        </w:rPr>
        <w:t xml:space="preserve">Theory of probability</w:t>
      </w:r>
      <w:r>
        <w:t xml:space="preserve">. Clarendon Press, Oxford.</w:t>
      </w:r>
    </w:p>
    <w:bookmarkEnd w:id="195"/>
    <w:bookmarkStart w:id="196"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6"/>
    <w:bookmarkStart w:id="198"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7">
        <w:r>
          <w:rPr>
            <w:rStyle w:val="Hyperlink"/>
          </w:rPr>
          <w:t xml:space="preserve">https://doi.org/10.1080/01621459.1995.10476572</w:t>
        </w:r>
      </w:hyperlink>
    </w:p>
    <w:bookmarkEnd w:id="198"/>
    <w:bookmarkStart w:id="200"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9">
        <w:r>
          <w:rPr>
            <w:rStyle w:val="Hyperlink"/>
          </w:rPr>
          <w:t xml:space="preserve">https://doi.org/10.1016/j.wocn.2016.08.006</w:t>
        </w:r>
      </w:hyperlink>
    </w:p>
    <w:bookmarkEnd w:id="200"/>
    <w:bookmarkStart w:id="202"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1">
        <w:r>
          <w:rPr>
            <w:rStyle w:val="Hyperlink"/>
          </w:rPr>
          <w:t xml:space="preserve">https://doi.org/10.1111/j.1467-9280.2008.02127.x</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8">
        <w:r>
          <w:rPr>
            <w:rStyle w:val="Hyperlink"/>
          </w:rPr>
          <w:t xml:space="preserve">https://doi.org/10.1177/0013164416669201</w:t>
        </w:r>
      </w:hyperlink>
    </w:p>
    <w:bookmarkEnd w:id="219"/>
    <w:bookmarkStart w:id="22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0">
        <w:r>
          <w:rPr>
            <w:rStyle w:val="Hyperlink"/>
          </w:rPr>
          <w:t xml:space="preserve">https://doi.org/10.1098/rsos.231713</w:t>
        </w:r>
      </w:hyperlink>
    </w:p>
    <w:bookmarkEnd w:id="221"/>
    <w:bookmarkStart w:id="22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2">
        <w:r>
          <w:rPr>
            <w:rStyle w:val="Hyperlink"/>
          </w:rPr>
          <w:t xml:space="preserve">https://doi.org/10.1201/9780429029608</w:t>
        </w:r>
      </w:hyperlink>
    </w:p>
    <w:bookmarkEnd w:id="223"/>
    <w:bookmarkStart w:id="22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4">
        <w:r>
          <w:rPr>
            <w:rStyle w:val="Hyperlink"/>
          </w:rPr>
          <w:t xml:space="preserve">https://doi.org/10.2307/2344614</w:t>
        </w:r>
      </w:hyperlink>
    </w:p>
    <w:bookmarkEnd w:id="225"/>
    <w:bookmarkStart w:id="22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6">
        <w:r>
          <w:rPr>
            <w:rStyle w:val="Hyperlink"/>
          </w:rPr>
          <w:t xml:space="preserve">https://www.sciencedirect.com/science/article/pii/S0048969723041505</w:t>
        </w:r>
      </w:hyperlink>
    </w:p>
    <w:bookmarkEnd w:id="227"/>
    <w:bookmarkStart w:id="22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8">
        <w:r>
          <w:rPr>
            <w:rStyle w:val="Hyperlink"/>
          </w:rPr>
          <w:t xml:space="preserve">https://doi.org/10.1093/oxfordjournals.pan.a004873</w:t>
        </w:r>
      </w:hyperlink>
    </w:p>
    <w:bookmarkEnd w:id="229"/>
    <w:bookmarkStart w:id="23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0">
        <w:r>
          <w:rPr>
            <w:rStyle w:val="Hyperlink"/>
          </w:rPr>
          <w:t xml:space="preserve">https://www.R-project.org/</w:t>
        </w:r>
      </w:hyperlink>
    </w:p>
    <w:bookmarkEnd w:id="231"/>
    <w:bookmarkStart w:id="23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2">
        <w:r>
          <w:rPr>
            <w:rStyle w:val="Hyperlink"/>
          </w:rPr>
          <w:t xml:space="preserve">https://docs.ropensci.org/rix/</w:t>
        </w:r>
      </w:hyperlink>
    </w:p>
    <w:bookmarkEnd w:id="233"/>
    <w:bookmarkStart w:id="23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4">
        <w:r>
          <w:rPr>
            <w:rStyle w:val="Hyperlink"/>
          </w:rPr>
          <w:t xml:space="preserve">https://doi.org/10.1177/08902070241239834</w:t>
        </w:r>
      </w:hyperlink>
    </w:p>
    <w:bookmarkEnd w:id="235"/>
    <w:bookmarkStart w:id="23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6">
        <w:r>
          <w:rPr>
            <w:rStyle w:val="Hyperlink"/>
          </w:rPr>
          <w:t xml:space="preserve">https://doi.org/10.31234/osf.io/4rznt</w:t>
        </w:r>
      </w:hyperlink>
    </w:p>
    <w:bookmarkEnd w:id="237"/>
    <w:bookmarkStart w:id="23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8">
        <w:r>
          <w:rPr>
            <w:rStyle w:val="Hyperlink"/>
          </w:rPr>
          <w:t xml:space="preserve">https://doi.org/10.1001/jamanetworkopen.2023.53401</w:t>
        </w:r>
      </w:hyperlink>
    </w:p>
    <w:bookmarkEnd w:id="239"/>
    <w:bookmarkStart w:id="24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0">
        <w:r>
          <w:rPr>
            <w:rStyle w:val="Hyperlink"/>
          </w:rPr>
          <w:t xml:space="preserve">https://doi.org/10.1037/1082-989x.11.1.54</w:t>
        </w:r>
      </w:hyperlink>
    </w:p>
    <w:bookmarkEnd w:id="241"/>
    <w:bookmarkStart w:id="24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2">
        <w:r>
          <w:rPr>
            <w:rStyle w:val="Hyperlink"/>
          </w:rPr>
          <w:t xml:space="preserve">https://mc-stan.org</w:t>
        </w:r>
      </w:hyperlink>
    </w:p>
    <w:bookmarkEnd w:id="243"/>
    <w:bookmarkStart w:id="24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4">
        <w:r>
          <w:rPr>
            <w:rStyle w:val="Hyperlink"/>
          </w:rPr>
          <w:t xml:space="preserve">https://doi.org/10.1007/s11409-017-9175-0</w:t>
        </w:r>
      </w:hyperlink>
    </w:p>
    <w:bookmarkEnd w:id="245"/>
    <w:bookmarkStart w:id="24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6">
        <w:r>
          <w:rPr>
            <w:rStyle w:val="Hyperlink"/>
          </w:rPr>
          <w:t xml:space="preserve">https://vuorre.com/posts/2019-02-18-analyze-analog-scale-ratings-with-zero-one-inflated-beta-models</w:t>
        </w:r>
      </w:hyperlink>
    </w:p>
    <w:bookmarkEnd w:id="247"/>
    <w:bookmarkStart w:id="24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8">
        <w:r>
          <w:rPr>
            <w:rStyle w:val="Hyperlink"/>
          </w:rPr>
          <w:t xml:space="preserve">https://r4ds.hadley.nz/</w:t>
        </w:r>
      </w:hyperlink>
    </w:p>
    <w:bookmarkEnd w:id="249"/>
    <w:bookmarkStart w:id="25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0">
        <w:r>
          <w:rPr>
            <w:rStyle w:val="Hyperlink"/>
          </w:rPr>
          <w:t xml:space="preserve">https://doi.org/10.1002/acp.3724</w:t>
        </w:r>
      </w:hyperlink>
    </w:p>
    <w:bookmarkEnd w:id="251"/>
    <w:bookmarkStart w:id="25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2">
        <w:r>
          <w:rPr>
            <w:rStyle w:val="Hyperlink"/>
          </w:rPr>
          <w:t xml:space="preserve">https://doi.org/10.1111/gcb.17422</w:t>
        </w:r>
      </w:hyperlink>
    </w:p>
    <w:bookmarkEnd w:id="253"/>
    <w:bookmarkStart w:id="25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4">
        <w:r>
          <w:rPr>
            <w:rStyle w:val="Hyperlink"/>
          </w:rPr>
          <w:t xml:space="preserve">https://doi.org/10.1037/mac0000003</w:t>
        </w:r>
      </w:hyperlink>
    </w:p>
    <w:bookmarkEnd w:id="255"/>
    <w:bookmarkStart w:id="257"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6">
        <w:r>
          <w:rPr>
            <w:rStyle w:val="Hyperlink"/>
          </w:rPr>
          <w:t xml:space="preserve">https://stats.andrewheiss.com/compassionate-clam/manuscript/output/manuscript.html</w:t>
        </w:r>
      </w:hyperlink>
    </w:p>
    <w:bookmarkEnd w:id="257"/>
    <w:bookmarkEnd w:id="258"/>
    <w:sectPr>
      <w:lnNumType w:countBy="1" w:restart="continuous"/>
    </w:sectPr>
    <w:bookmarkEnd w:id="25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1">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33">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6" Target="media/rId146.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2" Target="media/rId142.png" /><Relationship Type="http://schemas.openxmlformats.org/officeDocument/2006/relationships/image" Id="rId76" Target="media/rId76.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10504</vt:lpwstr>
  </property>
  <property fmtid="{D5CDD505-2E9C-101B-9397-08002B2CF9AE}" pid="63" name="zerocitations">
    <vt:lpwstr>False</vt:lpwstr>
  </property>
</Properties>
</file>