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3.png" ContentType="image/png"/>
  <Override PartName="/word/media/rId21.svg" ContentType="image/svg+xml"/>
  <Override PartName="/word/media/rId46.png" ContentType="image/png"/>
  <Override PartName="/word/media/rId95.png" ContentType="image/png"/>
  <Override PartName="/word/media/rId59.png" ContentType="image/png"/>
  <Override PartName="/word/media/rId142.png" ContentType="image/png"/>
  <Override PartName="/word/media/rId85.png" ContentType="image/png"/>
  <Override PartName="/word/media/rId77.png" ContentType="image/png"/>
  <Override PartName="/word/media/rId138.png" ContentType="image/png"/>
  <Override PartName="/word/media/rId73.png" ContentType="image/png"/>
  <Override PartName="/word/media/rId113.png" ContentType="image/png"/>
  <Override PartName="/word/media/rId1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writing – review &amp; editing, data curation, project administration, writing – review &amp; editing, formal analysis, software, and visualization. </w:t>
      </w:r>
      <w:r>
        <w:rPr>
          <w:i/>
          <w:iCs/>
        </w:rPr>
        <w:t xml:space="preserve">Robert Kubinec</w:t>
      </w:r>
      <w:r>
        <w:rPr>
          <w:b/>
          <w:bCs/>
        </w:rPr>
        <w:t xml:space="preserve">: </w:t>
      </w:r>
      <w:r>
        <w:t xml:space="preserve">writing – review &amp; editing, formal analysis, and visualization. </w:t>
      </w:r>
      <w:r>
        <w:rPr>
          <w:i/>
          <w:iCs/>
        </w:rPr>
        <w:t xml:space="preserve">Chelsea M. Parlett Pelleriti</w:t>
      </w:r>
      <w:r>
        <w:rPr>
          <w:b/>
          <w:bCs/>
        </w:rPr>
        <w:t xml:space="preserve">: </w:t>
      </w:r>
      <w:r>
        <w:t xml:space="preserve">formal analysis, writing – review &amp; editing, and validation. </w:t>
      </w:r>
      <w:r>
        <w:rPr>
          <w:i/>
          <w:iCs/>
        </w:rPr>
        <w:t xml:space="preserve">Matti Vuorre</w:t>
      </w:r>
      <w:r>
        <w:rPr>
          <w:b/>
          <w:bCs/>
        </w:rPr>
        <w:t xml:space="preserve">: </w:t>
      </w:r>
      <w:r>
        <w:t xml:space="preserve">writing – review &amp; editing, validation,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10073</w:t>
      </w:r>
    </w:p>
    <w:p>
      <w:r>
        <w:br w:type="page"/>
      </w:r>
    </w:p>
    <w:bookmarkEnd w:id="40"/>
    <w:bookmarkStart w:id="55"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 the proportion of correct responses on a test</w:t>
      </w:r>
      <w:r>
        <w:t xml:space="preserve"> </w:t>
      </w:r>
      <w:r>
        <w:t xml:space="preserve">(e.g.,</w:t>
      </w:r>
      <w:r>
        <w:t xml:space="preserve"> </w:t>
      </w:r>
      <w:hyperlink w:anchor="ref-kornell2008">
        <w:r>
          <w:rPr>
            <w:rStyle w:val="Hyperlink"/>
          </w:rPr>
          <w:t xml:space="preserve">Kornell &amp; Bjork, 2008</w:t>
        </w:r>
      </w:hyperlink>
      <w:r>
        <w:t xml:space="preserve">)</w:t>
      </w:r>
      <w:r>
        <w:t xml:space="preserve">, the proportion of looks on a particular stimulus in an eye-tracking task</w:t>
      </w:r>
      <w:r>
        <w:t xml:space="preserve"> </w:t>
      </w:r>
      <w:r>
        <w:t xml:space="preserve">(e.g.,</w:t>
      </w:r>
      <w:r>
        <w:t xml:space="preserve"> </w:t>
      </w:r>
      <w:hyperlink w:anchor="ref-james2025">
        <w:r>
          <w:rPr>
            <w:rStyle w:val="Hyperlink"/>
          </w:rPr>
          <w:t xml:space="preserve">James et al., 2025</w:t>
        </w:r>
      </w:hyperlink>
      <w:r>
        <w:t xml:space="preserve">)</w:t>
      </w:r>
      <w:r>
        <w:t xml:space="preserve">, or the percentage of agreement with a given statement</w:t>
      </w:r>
      <w:r>
        <w:t xml:space="preserve"> </w:t>
      </w:r>
      <w:r>
        <w:t xml:space="preserve">(e.g.,</w:t>
      </w:r>
      <w:r>
        <w:t xml:space="preserve"> </w:t>
      </w:r>
      <w:hyperlink w:anchor="ref-Costello2024">
        <w:r>
          <w:rPr>
            <w:rStyle w:val="Hyperlink"/>
          </w:rPr>
          <w:t xml:space="preserve">Costello et al., 2024</w:t>
        </w:r>
      </w:hyperlink>
      <w:r>
        <w:t xml:space="preserve">)</w:t>
      </w:r>
      <w:r>
        <w:t xml:space="preserve">. As a practical example from 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 While it is usually possible to model the components of the outcome separately, such as with the Poisson distribution for the raw sum, modeling the outcome as a proportion permits comparability across scales and may be the only option if the underlying components of the scale are not available, such as with secondary data.</w:t>
      </w:r>
    </w:p>
    <w:p>
      <w:pPr>
        <w:pStyle w:val="BodyText"/>
      </w:pPr>
      <w:r>
        <w:t xml:space="preserve">While in this paper we will focus on proportions—responses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1"/>
      </w:r>
      <w:r>
        <w:t xml:space="preserve"> </w:t>
      </w:r>
      <w:r>
        <w:t xml:space="preserve">Consequently, a scale that has natural end points of -1,234 and +8,451–or any other end points on the real number line short of infinity—can be modeled using the approaches we describe in this paper.</w:t>
      </w:r>
    </w:p>
    <w:p>
      <w:pPr>
        <w:pStyle w:val="BodyText"/>
      </w:pPr>
      <w:r>
        <w:t xml:space="preserve">A key question arises:</w:t>
      </w:r>
      <w:r>
        <w:t xml:space="preserve"> </w:t>
      </w:r>
      <w:r>
        <w:rPr>
          <w:b/>
          <w:bCs/>
        </w:rPr>
        <w:t xml:space="preserve">how should proportional data be analyzed?</w:t>
      </w:r>
      <w:r>
        <w:t xml:space="preserve"> </w:t>
      </w:r>
      <w:r>
        <w:t xml:space="preserve">In psychology, there is a strong reliance on linear models (e.g.,</w:t>
      </w:r>
      <w:r>
        <w:t xml:space="preserve"> </w:t>
      </w:r>
      <w:r>
        <w:rPr>
          <w:i/>
          <w:iCs/>
        </w:rPr>
        <w:t xml:space="preserve">t</w:t>
      </w:r>
      <w:r>
        <w:t xml:space="preserve">-tests, ANOVAs, and regressions). However, linear models assume: (1) a normally distributed (Gaussian) outcome, (2) an unbounded response scale (ranging from</w:t>
      </w:r>
      <w:r>
        <w:t xml:space="preserve"> </w:t>
      </w:r>
      <m:oMath>
        <m:r>
          <m:rPr>
            <m:sty m:val="p"/>
          </m:rPr>
          <m:t>−</m:t>
        </m:r>
        <m:r>
          <m:rPr>
            <m:sty m:val="p"/>
          </m:rPr>
          <m:t>∞</m:t>
        </m:r>
      </m:oMath>
      <w:r>
        <w:t xml:space="preserve"> </w:t>
      </w:r>
      <w:r>
        <w:t xml:space="preserve">to</w:t>
      </w:r>
      <w:r>
        <w:t xml:space="preserve"> </w:t>
      </w:r>
      <m:oMath>
        <m:r>
          <m:rPr>
            <m:sty m:val="p"/>
          </m:rPr>
          <m:t>−</m:t>
        </m:r>
        <m:r>
          <m:rPr>
            <m:sty m:val="p"/>
          </m:rPr>
          <m:t>∞</m:t>
        </m:r>
      </m:oMath>
      <w:r>
        <w:t xml:space="preserve">), and (3) constant variance (homoscedasticity). These assumptions are rarely met in psychological data</w:t>
      </w:r>
      <w:r>
        <w:t xml:space="preserve"> </w:t>
      </w:r>
      <w:r>
        <w:t xml:space="preserve">(</w:t>
      </w:r>
      <w:hyperlink w:anchor="ref-sladekova2024unicorns">
        <w:r>
          <w:rPr>
            <w:rStyle w:val="Hyperlink"/>
          </w:rPr>
          <w:t xml:space="preserve">Sladekova &amp; Field, 2024</w:t>
        </w:r>
      </w:hyperlink>
      <w:r>
        <w:t xml:space="preserve">)</w:t>
      </w:r>
      <w:r>
        <w:t xml:space="preserve">. They are especially problematic for proportional data, which are naturally bounded between 0 and 1 and often exhibit heteroscedasticity—non-constant variance—particularly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w:t>
      </w:r>
      <w:hyperlink w:anchor="ref-smithson2006">
        <w:r>
          <w:rPr>
            <w:rStyle w:val="Hyperlink"/>
          </w:rPr>
          <w:t xml:space="preserve">Smithson &amp; Verkuilen, 2006</w:t>
        </w:r>
      </w:hyperlink>
      <w:r>
        <w:t xml:space="preserve">)</w:t>
      </w:r>
      <w:r>
        <w:t xml:space="preserve">. Violating these assumptions can lead to biased estimates and misleading inferences, with the bias increasing in the amount of data clustered near boundaries.</w:t>
      </w:r>
    </w:p>
    <w:p>
      <w:pPr>
        <w:pStyle w:val="BodyText"/>
      </w:pPr>
      <w:r>
        <w:t xml:space="preserve">Another option extends the linear model framework to accommodate non-normal outcome distributions. For example, binomial or Bernoulli models (commonly referred to as logistic regression when a logit link function is used) are well-suited for binary outcomes or counts of successes out of a fixed number of trials. However, these models require discretized responses and may fall short when data exhibit over-dispersion by clustering near the boundaries of the scale.</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existing approaches address the limitations of commonly used models. One such approach is Beta regression, an extension of the generalized linear model (GLM) that employs the Beta distribution</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44"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smithson2006">
        <w:r>
          <w:rPr>
            <w:rStyle w:val="Hyperlink"/>
          </w:rPr>
          <w:t xml:space="preserve">Smithson &amp; Verkuilen, 2006</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2">
        <w:r>
          <w:rPr>
            <w:rStyle w:val="Hyperlink"/>
          </w:rPr>
          <w:t xml:space="preserve">https://github.com/jgeller112/beta_regression_tutorial</w:t>
        </w:r>
      </w:hyperlink>
      <w:r>
        <w:rPr>
          <w:rStyle w:val="FootnoteReference"/>
        </w:rPr>
        <w:footnoteReference w:id="43"/>
      </w:r>
      <w:r>
        <w:t xml:space="preserve">.</w:t>
      </w:r>
    </w:p>
    <w:bookmarkEnd w:id="44"/>
    <w:bookmarkStart w:id="50"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GLM or GLiM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5"/>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9"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7" name="Picture"/>
            <a:graphic>
              <a:graphicData uri="http://schemas.openxmlformats.org/drawingml/2006/picture">
                <pic:pic>
                  <pic:nvPicPr>
                    <pic:cNvPr descr="ms_files/figure-docx/fig-curves-1.png" id="48" name="Picture"/>
                    <pic:cNvPicPr>
                      <a:picLocks noChangeArrowheads="1" noChangeAspect="1"/>
                    </pic:cNvPicPr>
                  </pic:nvPicPr>
                  <pic:blipFill>
                    <a:blip r:embed="rId46"/>
                    <a:stretch>
                      <a:fillRect/>
                    </a:stretch>
                  </pic:blipFill>
                  <pic:spPr bwMode="auto">
                    <a:xfrm>
                      <a:off x="0" y="0"/>
                      <a:ext cx="5504749" cy="2862469"/>
                    </a:xfrm>
                    <a:prstGeom prst="rect">
                      <a:avLst/>
                    </a:prstGeom>
                    <a:noFill/>
                    <a:ln w="9525">
                      <a:noFill/>
                      <a:headEnd/>
                      <a:tailEnd/>
                    </a:ln>
                  </pic:spPr>
                </pic:pic>
              </a:graphicData>
            </a:graphic>
          </wp:inline>
        </w:drawing>
      </w:r>
    </w:p>
    <w:bookmarkEnd w:id="49"/>
    <w:bookmarkEnd w:id="50"/>
    <w:bookmarkStart w:id="52"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1"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1"/>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2"/>
    <w:bookmarkStart w:id="54"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2022</w:t>
        </w:r>
      </w:hyperlink>
      <w:r>
        <w:t xml:space="preserve">;</w:t>
      </w:r>
      <w:r>
        <w:t xml:space="preserve"> </w:t>
      </w:r>
      <w:hyperlink w:anchor="ref-mcelreath2020statistical">
        <w:r>
          <w:rPr>
            <w:rStyle w:val="Hyperlink"/>
          </w:rPr>
          <w:t xml:space="preserve">McElreath, 2020</w:t>
        </w:r>
      </w:hyperlink>
      <w:r>
        <w:t xml:space="preserve">)</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a high-level interface to the probabilistic programming language Stan</w:t>
      </w:r>
      <w:r>
        <w:t xml:space="preserve"> </w:t>
      </w:r>
      <w:r>
        <w:t xml:space="preserve">(</w:t>
      </w:r>
      <w:hyperlink w:anchor="ref-stan2023">
        <w:r>
          <w:rPr>
            <w:rStyle w:val="Hyperlink"/>
          </w:rPr>
          <w:t xml:space="preserve">Team, 2023</w:t>
        </w:r>
      </w:hyperlink>
      <w:r>
        <w:t xml:space="preserve">)</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4,000 posterior draws,</w:t>
      </w:r>
      <w:r>
        <w:rPr>
          <w:rStyle w:val="FootnoteReference"/>
        </w:rPr>
        <w:footnoteReference w:id="53"/>
      </w:r>
      <w:r>
        <w:t xml:space="preserve"> </w:t>
      </w:r>
      <w:r>
        <w:t xml:space="preserve">which allow us to compute quantities such as the posterior mean (similar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A pd of 95%, 97.5%, 99.5%, and 99.95% corresponds approximately to two-sided</w:t>
      </w:r>
      <w:r>
        <w:t xml:space="preserve"> </w:t>
      </w:r>
      <w:r>
        <w:rPr>
          <w:i/>
          <w:iCs/>
        </w:rPr>
        <w:t xml:space="preserve">p</w:t>
      </w:r>
      <w:r>
        <w:t xml:space="preserve">-values of 0.10, 0.05, 0.01, and 0.001, respectively. For directional hypotheses, the pd can be interpreted as roughly equivalent to one minus the</w:t>
      </w:r>
      <w:r>
        <w:t xml:space="preserve"> </w:t>
      </w:r>
      <w:r>
        <w:rPr>
          <w:i/>
          <w:iCs/>
        </w:rPr>
        <w:t xml:space="preserve">p</w:t>
      </w:r>
      <w:r>
        <w:t xml:space="preserve">-value</w:t>
      </w:r>
      <w:r>
        <w:t xml:space="preserve"> </w:t>
      </w:r>
      <w:r>
        <w:t xml:space="preserve">(</w:t>
      </w:r>
      <w:hyperlink w:anchor="ref-marsmanThreeInsightsBayesian2016">
        <w:r>
          <w:rPr>
            <w:rStyle w:val="Hyperlink"/>
          </w:rPr>
          <w:t xml:space="preserve">Marsman &amp; Wagenmakers, 2016</w:t>
        </w:r>
      </w:hyperlink>
      <w:r>
        <w:t xml:space="preserve">)</w:t>
      </w:r>
      <w:r>
        <w:t xml:space="preserve">.</w:t>
      </w:r>
    </w:p>
    <w:p>
      <w:pPr>
        <w:pStyle w:val="BodyText"/>
      </w:pPr>
      <w:r>
        <w:t xml:space="preserve">For reasons of space, we refer readers unfamiliar to Bayesian data analysis to several existing books on the topic</w:t>
      </w:r>
      <w:r>
        <w:t xml:space="preserve"> </w:t>
      </w:r>
      <w:r>
        <w:t xml:space="preserve">(</w:t>
      </w:r>
      <w:hyperlink w:anchor="ref-gelman2013bayesian">
        <w:r>
          <w:rPr>
            <w:rStyle w:val="Hyperlink"/>
          </w:rPr>
          <w:t xml:space="preserve">Gelman et al., 2013</w:t>
        </w:r>
      </w:hyperlink>
      <w:r>
        <w:t xml:space="preserve">;</w:t>
      </w:r>
      <w:r>
        <w:t xml:space="preserve"> </w:t>
      </w:r>
      <w:hyperlink w:anchor="ref-kruschke2015doing">
        <w:r>
          <w:rPr>
            <w:rStyle w:val="Hyperlink"/>
          </w:rPr>
          <w:t xml:space="preserve">Kruschke, 2015</w:t>
        </w:r>
      </w:hyperlink>
      <w:r>
        <w:t xml:space="preserve">;</w:t>
      </w:r>
      <w:r>
        <w:t xml:space="preserve"> </w:t>
      </w:r>
      <w:hyperlink w:anchor="ref-mcelreath2020statistical">
        <w:r>
          <w:rPr>
            <w:rStyle w:val="Hyperlink"/>
          </w:rPr>
          <w:t xml:space="preserve">McElreath, 2020</w:t>
        </w:r>
      </w:hyperlink>
      <w:r>
        <w:t xml:space="preserve">)</w:t>
      </w:r>
      <w:r>
        <w:t xml:space="preserve">. In addition, we assume readers are familiar with R, but those in need of a refresher should find</w:t>
      </w:r>
      <w:r>
        <w:t xml:space="preserve"> </w:t>
      </w:r>
      <w:r>
        <w:t xml:space="preserve">Wickham et al. (</w:t>
      </w:r>
      <w:hyperlink w:anchor="ref-wickhamDataScienceImport2023">
        <w:r>
          <w:rPr>
            <w:rStyle w:val="Hyperlink"/>
          </w:rPr>
          <w:t xml:space="preserve">2023</w:t>
        </w:r>
      </w:hyperlink>
      <w:r>
        <w:t xml:space="preserve">)</w:t>
      </w:r>
      <w:r>
        <w:t xml:space="preserve"> </w:t>
      </w:r>
      <w:r>
        <w:t xml:space="preserve">useful.</w:t>
      </w:r>
    </w:p>
    <w:bookmarkEnd w:id="54"/>
    <w:bookmarkEnd w:id="55"/>
    <w:bookmarkStart w:id="149" w:name="beta-regression-tutorial"/>
    <w:p>
      <w:pPr>
        <w:pStyle w:val="Heading1"/>
      </w:pPr>
      <w:r>
        <w:t xml:space="preserve">Beta Regression Tutorial</w:t>
      </w:r>
    </w:p>
    <w:bookmarkStart w:id="58"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t>
      </w:r>
      <w:hyperlink w:anchor="ref-wilford2020">
        <w:r>
          <w:rPr>
            <w:rStyle w:val="Hyperlink"/>
          </w:rPr>
          <w:t xml:space="preserve">Wilford et al., 2020</w:t>
        </w:r>
      </w:hyperlink>
      <w:r>
        <w:t xml:space="preserve">,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w:t>
      </w:r>
      <w:hyperlink w:anchor="ref-carpenter2013">
        <w:r>
          <w:rPr>
            <w:rStyle w:val="Hyperlink"/>
          </w:rPr>
          <w:t xml:space="preserve">Carpenter et al., 2013</w:t>
        </w:r>
      </w:hyperlink>
      <w:r>
        <w:t xml:space="preserve">)</w:t>
      </w:r>
      <w:r>
        <w:t xml:space="preserve">. However, previous research suggests that these impressions do not reliably translate into improved memory performance</w:t>
      </w:r>
      <w:r>
        <w:t xml:space="preserve"> </w:t>
      </w:r>
      <w:r>
        <w:t xml:space="preserve">(e.g.,</w:t>
      </w:r>
      <w:r>
        <w:t xml:space="preserve"> </w:t>
      </w:r>
      <w:hyperlink w:anchor="ref-carpenter2013">
        <w:r>
          <w:rPr>
            <w:rStyle w:val="Hyperlink"/>
          </w:rPr>
          <w:t xml:space="preserve">Carpenter et al., 2013</w:t>
        </w:r>
      </w:hyperlink>
      <w:r>
        <w:t xml:space="preserve">;</w:t>
      </w:r>
      <w:r>
        <w:t xml:space="preserve"> </w:t>
      </w:r>
      <w:hyperlink w:anchor="ref-toftness2017">
        <w:r>
          <w:rPr>
            <w:rStyle w:val="Hyperlink"/>
          </w:rPr>
          <w:t xml:space="preserve">Toftness et al., 2017</w:t>
        </w:r>
      </w:hyperlink>
      <w:r>
        <w:t xml:space="preserve">;</w:t>
      </w:r>
      <w:r>
        <w:t xml:space="preserve"> </w:t>
      </w:r>
      <w:hyperlink w:anchor="ref-witherby2022">
        <w:r>
          <w:rPr>
            <w:rStyle w:val="Hyperlink"/>
          </w:rPr>
          <w:t xml:space="preserve">Witherby &amp; Carpenter, 2022</w:t>
        </w:r>
      </w:hyperlink>
      <w:r>
        <w:t xml:space="preserve">)</w:t>
      </w:r>
      <w:r>
        <w:t xml:space="preserve">. In contrast,</w:t>
      </w:r>
      <w:r>
        <w:t xml:space="preserve"> </w:t>
      </w:r>
      <w:r>
        <w:t xml:space="preserve">Wilford et al. (</w:t>
      </w:r>
      <w:hyperlink w:anchor="ref-wilford2020">
        <w:r>
          <w:rPr>
            <w:rStyle w:val="Hyperlink"/>
          </w:rPr>
          <w:t xml:space="preserve">2020</w:t>
        </w:r>
      </w:hyperlink>
      <w:r>
        <w:t xml:space="preserve">)</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56"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fluency_data &lt;- read_csv(</w:t>
            </w:r>
            <w:r>
              <w:br/>
            </w:r>
            <w:r>
              <w:rPr>
                <w:rStyle w:val="VerbatimChar"/>
              </w:rPr>
              <w:t xml:space="preserve">"https://raw.githubusercontent.com/jgeller112/beta_regression_tutorial/refs/heads/main/manuscript/data/fluency_data.csv"</w:t>
            </w:r>
            <w:r>
              <w:br/>
            </w:r>
            <w:r>
              <w:rPr>
                <w:rStyle w:val="VerbatimChar"/>
              </w:rPr>
              <w:t xml:space="preserve">)</w:t>
            </w:r>
          </w:p>
          <w:bookmarkEnd w:id="56"/>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bookmarkStart w:id="57" w:name="tbl-dataset"/>
    <w:p>
      <w:pPr>
        <w:pStyle w:val="FigureTitle"/>
      </w:pPr>
      <w:r>
        <w:t xml:space="preserve">Table 1</w:t>
      </w:r>
    </w:p>
    <w:p>
      <w:pPr>
        <w:pStyle w:val="Caption"/>
      </w:pPr>
      <w:r>
        <w:t xml:space="preserve">Four observations from</w:t>
      </w:r>
      <w:r>
        <w:t xml:space="preserve"> </w:t>
      </w:r>
      <w:r>
        <w:t xml:space="preserve">Wilford et al. (</w:t>
      </w:r>
      <w:hyperlink w:anchor="ref-wilford2020">
        <w:r>
          <w:rPr>
            <w:rStyle w:val="Hyperlink"/>
          </w:rPr>
          <w:t xml:space="preserve">2020</w:t>
        </w:r>
      </w:hyperlink>
      <w:r>
        <w:t xml:space="preserve">)</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57"/>
    <w:bookmarkEnd w:id="58"/>
    <w:bookmarkStart w:id="71"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2</w:t>
        </w:r>
      </w:hyperlink>
      <w:r>
        <w:t xml:space="preserve">).</w:t>
      </w:r>
    </w:p>
    <w:bookmarkStart w:id="62" w:name="fig-flu1"/>
    <w:p>
      <w:pPr>
        <w:pStyle w:val="FigureTitle"/>
      </w:pPr>
      <w:r>
        <w:t xml:space="preserve">Figure 2</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0" name="Picture"/>
            <a:graphic>
              <a:graphicData uri="http://schemas.openxmlformats.org/drawingml/2006/picture">
                <pic:pic>
                  <pic:nvPicPr>
                    <pic:cNvPr descr="ms_files/figure-docx/fig-flu1-1.png" id="61" name="Picture"/>
                    <pic:cNvPicPr>
                      <a:picLocks noChangeArrowheads="1" noChangeAspect="1"/>
                    </pic:cNvPicPr>
                  </pic:nvPicPr>
                  <pic:blipFill>
                    <a:blip r:embed="rId59"/>
                    <a:stretch>
                      <a:fillRect/>
                    </a:stretch>
                  </pic:blipFill>
                  <pic:spPr bwMode="auto">
                    <a:xfrm>
                      <a:off x="0" y="0"/>
                      <a:ext cx="5504749" cy="3400711"/>
                    </a:xfrm>
                    <a:prstGeom prst="rect">
                      <a:avLst/>
                    </a:prstGeom>
                    <a:noFill/>
                    <a:ln w="9525">
                      <a:noFill/>
                      <a:headEnd/>
                      <a:tailEnd/>
                    </a:ln>
                  </pic:spPr>
                </pic:pic>
              </a:graphicData>
            </a:graphic>
          </wp:inline>
        </w:drawing>
      </w:r>
    </w:p>
    <w:bookmarkEnd w:id="62"/>
    <w:p>
      <w:pPr>
        <w:pStyle w:val="AfterWithoutNote"/>
      </w:pPr>
      <w:r>
        <w:t xml:space="preserve">We first replicate this analysis in a regression framework using brms. We model final test accuracy–the proprtion of correctly recalled idea units across the two items–as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6" w:name="tbl-all"/>
    <w:p>
      <w:pPr>
        <w:pStyle w:val="FigureTitle"/>
      </w:pPr>
      <w:r>
        <w:t xml:space="preserve">Table 2</w:t>
      </w:r>
    </w:p>
    <w:p>
      <w:pPr>
        <w:pStyle w:val="Caption"/>
      </w:pPr>
      <w:r>
        <w:t xml:space="preserve">Bayesian regression summaries for each model</w:t>
      </w:r>
    </w:p>
    <w:p>
      <w:pPr>
        <w:pStyle w:val="FigureWithNote"/>
      </w:pPr>
      <w:r>
        <w:drawing>
          <wp:inline>
            <wp:extent cx="5943600" cy="5092700"/>
            <wp:effectExtent b="0" l="0" r="0" t="0"/>
            <wp:docPr descr="" title="" id="64" name="Picture"/>
            <a:graphic>
              <a:graphicData uri="http://schemas.openxmlformats.org/drawingml/2006/picture">
                <pic:pic>
                  <pic:nvPicPr>
                    <pic:cNvPr descr="Figures/combined_table.png" id="65" name="Picture"/>
                    <pic:cNvPicPr>
                      <a:picLocks noChangeArrowheads="1" noChangeAspect="1"/>
                    </pic:cNvPicPr>
                  </pic:nvPicPr>
                  <pic:blipFill>
                    <a:blip r:embed="rId63"/>
                    <a:stretch>
                      <a:fillRect/>
                    </a:stretch>
                  </pic:blipFill>
                  <pic:spPr bwMode="auto">
                    <a:xfrm>
                      <a:off x="0" y="0"/>
                      <a:ext cx="5943600" cy="5092700"/>
                    </a:xfrm>
                    <a:prstGeom prst="rect">
                      <a:avLst/>
                    </a:prstGeom>
                    <a:noFill/>
                    <a:ln w="9525">
                      <a:noFill/>
                      <a:headEnd/>
                      <a:tailEnd/>
                    </a:ln>
                  </pic:spPr>
                </pic:pic>
              </a:graphicData>
            </a:graphic>
          </wp:inline>
        </w:drawing>
      </w:r>
    </w:p>
    <w:bookmarkEnd w:id="66"/>
    <w:p>
      <w:pPr>
        <w:pStyle w:val="FigureNote"/>
      </w:pPr>
      <w:r>
        <w:rPr>
          <w:i/>
          <w:iCs/>
        </w:rPr>
        <w:t xml:space="preserve">Note</w:t>
      </w:r>
      <w:r>
        <w:t xml:space="preserve">. Reported as: Mean [95% CrI] (pd). Link functions: b_mean = logit; b_phi = logit; b_zoi (zero-one inflation) = logit; b_coi (conditional one-inflation) = logit.</w:t>
      </w:r>
    </w:p>
    <w:bookmarkStart w:id="70"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67"/>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68"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p>
          <w:p>
            <w:pPr>
              <w:pStyle w:val="SourceCode"/>
              <w:jc w:val="center"/>
            </w:pPr>
            <w:r>
              <w:rPr>
                <w:rStyle w:val="VerbatimChar"/>
              </w:rPr>
              <w:t xml:space="preserve">library(brms)</w:t>
            </w:r>
            <w:r>
              <w:br/>
            </w:r>
            <w:r>
              <w:rPr>
                <w:rStyle w:val="VerbatimChar"/>
              </w:rPr>
              <w:t xml:space="preserve">library(cmdstanr)</w:t>
            </w:r>
          </w:p>
          <w:bookmarkEnd w:id="68"/>
        </w:tc>
      </w:tr>
    </w:tbl>
    <w:tbl>
      <w:tblPr>
        <w:tblStyle w:val="Table"/>
        <w:tblW w:type="pct" w:w="5000"/>
        <w:tblLayout w:type="fixed"/>
        <w:tblLook w:firstRow="0" w:lastRow="0" w:firstColumn="0" w:lastColumn="0" w:noHBand="0" w:noVBand="0" w:val="0000"/>
      </w:tblPr>
      <w:tblGrid>
        <w:gridCol w:w="7920"/>
      </w:tblGrid>
      <w:tr>
        <w:tc>
          <w:tcPr/>
          <w:bookmarkStart w:id="69"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69"/>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w:t>
      </w:r>
      <w:hyperlink w:anchor="ref-brms">
        <w:r>
          <w:rPr>
            <w:rStyle w:val="Hyperlink"/>
          </w:rPr>
          <w:t xml:space="preserve">Bürkner, 2017</w:t>
        </w:r>
      </w:hyperlink>
      <w:r>
        <w:t xml:space="preserve">)</w:t>
      </w:r>
      <w:r>
        <w:t xml:space="preserve">. For the models we present in this paper, convergence is trivial with standard linear mixed models, though we note that these metrics are still important to pay attention to in case of model mis-fit.</w:t>
      </w:r>
    </w:p>
    <w:p>
      <w:pPr>
        <w:pStyle w:val="BodyText"/>
      </w:pPr>
      <w:r>
        <w:t xml:space="preserve">Looking at the output, the</w:t>
      </w:r>
      <w:r>
        <w:t xml:space="preserve"> </w:t>
      </w:r>
      <w:r>
        <w:rPr>
          <w:rStyle w:val="VerbatimChar"/>
        </w:rPr>
        <w:t xml:space="preserve">Intercept</w:t>
      </w:r>
      <w:r>
        <w:t xml:space="preserve"> </w:t>
      </w:r>
      <w:r>
        <w:t xml:space="preserve">refers to the mean accuracy in the</w:t>
      </w:r>
      <w:r>
        <w:t xml:space="preserve"> </w:t>
      </w:r>
      <w:r>
        <w:rPr>
          <w:i/>
          <w:iCs/>
        </w:rPr>
        <w:t xml:space="preserve">disfluent</w:t>
      </w:r>
      <w:r>
        <w:t xml:space="preserve"> </w:t>
      </w:r>
      <w:r>
        <w:t xml:space="preserve">condition, as fluency was dummy-coded. The fluency coefficient (</w:t>
      </w:r>
      <w:r>
        <w:rPr>
          <w:rStyle w:val="VerbatimChar"/>
        </w:rPr>
        <w:t xml:space="preserve">FluencyFluent</w:t>
      </w:r>
      <w:r>
        <w:t xml:space="preserve">) reflects the mean difference in recall accuracy between the fluent and disfluent conditions:</w:t>
      </w:r>
      <w:r>
        <w:t xml:space="preserve"> </w:t>
      </w:r>
      <w:r>
        <w:rPr>
          <w:i/>
          <w:iCs/>
        </w:rPr>
        <w:t xml:space="preserve">b</w:t>
      </w:r>
      <w:r>
        <w:t xml:space="preserve"> </w:t>
      </w:r>
      <w:r>
        <w:t xml:space="preserve">= 0.085. The 95% credible interval for this estimate spans from -0.002 to 0.17.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w:t>
      </w:r>
      <w:hyperlink w:anchor="ref-wilford2020">
        <w:r>
          <w:rPr>
            <w:rStyle w:val="Hyperlink"/>
          </w:rPr>
          <w:t xml:space="preserve">2020</w:t>
        </w:r>
      </w:hyperlink>
      <w:r>
        <w:t xml:space="preserve">)</w:t>
      </w:r>
      <w:r>
        <w:t xml:space="preserve"> </w:t>
      </w:r>
      <w:r>
        <w:t xml:space="preserve">(Experiment 1A).</w:t>
      </w:r>
    </w:p>
    <w:p>
      <w:pPr>
        <w:pStyle w:val="BodyText"/>
      </w:pPr>
      <w:r>
        <w:t xml:space="preserve">The output also includes the ESS and Rhat values, both of which are within acceptable ranges, indicating good model convergence. Throughout the tutorial, we focus on the posterior mean estimates and their 95% credible intervals. In addition, we also include pd measure in the main summary table (</w:t>
      </w:r>
      <w:hyperlink w:anchor="tbl-all">
        <w:r>
          <w:rPr>
            <w:rStyle w:val="Hyperlink"/>
          </w:rPr>
          <w:t xml:space="preserve">Table 2</w:t>
        </w:r>
      </w:hyperlink>
      <w:r>
        <w:t xml:space="preserve">) which are provided by the</w:t>
      </w:r>
      <w:r>
        <w:t xml:space="preserve"> </w:t>
      </w:r>
      <w:r>
        <w:rPr>
          <w:rStyle w:val="VerbatimChar"/>
        </w:rPr>
        <w:t xml:space="preserve">easystats</w:t>
      </w:r>
      <w:r>
        <w:t xml:space="preserve"> </w:t>
      </w:r>
      <w:r>
        <w:rPr>
          <w:rStyle w:val="VerbatimChar"/>
        </w:rPr>
        <w:t xml:space="preserve">bayestestr</w:t>
      </w:r>
      <w:r>
        <w:t xml:space="preserve"> </w:t>
      </w:r>
      <w:r>
        <w:t xml:space="preserve">package</w:t>
      </w:r>
      <w:r>
        <w:t xml:space="preserve"> </w:t>
      </w:r>
      <w:r>
        <w:t xml:space="preserve">Makowski, Ben-Shachar, &amp; Lüdecke (</w:t>
      </w:r>
      <w:hyperlink w:anchor="ref-makowski2019">
        <w:r>
          <w:rPr>
            <w:rStyle w:val="Hyperlink"/>
          </w:rPr>
          <w:t xml:space="preserve">2019</w:t>
        </w:r>
      </w:hyperlink>
      <w:r>
        <w:t xml:space="preserve">)</w:t>
      </w:r>
      <w:r>
        <w:t xml:space="preserve"> </w:t>
      </w:r>
      <w:r>
        <w:t xml:space="preserve">and provides a parallel to</w:t>
      </w:r>
      <w:r>
        <w:t xml:space="preserve"> </w:t>
      </w:r>
      <w:r>
        <w:rPr>
          <w:i/>
          <w:iCs/>
        </w:rPr>
        <w:t xml:space="preserve">p</w:t>
      </w:r>
      <w:r>
        <w:t xml:space="preserve">-values most readers are probably familiar with.</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3658     2946</w:t>
      </w:r>
      <w:r>
        <w:br/>
      </w:r>
      <w:r>
        <w:rPr>
          <w:rStyle w:val="VerbatimChar"/>
        </w:rPr>
        <w:t xml:space="preserve">FluencyFluent     0.08      0.04    -0.00     0.17 1.00     3524     2675</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3113     2856</w:t>
      </w:r>
    </w:p>
    <w:bookmarkEnd w:id="70"/>
    <w:bookmarkEnd w:id="71"/>
    <w:bookmarkStart w:id="106" w:name="beta-regression"/>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to check our assumptions easily. The code in</w:t>
      </w:r>
      <w:r>
        <w:t xml:space="preserve"> </w:t>
      </w:r>
      <w:hyperlink w:anchor="lst-check1">
        <w:r>
          <w:rPr>
            <w:rStyle w:val="Hyperlink"/>
          </w:rPr>
          <w:t xml:space="preserve">Listing 4</w:t>
        </w:r>
      </w:hyperlink>
      <w:r>
        <w:t xml:space="preserve"> </w:t>
      </w:r>
      <w:r>
        <w:t xml:space="preserve">automatically produces</w:t>
      </w:r>
      <w:r>
        <w:t xml:space="preserve"> </w:t>
      </w:r>
      <w:hyperlink w:anchor="fig-reg-assump">
        <w:r>
          <w:rPr>
            <w:rStyle w:val="Hyperlink"/>
          </w:rPr>
          <w:t xml:space="preserve">Figure 3</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72" w:name="lst-check1"/>
          <w:p>
            <w:pPr>
              <w:pStyle w:val="FigureWithoutNote"/>
              <w:jc w:val="center"/>
            </w:pPr>
            <w:pPr>
              <w:jc w:val="start"/>
              <w:spacing w:before="200"/>
              <w:pStyle w:val="ImageCaption"/>
            </w:pPr>
            <w:r>
              <w:t xml:space="preserve">Listing 4: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72"/>
        </w:tc>
      </w:tr>
    </w:tbl>
    <w:bookmarkStart w:id="76" w:name="fig-reg-assump"/>
    <w:p>
      <w:pPr>
        <w:pStyle w:val="FigureTitle"/>
      </w:pPr>
      <w:r>
        <w:t xml:space="preserve">Figure 3</w:t>
      </w:r>
    </w:p>
    <w:p>
      <w:pPr>
        <w:pStyle w:val="Caption"/>
      </w:pPr>
      <w:r>
        <w:t xml:space="preserve">Two assumption checks for our OLS model: Normality (left) and Homogeneity (right)</w:t>
      </w:r>
    </w:p>
    <w:p>
      <w:pPr>
        <w:pStyle w:val="FigureWithoutNote"/>
      </w:pPr>
      <w:r>
        <w:drawing>
          <wp:inline>
            <wp:extent cx="5504749" cy="3400711"/>
            <wp:effectExtent b="0" l="0" r="0" t="0"/>
            <wp:docPr descr="" title="" id="74" name="Picture"/>
            <a:graphic>
              <a:graphicData uri="http://schemas.openxmlformats.org/drawingml/2006/picture">
                <pic:pic>
                  <pic:nvPicPr>
                    <pic:cNvPr descr="ms_files/figure-docx/fig-reg-assump-1.png" id="75" name="Picture"/>
                    <pic:cNvPicPr>
                      <a:picLocks noChangeArrowheads="1" noChangeAspect="1"/>
                    </pic:cNvPicPr>
                  </pic:nvPicPr>
                  <pic:blipFill>
                    <a:blip r:embed="rId73"/>
                    <a:stretch>
                      <a:fillRect/>
                    </a:stretch>
                  </pic:blipFill>
                  <pic:spPr bwMode="auto">
                    <a:xfrm>
                      <a:off x="0" y="0"/>
                      <a:ext cx="5504749" cy="3400711"/>
                    </a:xfrm>
                    <a:prstGeom prst="rect">
                      <a:avLst/>
                    </a:prstGeom>
                    <a:noFill/>
                    <a:ln w="9525">
                      <a:noFill/>
                      <a:headEnd/>
                      <a:tailEnd/>
                    </a:ln>
                  </pic:spPr>
                </pic:pic>
              </a:graphicData>
            </a:graphic>
          </wp:inline>
        </w:drawing>
      </w:r>
    </w:p>
    <w:bookmarkEnd w:id="76"/>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4</w:t>
        </w:r>
      </w:hyperlink>
      <w:r>
        <w:t xml:space="preserve"> </w:t>
      </w:r>
      <w:r>
        <w:t xml:space="preserve">(A)) the model-predicted density is slightly too peaked and narrow compared to the data. In addition, some of the draws extend into negative accuracy values.</w:t>
      </w:r>
    </w:p>
    <w:bookmarkStart w:id="80" w:name="fig-ppcheckall"/>
    <w:p>
      <w:pPr>
        <w:pStyle w:val="FigureTitle"/>
      </w:pPr>
      <w:r>
        <w:t xml:space="preserve">Figure 4</w:t>
      </w:r>
    </w:p>
    <w:p>
      <w:pPr>
        <w:pStyle w:val="Caption"/>
      </w:pPr>
      <w:r>
        <w:t xml:space="preserve">Posterior predictive checks for regular regression (A), Beta regression (B), and ZIB (C) models</w:t>
      </w:r>
    </w:p>
    <w:p>
      <w:pPr>
        <w:pStyle w:val="FigureWithoutNote"/>
      </w:pPr>
      <w:r>
        <w:drawing>
          <wp:inline>
            <wp:extent cx="5943600" cy="3672649"/>
            <wp:effectExtent b="0" l="0" r="0" t="0"/>
            <wp:docPr descr="" title="" id="78" name="Picture"/>
            <a:graphic>
              <a:graphicData uri="http://schemas.openxmlformats.org/drawingml/2006/picture">
                <pic:pic>
                  <pic:nvPicPr>
                    <pic:cNvPr descr="ms_files/figure-docx/fig-ppcheckall-1.png" id="79" name="Picture"/>
                    <pic:cNvPicPr>
                      <a:picLocks noChangeArrowheads="1" noChangeAspect="1"/>
                    </pic:cNvPicPr>
                  </pic:nvPicPr>
                  <pic:blipFill>
                    <a:blip r:embed="rId77"/>
                    <a:stretch>
                      <a:fillRect/>
                    </a:stretch>
                  </pic:blipFill>
                  <pic:spPr bwMode="auto">
                    <a:xfrm>
                      <a:off x="0" y="0"/>
                      <a:ext cx="5943600" cy="3672649"/>
                    </a:xfrm>
                    <a:prstGeom prst="rect">
                      <a:avLst/>
                    </a:prstGeom>
                    <a:noFill/>
                    <a:ln w="9525">
                      <a:noFill/>
                      <a:headEnd/>
                      <a:tailEnd/>
                    </a:ln>
                  </pic:spPr>
                </pic:pic>
              </a:graphicData>
            </a:graphic>
          </wp:inline>
        </w:drawing>
      </w:r>
    </w:p>
    <w:bookmarkEnd w:id="80"/>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5</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exlcude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w:t>
      </w:r>
      <w:hyperlink w:anchor="ref-smithson2006">
        <w:r>
          <w:rPr>
            <w:rStyle w:val="Hyperlink"/>
          </w:rPr>
          <w:t xml:space="preserve">Smithson &amp; Verkuilen, 2006</w:t>
        </w:r>
      </w:hyperlink>
      <w:r>
        <w:t xml:space="preserve">)</w:t>
      </w:r>
      <w:r>
        <w:t xml:space="preserve"> </w:t>
      </w:r>
      <w:r>
        <w:t xml:space="preserve">so values fall within the [0, 1] interval. We implore readers not engage in this practice.</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5</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81" w:name="lst-beta01"/>
          <w:p>
            <w:pPr>
              <w:jc w:val="center"/>
            </w:pPr>
            <w:pPr>
              <w:jc w:val="start"/>
              <w:spacing w:before="200"/>
              <w:pStyle w:val="ImageCaption"/>
            </w:pPr>
            <w:r>
              <w:t xml:space="preserve">Listing 5: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1"/>
        </w:tc>
      </w:tr>
    </w:tbl>
    <w:bookmarkStart w:id="89"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2" w:name="lst-betadis"/>
          <w:p>
            <w:pPr>
              <w:jc w:val="center"/>
            </w:pPr>
            <w:pPr>
              <w:jc w:val="start"/>
              <w:spacing w:before="200"/>
              <w:pStyle w:val="ImageCaption"/>
            </w:pPr>
            <w:r>
              <w:t xml:space="preserve">Listing 6: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82"/>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3" w:name="tbl-phi-beta-exp"/>
    <w:p>
      <w:pPr>
        <w:pStyle w:val="FigureTitle"/>
      </w:pPr>
      <w:r>
        <w:t xml:space="preserve">Table 3</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4.97</w:t>
            </w:r>
          </w:p>
        </w:tc>
        <w:tc>
          <w:tcPr/>
          <w:p>
            <w:pPr>
              <w:pStyle w:val="Compact"/>
            </w:pPr>
            <w:r>
              <w:t xml:space="preserve">[3.301, 7.402]</w:t>
            </w:r>
          </w:p>
        </w:tc>
        <w:tc>
          <w:tcPr/>
          <w:p>
            <w:pPr>
              <w:pStyle w:val="Compact"/>
            </w:pPr>
            <w:r>
              <w:t xml:space="preserve">1</w:t>
            </w:r>
          </w:p>
        </w:tc>
      </w:tr>
      <w:tr>
        <w:tc>
          <w:tcPr/>
          <w:p>
            <w:pPr>
              <w:pStyle w:val="Compact"/>
            </w:pPr>
            <w:r>
              <w:t xml:space="preserve">b_phi_FluencyFluent</w:t>
            </w:r>
          </w:p>
        </w:tc>
        <w:tc>
          <w:tcPr/>
          <w:p>
            <w:pPr>
              <w:pStyle w:val="Compact"/>
            </w:pPr>
            <w:r>
              <w:t xml:space="preserve">1.51</w:t>
            </w:r>
          </w:p>
        </w:tc>
        <w:tc>
          <w:tcPr/>
          <w:p>
            <w:pPr>
              <w:pStyle w:val="Compact"/>
            </w:pPr>
            <w:r>
              <w:t xml:space="preserve">[0.856, 2.664]</w:t>
            </w:r>
          </w:p>
        </w:tc>
        <w:tc>
          <w:tcPr/>
          <w:p>
            <w:pPr>
              <w:pStyle w:val="Compact"/>
            </w:pPr>
            <w:r>
              <w:t xml:space="preserve">0.922</w:t>
            </w:r>
          </w:p>
        </w:tc>
      </w:tr>
    </w:tbl>
    <w:bookmarkEnd w:id="83"/>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Here we see one of the benefits of a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5</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84"/>
      </w:r>
    </w:p>
    <w:bookmarkStart w:id="88" w:name="fig-plt-diff"/>
    <w:p>
      <w:pPr>
        <w:pStyle w:val="FigureTitle"/>
      </w:pPr>
      <w:r>
        <w:t xml:space="preserve">Figure 5</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6" name="Picture"/>
            <a:graphic>
              <a:graphicData uri="http://schemas.openxmlformats.org/drawingml/2006/picture">
                <pic:pic>
                  <pic:nvPicPr>
                    <pic:cNvPr descr="ms_files/figure-docx/fig-plt-diff-1.png" id="87" name="Picture"/>
                    <pic:cNvPicPr>
                      <a:picLocks noChangeArrowheads="1" noChangeAspect="1"/>
                    </pic:cNvPicPr>
                  </pic:nvPicPr>
                  <pic:blipFill>
                    <a:blip r:embed="rId85"/>
                    <a:stretch>
                      <a:fillRect/>
                    </a:stretch>
                  </pic:blipFill>
                  <pic:spPr bwMode="auto">
                    <a:xfrm>
                      <a:off x="0" y="0"/>
                      <a:ext cx="5504749" cy="3400711"/>
                    </a:xfrm>
                    <a:prstGeom prst="rect">
                      <a:avLst/>
                    </a:prstGeom>
                    <a:noFill/>
                    <a:ln w="9525">
                      <a:noFill/>
                      <a:headEnd/>
                      <a:tailEnd/>
                    </a:ln>
                  </pic:spPr>
                </pic:pic>
              </a:graphicData>
            </a:graphic>
          </wp:inline>
        </w:drawing>
      </w:r>
    </w:p>
    <w:bookmarkEnd w:id="88"/>
    <w:bookmarkEnd w:id="89"/>
    <w:bookmarkStart w:id="99"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Disfluency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 </w:t>
      </w:r>
      <w:r>
        <w:t xml:space="preserve">(see</w:t>
      </w:r>
      <w:r>
        <w:t xml:space="preserve"> </w:t>
      </w:r>
      <w:hyperlink w:anchor="lst-me">
        <w:r>
          <w:rPr>
            <w:rStyle w:val="Hyperlink"/>
          </w:rPr>
          <w:t xml:space="preserve">Listing 7</w:t>
        </w:r>
      </w:hyperlink>
      <w:r>
        <w:t xml:space="preserve">). 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 These probablities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90" w:name="lst-me"/>
          <w:p>
            <w:pPr>
              <w:jc w:val="center"/>
            </w:pPr>
            <w:pPr>
              <w:jc w:val="start"/>
              <w:spacing w:before="200"/>
              <w:pStyle w:val="ImageCaption"/>
            </w:pPr>
            <w:r>
              <w:t xml:space="preserve">Listing 7: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90"/>
        </w:tc>
      </w:tr>
    </w:tbl>
    <w:tbl>
      <w:tblPr>
        <w:tblStyle w:val="Table"/>
        <w:tblW w:type="pct" w:w="5000"/>
        <w:tblLayout w:type="fixed"/>
        <w:tblLook w:firstRow="0" w:lastRow="0" w:firstColumn="0" w:lastColumn="0" w:noHBand="0" w:noVBand="0" w:val="0000"/>
      </w:tblPr>
      <w:tblGrid>
        <w:gridCol w:w="7920"/>
      </w:tblGrid>
      <w:tr>
        <w:tc>
          <w:tcPr/>
          <w:bookmarkStart w:id="91" w:name="lst-pred"/>
          <w:p>
            <w:pPr>
              <w:jc w:val="center"/>
            </w:pPr>
            <w:pPr>
              <w:jc w:val="start"/>
              <w:spacing w:before="200"/>
              <w:pStyle w:val="ImageCaption"/>
            </w:pPr>
            <w:r>
              <w:t xml:space="preserve">Listing 8: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1"/>
        </w:tc>
      </w:tr>
    </w:tbl>
    <w:bookmarkStart w:id="92" w:name="tbl-predict-prob"/>
    <w:p>
      <w:pPr>
        <w:pStyle w:val="FigureTitle"/>
      </w:pPr>
      <w:r>
        <w:t xml:space="preserve">Table 4</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0.297</w:t>
            </w:r>
          </w:p>
        </w:tc>
        <w:tc>
          <w:tcPr/>
          <w:p>
            <w:pPr>
              <w:pStyle w:val="Compact"/>
            </w:pPr>
            <w:r>
              <w:t xml:space="preserve">[0.249, 0.349]</w:t>
            </w:r>
          </w:p>
        </w:tc>
      </w:tr>
      <w:tr>
        <w:tc>
          <w:tcPr/>
          <w:p>
            <w:pPr>
              <w:pStyle w:val="Compact"/>
            </w:pPr>
            <w:r>
              <w:t xml:space="preserve">Fluent</w:t>
            </w:r>
          </w:p>
        </w:tc>
        <w:tc>
          <w:tcPr/>
          <w:p>
            <w:pPr>
              <w:pStyle w:val="Compact"/>
            </w:pPr>
            <w:r>
              <w:t xml:space="preserve">0.353</w:t>
            </w:r>
          </w:p>
        </w:tc>
        <w:tc>
          <w:tcPr/>
          <w:p>
            <w:pPr>
              <w:pStyle w:val="Compact"/>
            </w:pPr>
            <w:r>
              <w:t xml:space="preserve">[0.304, 0.406]</w:t>
            </w:r>
          </w:p>
        </w:tc>
      </w:tr>
    </w:tbl>
    <w:bookmarkEnd w:id="92"/>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3" w:name="lst-plotbeta"/>
          <w:p>
            <w:pPr>
              <w:jc w:val="center"/>
            </w:pPr>
            <w:pPr>
              <w:jc w:val="start"/>
              <w:spacing w:before="200"/>
              <w:pStyle w:val="ImageCaption"/>
            </w:pPr>
            <w:r>
              <w:t xml:space="preserve">Listing 9: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93"/>
        </w:tc>
      </w:tr>
    </w:tbl>
    <w:p>
      <w:pPr>
        <w:pStyle w:val="FirstParagraph"/>
      </w:pPr>
      <w:r>
        <w:t xml:space="preserve">The</w:t>
      </w:r>
      <w:r>
        <w:t xml:space="preserve"> </w:t>
      </w:r>
      <w:r>
        <w:rPr>
          <w:rStyle w:val="VerbatimChar"/>
        </w:rPr>
        <w:t xml:space="preserve">plot_predictions()</w:t>
      </w:r>
      <w:r>
        <w:t xml:space="preserve"> </w:t>
      </w:r>
      <w:r>
        <w:t xml:space="preserve">fucntuon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10</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4" w:name="lst-posdraws"/>
          <w:p>
            <w:pPr>
              <w:jc w:val="center"/>
            </w:pPr>
            <w:pPr>
              <w:jc w:val="start"/>
              <w:spacing w:before="200"/>
              <w:pStyle w:val="ImageCaption"/>
            </w:pPr>
            <w:r>
              <w:t xml:space="preserve">Listing 10: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4"/>
        </w:tc>
      </w:tr>
    </w:tbl>
    <w:bookmarkStart w:id="98" w:name="fig-draws-fluency"/>
    <w:p>
      <w:pPr>
        <w:pStyle w:val="FigureTitle"/>
      </w:pPr>
      <w:r>
        <w:t xml:space="preserve">Figure 6</w:t>
      </w:r>
    </w:p>
    <w:p>
      <w:pPr>
        <w:pStyle w:val="Caption"/>
      </w:pPr>
      <w:r>
        <w:t xml:space="preserve">Predicted probablity posterior distributions by fluency</w:t>
      </w:r>
    </w:p>
    <w:p>
      <w:pPr>
        <w:pStyle w:val="FigureWithoutNote"/>
      </w:pPr>
      <w:r>
        <w:drawing>
          <wp:inline>
            <wp:extent cx="5504749" cy="3400711"/>
            <wp:effectExtent b="0" l="0" r="0" t="0"/>
            <wp:docPr descr="" title="" id="96" name="Picture"/>
            <a:graphic>
              <a:graphicData uri="http://schemas.openxmlformats.org/drawingml/2006/picture">
                <pic:pic>
                  <pic:nvPicPr>
                    <pic:cNvPr descr="ms_files/figure-docx/fig-draws-fluency-1.png" id="97" name="Picture"/>
                    <pic:cNvPicPr>
                      <a:picLocks noChangeArrowheads="1" noChangeAspect="1"/>
                    </pic:cNvPicPr>
                  </pic:nvPicPr>
                  <pic:blipFill>
                    <a:blip r:embed="rId95"/>
                    <a:stretch>
                      <a:fillRect/>
                    </a:stretch>
                  </pic:blipFill>
                  <pic:spPr bwMode="auto">
                    <a:xfrm>
                      <a:off x="0" y="0"/>
                      <a:ext cx="5504749" cy="3400711"/>
                    </a:xfrm>
                    <a:prstGeom prst="rect">
                      <a:avLst/>
                    </a:prstGeom>
                    <a:noFill/>
                    <a:ln w="9525">
                      <a:noFill/>
                      <a:headEnd/>
                      <a:tailEnd/>
                    </a:ln>
                  </pic:spPr>
                </pic:pic>
              </a:graphicData>
            </a:graphic>
          </wp:inline>
        </w:drawing>
      </w:r>
    </w:p>
    <w:bookmarkEnd w:id="98"/>
    <w:bookmarkEnd w:id="99"/>
    <w:bookmarkStart w:id="104"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w:t>
      </w:r>
      <w:hyperlink w:anchor="ref-emmeans">
        <w:r>
          <w:rPr>
            <w:rStyle w:val="Hyperlink"/>
          </w:rPr>
          <w:t xml:space="preserve">Lenth, 2025</w:t>
        </w:r>
      </w:hyperlink>
      <w:r>
        <w:t xml:space="preserve">)</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11</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100" w:name="lst-avgcomp"/>
          <w:p>
            <w:pPr>
              <w:jc w:val="center"/>
            </w:pPr>
            <w:pPr>
              <w:jc w:val="start"/>
              <w:spacing w:before="200"/>
              <w:pStyle w:val="ImageCaption"/>
            </w:pPr>
            <w:r>
              <w:t xml:space="preserve">Listing 11: Calculating the difference between probablities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100"/>
        </w:tc>
      </w:tr>
    </w:tbl>
    <w:bookmarkStart w:id="101" w:name="tbl-ame1"/>
    <w:p>
      <w:pPr>
        <w:pStyle w:val="FigureTitle"/>
      </w:pPr>
      <w:r>
        <w:t xml:space="preserve">Table 5</w:t>
      </w:r>
    </w:p>
    <w:p>
      <w:pPr>
        <w:pStyle w:val="Caption"/>
      </w:pPr>
      <w:r>
        <w:t xml:space="preserve">Probability 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0.056</w:t>
            </w:r>
          </w:p>
        </w:tc>
        <w:tc>
          <w:tcPr/>
          <w:p>
            <w:pPr>
              <w:pStyle w:val="Compact"/>
            </w:pPr>
            <w:r>
              <w:t xml:space="preserve">[-0.017, 0.128]</w:t>
            </w:r>
          </w:p>
        </w:tc>
      </w:tr>
    </w:tbl>
    <w:bookmarkEnd w:id="101"/>
    <w:p>
      <w:pPr>
        <w:pStyle w:val="AfterWithoutNote"/>
      </w:pPr>
      <w:hyperlink w:anchor="tbl-ame1">
        <w:r>
          <w:rPr>
            <w:rStyle w:val="Hyperlink"/>
          </w:rPr>
          <w:t xml:space="preserve">Table 5</w:t>
        </w:r>
      </w:hyperlink>
      <w:r>
        <w:t xml:space="preserve"> </w:t>
      </w:r>
      <w:r>
        <w:t xml:space="preserve">displays the difference for the fluency factor (</w:t>
      </w:r>
      <w:r>
        <w:rPr>
          <w:rStyle w:val="VerbatimChar"/>
        </w:rPr>
        <w:t xml:space="preserve">Mean</w:t>
      </w:r>
      <w:r>
        <w:t xml:space="preserve"> </w:t>
      </w:r>
      <w:r>
        <w:t xml:space="preserve">column). The difference between the fluent and disfluent conditions is .06. That is, participants who watched a fluent instructor scored 6% higher on the final recall test than participants who watched the disfluent instructor. Our credible interval contains 0 as one of the 95% most credible values, meaning the evidence for an effect of fluency is unlikely.</w:t>
      </w:r>
    </w:p>
    <w:bookmarkStart w:id="102" w:name="tbl-or"/>
    <w:p>
      <w:pPr>
        <w:pStyle w:val="FigureTitle"/>
      </w:pPr>
      <w:r>
        <w:t xml:space="preserve">Table 6</w:t>
      </w:r>
    </w:p>
    <w:p>
      <w:pPr>
        <w:pStyle w:val="Caption"/>
      </w:pPr>
      <w:r>
        <w:t xml:space="preserve">Odds ratio for fluency factor</w:t>
      </w:r>
    </w:p>
    <w:tbl>
      <w:tblPr>
        <w:tblStyle w:val="Table"/>
        <w:tblW w:type="pct" w:w="4865"/>
        <w:tblLayout w:type="fixed"/>
        <w:tblLook w:firstRow="1" w:lastRow="0" w:firstColumn="0" w:lastColumn="0" w:noHBand="0" w:noVBand="0" w:val="0020"/>
      </w:tblPr>
      <w:tblGrid>
        <w:gridCol w:w="1070"/>
        <w:gridCol w:w="3960"/>
        <w:gridCol w:w="856"/>
        <w:gridCol w:w="1819"/>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1.291</w:t>
            </w:r>
          </w:p>
        </w:tc>
        <w:tc>
          <w:tcPr/>
          <w:p>
            <w:pPr>
              <w:pStyle w:val="Compact"/>
            </w:pPr>
            <w:r>
              <w:t xml:space="preserve">[0.927, 1.796]</w:t>
            </w:r>
          </w:p>
        </w:tc>
      </w:tr>
    </w:tbl>
    <w:bookmarkEnd w:id="102"/>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CIs around it. Using this metric we see the effect size is small (0.107), 95% credible interval [-0.002, 0.361].</w:t>
      </w:r>
    </w:p>
    <w:p>
      <w:pPr>
        <w:pStyle w:val="BodyText"/>
      </w:pPr>
      <w:bookmarkStart w:id="103"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03"/>
    </w:p>
    <w:bookmarkEnd w:id="104"/>
    <w:bookmarkStart w:id="105" w:name="posterior-predictive-check"/>
    <w:p>
      <w:pPr>
        <w:pStyle w:val="Heading3"/>
      </w:pPr>
      <w:r>
        <w:t xml:space="preserve">Posterior Predictive Check</w:t>
      </w:r>
    </w:p>
    <w:p>
      <w:pPr>
        <w:pStyle w:val="FirstParagraph"/>
      </w:pPr>
      <w:hyperlink w:anchor="fig-ppcheckall">
        <w:r>
          <w:rPr>
            <w:rStyle w:val="Hyperlink"/>
          </w:rPr>
          <w:t xml:space="preserve">Figure 4</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105"/>
    <w:bookmarkEnd w:id="106"/>
    <w:bookmarkStart w:id="118"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w:t>
      </w:r>
      <w:r>
        <w:rPr>
          <w:rStyle w:val="FootnoteReference"/>
        </w:rPr>
        <w:footnoteReference w:id="107"/>
      </w:r>
      <w:r>
        <w:t xml:space="preserve"> </w:t>
      </w:r>
      <w:r>
        <w:t xml:space="preserve">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[YIKES - LET’S BE CONSISTENT HERE–WE SHOULD USE THE ZOIB IF RATHER THAN NUDGE] our 1s to .99–we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8" w:name="lst-zib"/>
          <w:p>
            <w:pPr>
              <w:jc w:val="center"/>
            </w:pPr>
            <w:pPr>
              <w:jc w:val="start"/>
              <w:spacing w:before="200"/>
              <w:pStyle w:val="ImageCaption"/>
            </w:pPr>
            <w:r>
              <w:t xml:space="preserve">Listing 12: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08"/>
        </w:tc>
      </w:tr>
    </w:tbl>
    <w:bookmarkStart w:id="109" w:name="posterior-predictive-check-1"/>
    <w:p>
      <w:pPr>
        <w:pStyle w:val="Heading3"/>
      </w:pPr>
      <w:r>
        <w:t xml:space="preserve">Posterior Predictive Check</w:t>
      </w:r>
    </w:p>
    <w:p>
      <w:pPr>
        <w:pStyle w:val="FirstParagraph"/>
      </w:pPr>
      <w:r>
        <w:t xml:space="preserve">The ZIB model does a bit better at capturing the sturture of the data then the Beta regression model (see</w:t>
      </w:r>
      <w:r>
        <w:t xml:space="preserve"> </w:t>
      </w:r>
      <w:hyperlink w:anchor="fig-ppcheckall">
        <w:r>
          <w:rPr>
            <w:rStyle w:val="Hyperlink"/>
          </w:rPr>
          <w:t xml:space="preserve">Figure 4</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09"/>
    <w:bookmarkStart w:id="112"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t>
      </w:r>
      <w:r>
        <w:t xml:space="preserve">to get predicted probablities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CI includes zero, suggesting substantial uncertainty about the direction and magnitude of the effect.</w:t>
      </w:r>
    </w:p>
    <w:bookmarkStart w:id="110"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0.044</w:t>
            </w:r>
          </w:p>
        </w:tc>
        <w:tc>
          <w:tcPr/>
          <w:p>
            <w:pPr>
              <w:pStyle w:val="Compact"/>
            </w:pPr>
            <w:r>
              <w:t xml:space="preserve">[-0.031, 0.115]</w:t>
            </w:r>
          </w:p>
        </w:tc>
      </w:tr>
    </w:tbl>
    <w:bookmarkEnd w:id="110"/>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CI for the fluency contrast does not include zero, indicating meaningful differences in precision.</w:t>
      </w:r>
    </w:p>
    <w:bookmarkStart w:id="111"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2.73</w:t>
            </w:r>
          </w:p>
        </w:tc>
        <w:tc>
          <w:tcPr/>
          <w:p>
            <w:pPr>
              <w:pStyle w:val="Compact"/>
            </w:pPr>
            <w:r>
              <w:t xml:space="preserve">[-0.829, 6.639]</w:t>
            </w:r>
          </w:p>
        </w:tc>
      </w:tr>
    </w:tbl>
    <w:bookmarkEnd w:id="111"/>
    <w:bookmarkEnd w:id="112"/>
    <w:bookmarkStart w:id="117"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7</w:t>
        </w:r>
      </w:hyperlink>
      <w:r>
        <w:t xml:space="preserve">). In</w:t>
      </w:r>
      <w:r>
        <w:t xml:space="preserve"> </w:t>
      </w:r>
      <w:hyperlink w:anchor="fig-zi-plot">
        <w:r>
          <w:rPr>
            <w:rStyle w:val="Hyperlink"/>
          </w:rPr>
          <w:t xml:space="preserve">Figure 7</w:t>
        </w:r>
      </w:hyperlink>
      <w:r>
        <w:t xml:space="preserve">, there is evidence that watching a lecture video with a fluent instructor reduces the probability of a zero response by approximately 13%. The 95% CI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probablity of each level (see</w:t>
      </w:r>
      <w:r>
        <w:t xml:space="preserve"> </w:t>
      </w:r>
      <w:hyperlink w:anchor="fig-zi-plot">
        <w:r>
          <w:rPr>
            <w:rStyle w:val="Hyperlink"/>
          </w:rPr>
          <w:t xml:space="preserve">Figure 7</w:t>
        </w:r>
      </w:hyperlink>
      <w:r>
        <w:t xml:space="preserve">).</w:t>
      </w:r>
    </w:p>
    <w:bookmarkStart w:id="116" w:name="fig-zi-plot"/>
    <w:p>
      <w:pPr>
        <w:pStyle w:val="FigureTitle"/>
      </w:pPr>
      <w:r>
        <w:t xml:space="preserve">Figure 7</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14" name="Picture"/>
            <a:graphic>
              <a:graphicData uri="http://schemas.openxmlformats.org/drawingml/2006/picture">
                <pic:pic>
                  <pic:nvPicPr>
                    <pic:cNvPr descr="ms_files/figure-docx/fig-zi-plot-1.png" id="115" name="Picture"/>
                    <pic:cNvPicPr>
                      <a:picLocks noChangeArrowheads="1" noChangeAspect="1"/>
                    </pic:cNvPicPr>
                  </pic:nvPicPr>
                  <pic:blipFill>
                    <a:blip r:embed="rId113"/>
                    <a:stretch>
                      <a:fillRect/>
                    </a:stretch>
                  </pic:blipFill>
                  <pic:spPr bwMode="auto">
                    <a:xfrm>
                      <a:off x="0" y="0"/>
                      <a:ext cx="5504749" cy="3400711"/>
                    </a:xfrm>
                    <a:prstGeom prst="rect">
                      <a:avLst/>
                    </a:prstGeom>
                    <a:noFill/>
                    <a:ln w="9525">
                      <a:noFill/>
                      <a:headEnd/>
                      <a:tailEnd/>
                    </a:ln>
                  </pic:spPr>
                </pic:pic>
              </a:graphicData>
            </a:graphic>
          </wp:inline>
        </w:drawing>
      </w:r>
    </w:p>
    <w:bookmarkEnd w:id="116"/>
    <w:bookmarkEnd w:id="117"/>
    <w:bookmarkEnd w:id="118"/>
    <w:bookmarkStart w:id="128"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9"/>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8</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3" w:name="fig-zoib"/>
    <w:p>
      <w:pPr>
        <w:pStyle w:val="FigureTitle"/>
      </w:pPr>
      <w:r>
        <w:t xml:space="preserve">Figure 8</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1" name="Picture"/>
            <a:graphic>
              <a:graphicData uri="http://schemas.openxmlformats.org/drawingml/2006/picture">
                <pic:pic>
                  <pic:nvPicPr>
                    <pic:cNvPr descr="ms_files/figure-docx/fig-zoib-1.png" id="122" name="Picture"/>
                    <pic:cNvPicPr>
                      <a:picLocks noChangeArrowheads="1" noChangeAspect="1"/>
                    </pic:cNvPicPr>
                  </pic:nvPicPr>
                  <pic:blipFill>
                    <a:blip r:embed="rId120"/>
                    <a:stretch>
                      <a:fillRect/>
                    </a:stretch>
                  </pic:blipFill>
                  <pic:spPr bwMode="auto">
                    <a:xfrm>
                      <a:off x="0" y="0"/>
                      <a:ext cx="5943600" cy="3672649"/>
                    </a:xfrm>
                    <a:prstGeom prst="rect">
                      <a:avLst/>
                    </a:prstGeom>
                    <a:noFill/>
                    <a:ln w="9525">
                      <a:noFill/>
                      <a:headEnd/>
                      <a:tailEnd/>
                    </a:ln>
                  </pic:spPr>
                </pic:pic>
              </a:graphicData>
            </a:graphic>
          </wp:inline>
        </w:drawing>
      </w:r>
    </w:p>
    <w:bookmarkEnd w:id="123"/>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13</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24" w:name="lst-zoib"/>
          <w:p>
            <w:pPr>
              <w:jc w:val="center"/>
            </w:pPr>
            <w:pPr>
              <w:jc w:val="start"/>
              <w:spacing w:before="200"/>
              <w:pStyle w:val="ImageCaption"/>
            </w:pPr>
            <w:r>
              <w:t xml:space="preserve">Listing 13: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0s,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24"/>
        </w:tc>
      </w:tr>
    </w:tbl>
    <w:bookmarkStart w:id="125"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5"/>
    <w:bookmarkStart w:id="127"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26" w:name="lst-coi"/>
          <w:p>
            <w:pPr>
              <w:jc w:val="center"/>
            </w:pPr>
            <w:pPr>
              <w:jc w:val="start"/>
              <w:spacing w:before="200"/>
              <w:pStyle w:val="ImageCaption"/>
            </w:pPr>
            <w:r>
              <w:t xml:space="preserve">Listing 14: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6"/>
        </w:tc>
      </w:tr>
    </w:tbl>
    <w:bookmarkEnd w:id="127"/>
    <w:bookmarkEnd w:id="128"/>
    <w:bookmarkStart w:id="134"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29"/>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The important condition is that while the different types of responses may be more or less qualitatively different, they remain similar</w:t>
      </w:r>
      <w:r>
        <w:t xml:space="preserve"> </w:t>
      </w:r>
      <w:r>
        <w:rPr>
          <w:i/>
          <w:iCs/>
        </w:rPr>
        <w:t xml:space="preserve">categorically.</w:t>
      </w:r>
      <w:r>
        <w:t xml:space="preserve"> </w:t>
      </w:r>
      <w:r>
        <w:t xml:space="preserve">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33"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0" w:name="lst-ordbeta"/>
          <w:p>
            <w:pPr>
              <w:jc w:val="center"/>
            </w:pPr>
            <w:pPr>
              <w:jc w:val="start"/>
              <w:spacing w:before="200"/>
              <w:pStyle w:val="ImageCaption"/>
            </w:pPr>
            <w:r>
              <w:t xml:space="preserve">Listing 15: Load</w:t>
            </w:r>
            <w:r>
              <w:t xml:space="preserve"> </w:t>
            </w:r>
            <w:r>
              <w:rPr>
                <w:rStyle w:val="VerbatimChar"/>
              </w:rPr>
              <w:t xml:space="preserve">ordbetareg</w:t>
            </w:r>
          </w:p>
          <w:p>
            <w:pPr>
              <w:pStyle w:val="SourceCode"/>
              <w:jc w:val="center"/>
            </w:pPr>
            <w:r>
              <w:rPr>
                <w:rStyle w:val="VerbatimChar"/>
              </w:rPr>
              <w:t xml:space="preserve">library(ordbetareg)</w:t>
            </w:r>
          </w:p>
          <w:bookmarkEnd w:id="130"/>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1" w:name="lst-fitordbeta"/>
          <w:p>
            <w:pPr>
              <w:jc w:val="center"/>
            </w:pPr>
            <w:pPr>
              <w:jc w:val="start"/>
              <w:spacing w:before="200"/>
              <w:pStyle w:val="ImageCaption"/>
            </w:pPr>
            <w:r>
              <w:t xml:space="preserve">Listing 16: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1"/>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17</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2" w:name="lst-ordbetadisp"/>
          <w:p>
            <w:pPr>
              <w:jc w:val="center"/>
            </w:pPr>
            <w:pPr>
              <w:jc w:val="start"/>
              <w:spacing w:before="200"/>
              <w:pStyle w:val="ImageCaption"/>
            </w:pPr>
            <w:r>
              <w:t xml:space="preserve">Listing 17: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2"/>
        </w:tc>
      </w:tr>
    </w:tbl>
    <w:bookmarkEnd w:id="133"/>
    <w:bookmarkEnd w:id="134"/>
    <w:bookmarkStart w:id="148"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5" w:name="tbl-ordbeta"/>
    <w:p>
      <w:pPr>
        <w:pStyle w:val="FigureTitle"/>
      </w:pPr>
      <w:r>
        <w:t xml:space="preserve">Table 10</w:t>
      </w:r>
    </w:p>
    <w:p>
      <w:pPr>
        <w:pStyle w:val="Caption"/>
      </w:pPr>
      <w:r>
        <w:t xml:space="preserve">Marginal effect for fluency factor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[-0.012, 0.134]</w:t>
            </w:r>
          </w:p>
        </w:tc>
      </w:tr>
    </w:tbl>
    <w:bookmarkEnd w:id="135"/>
    <w:p>
      <w:pPr>
        <w:pStyle w:val="AfterWithoutNote"/>
      </w:pPr>
      <w:r>
        <w:t xml:space="preserve">In</w:t>
      </w:r>
      <w:r>
        <w:t xml:space="preserve"> </w:t>
      </w:r>
      <w:hyperlink w:anchor="tbl-ordbeta">
        <w:r>
          <w:rPr>
            <w:rStyle w:val="Hyperlink"/>
          </w:rPr>
          <w:t xml:space="preserve">Table 10</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37"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w:t>
      </w:r>
      <w:hyperlink w:anchor="ref-posterior2025a">
        <w:r>
          <w:rPr>
            <w:rStyle w:val="Hyperlink"/>
          </w:rPr>
          <w:t xml:space="preserve">Bürkner et al., 2025</w:t>
        </w:r>
      </w:hyperlink>
      <w:r>
        <w:t xml:space="preserve">)</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6" w:name="tbl-cutpoints"/>
    <w:p>
      <w:pPr>
        <w:pStyle w:val="FigureTitle"/>
      </w:pPr>
      <w:r>
        <w:t xml:space="preserve">Table 11</w:t>
      </w:r>
    </w:p>
    <w:p>
      <w:pPr>
        <w:pStyle w:val="Caption"/>
      </w:pPr>
      <w:r>
        <w:t xml:space="preserve">Cutzero and cutone parameter summary</w:t>
      </w:r>
    </w:p>
    <w:tbl>
      <w:tblPr>
        <w:tblStyle w:val="Table"/>
        <w:tblW w:type="pct" w:w="2500"/>
        <w:tblLayout w:type="fixed"/>
        <w:tblLook w:firstRow="1" w:lastRow="0" w:firstColumn="0" w:lastColumn="0" w:noHBand="0" w:noVBand="0" w:val="0020"/>
      </w:tblPr>
      <w:tblGrid>
        <w:gridCol w:w="1320"/>
        <w:gridCol w:w="880"/>
        <w:gridCol w:w="176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-2.98</w:t>
            </w:r>
          </w:p>
        </w:tc>
        <w:tc>
          <w:tcPr/>
          <w:p>
            <w:pPr>
              <w:pStyle w:val="Compact"/>
            </w:pPr>
            <w:r>
              <w:t xml:space="preserve">[-3.6, -2.41]</w:t>
            </w:r>
          </w:p>
        </w:tc>
      </w:tr>
      <w:tr>
        <w:tc>
          <w:tcPr/>
          <w:p>
            <w:pPr>
              <w:pStyle w:val="Compact"/>
            </w:pPr>
            <w:r>
              <w:t xml:space="preserve">cutone</w:t>
            </w:r>
          </w:p>
        </w:tc>
        <w:tc>
          <w:tcPr/>
          <w:p>
            <w:pPr>
              <w:pStyle w:val="Compact"/>
            </w:pPr>
            <w:r>
              <w:t xml:space="preserve">1.85</w:t>
            </w:r>
          </w:p>
        </w:tc>
        <w:tc>
          <w:tcPr/>
          <w:p>
            <w:pPr>
              <w:pStyle w:val="Compact"/>
            </w:pPr>
            <w:r>
              <w:t xml:space="preserve">[1.65, 2.08]</w:t>
            </w:r>
          </w:p>
        </w:tc>
      </w:tr>
    </w:tbl>
    <w:bookmarkEnd w:id="136"/>
    <w:p>
      <w:pPr>
        <w:pStyle w:val="AfterWithoutNote"/>
      </w:pPr>
      <w:r>
        <w:t xml:space="preserve">In</w:t>
      </w:r>
      <w:r>
        <w:t xml:space="preserve"> </w:t>
      </w:r>
      <w:hyperlink w:anchor="tbl-cutpoints">
        <w:r>
          <w:rPr>
            <w:rStyle w:val="Hyperlink"/>
          </w:rPr>
          <w:t xml:space="preserve">Table 11</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37"/>
    <w:bookmarkStart w:id="146"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9</w:t>
        </w:r>
      </w:hyperlink>
      <w:r>
        <w:t xml:space="preserve">).</w:t>
      </w:r>
    </w:p>
    <w:bookmarkStart w:id="141" w:name="fig-ppcheckord"/>
    <w:p>
      <w:pPr>
        <w:pStyle w:val="FigureTitle"/>
      </w:pPr>
      <w:r>
        <w:t xml:space="preserve">Figure 9</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39" name="Picture"/>
            <a:graphic>
              <a:graphicData uri="http://schemas.openxmlformats.org/drawingml/2006/picture">
                <pic:pic>
                  <pic:nvPicPr>
                    <pic:cNvPr descr="ms_files/figure-docx/fig-ppcheckord-1.png" id="140" name="Picture"/>
                    <pic:cNvPicPr>
                      <a:picLocks noChangeArrowheads="1" noChangeAspect="1"/>
                    </pic:cNvPicPr>
                  </pic:nvPicPr>
                  <pic:blipFill>
                    <a:blip r:embed="rId138"/>
                    <a:stretch>
                      <a:fillRect/>
                    </a:stretch>
                  </pic:blipFill>
                  <pic:spPr bwMode="auto">
                    <a:xfrm>
                      <a:off x="0" y="0"/>
                      <a:ext cx="5943600" cy="3671823"/>
                    </a:xfrm>
                    <a:prstGeom prst="rect">
                      <a:avLst/>
                    </a:prstGeom>
                    <a:noFill/>
                    <a:ln w="9525">
                      <a:noFill/>
                      <a:headEnd/>
                      <a:tailEnd/>
                    </a:ln>
                  </pic:spPr>
                </pic:pic>
              </a:graphicData>
            </a:graphic>
          </wp:inline>
        </w:drawing>
      </w:r>
    </w:p>
    <w:bookmarkEnd w:id="141"/>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w:t>
      </w:r>
      <w:hyperlink w:anchor="ref-yeEnforcingBoundariesChinas2023">
        <w:r>
          <w:rPr>
            <w:rStyle w:val="Hyperlink"/>
          </w:rPr>
          <w:t xml:space="preserve">Ye &amp; Heiss, 2023</w:t>
        </w:r>
      </w:hyperlink>
      <w:r>
        <w:t xml:space="preserve">)</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10</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5" w:name="fig-heiss"/>
    <w:p>
      <w:pPr>
        <w:pStyle w:val="FigureTitle"/>
      </w:pPr>
      <w:r>
        <w:t xml:space="preserve">Figure 10</w:t>
      </w:r>
    </w:p>
    <w:p>
      <w:pPr>
        <w:pStyle w:val="Caption"/>
      </w:pPr>
      <w:r>
        <w:t xml:space="preserve">Heiss Plot of Predicted Probablities across the scale (0-100)</w:t>
      </w:r>
    </w:p>
    <w:p>
      <w:pPr>
        <w:pStyle w:val="FigureWithoutNote"/>
      </w:pPr>
      <w:r>
        <w:drawing>
          <wp:inline>
            <wp:extent cx="5504749" cy="3400711"/>
            <wp:effectExtent b="0" l="0" r="0" t="0"/>
            <wp:docPr descr="" title="" id="143" name="Picture"/>
            <a:graphic>
              <a:graphicData uri="http://schemas.openxmlformats.org/drawingml/2006/picture">
                <pic:pic>
                  <pic:nvPicPr>
                    <pic:cNvPr descr="ms_files/figure-docx/fig-heiss-1.png" id="144" name="Picture"/>
                    <pic:cNvPicPr>
                      <a:picLocks noChangeArrowheads="1" noChangeAspect="1"/>
                    </pic:cNvPicPr>
                  </pic:nvPicPr>
                  <pic:blipFill>
                    <a:blip r:embed="rId142"/>
                    <a:stretch>
                      <a:fillRect/>
                    </a:stretch>
                  </pic:blipFill>
                  <pic:spPr bwMode="auto">
                    <a:xfrm>
                      <a:off x="0" y="0"/>
                      <a:ext cx="5504749" cy="3400711"/>
                    </a:xfrm>
                    <a:prstGeom prst="rect">
                      <a:avLst/>
                    </a:prstGeom>
                    <a:noFill/>
                    <a:ln w="9525">
                      <a:noFill/>
                      <a:headEnd/>
                      <a:tailEnd/>
                    </a:ln>
                  </pic:spPr>
                </pic:pic>
              </a:graphicData>
            </a:graphic>
          </wp:inline>
        </w:drawing>
      </w:r>
    </w:p>
    <w:bookmarkEnd w:id="145"/>
    <w:bookmarkEnd w:id="146"/>
    <w:bookmarkStart w:id="147"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47"/>
    <w:bookmarkEnd w:id="148"/>
    <w:bookmarkEnd w:id="149"/>
    <w:bookmarkStart w:id="151"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OLS regression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50"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0"/>
    <w:bookmarkEnd w:id="151"/>
    <w:bookmarkStart w:id="252" w:name="references"/>
    <w:p>
      <w:pPr>
        <w:pStyle w:val="Heading1"/>
      </w:pPr>
      <w:r>
        <w:t xml:space="preserve">References</w:t>
      </w:r>
    </w:p>
    <w:bookmarkStart w:id="251" w:name="refs"/>
    <w:bookmarkStart w:id="153"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2">
        <w:r>
          <w:rPr>
            <w:rStyle w:val="Hyperlink"/>
          </w:rPr>
          <w:t xml:space="preserve">https://CRAN.R-project.org/package=marginaleffects</w:t>
        </w:r>
      </w:hyperlink>
    </w:p>
    <w:bookmarkEnd w:id="153"/>
    <w:bookmarkStart w:id="155"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4">
        <w:r>
          <w:rPr>
            <w:rStyle w:val="Hyperlink"/>
          </w:rPr>
          <w:t xml:space="preserve">https://doi.org/10.18637/jss.v111.i09</w:t>
        </w:r>
      </w:hyperlink>
    </w:p>
    <w:bookmarkEnd w:id="155"/>
    <w:bookmarkStart w:id="157"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6">
        <w:r>
          <w:rPr>
            <w:rStyle w:val="Hyperlink"/>
          </w:rPr>
          <w:t xml:space="preserve">https://doi.org/10.2307/2983678</w:t>
        </w:r>
      </w:hyperlink>
    </w:p>
    <w:bookmarkEnd w:id="157"/>
    <w:bookmarkStart w:id="159"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8">
        <w:r>
          <w:rPr>
            <w:rStyle w:val="Hyperlink"/>
          </w:rPr>
          <w:t xml:space="preserve">https://doi.org/10.1037/met0000553</w:t>
        </w:r>
      </w:hyperlink>
    </w:p>
    <w:bookmarkEnd w:id="159"/>
    <w:bookmarkStart w:id="161"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0">
        <w:r>
          <w:rPr>
            <w:rStyle w:val="Hyperlink"/>
          </w:rPr>
          <w:t xml:space="preserve">https://doi.org/10.32614/RJ-2017-066</w:t>
        </w:r>
      </w:hyperlink>
    </w:p>
    <w:bookmarkEnd w:id="161"/>
    <w:bookmarkStart w:id="163"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2">
        <w:r>
          <w:rPr>
            <w:rStyle w:val="Hyperlink"/>
          </w:rPr>
          <w:t xml:space="preserve">https://doi.org/10.18637/jss.v080.i01</w:t>
        </w:r>
      </w:hyperlink>
    </w:p>
    <w:bookmarkEnd w:id="163"/>
    <w:bookmarkStart w:id="165"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64">
        <w:r>
          <w:rPr>
            <w:rStyle w:val="Hyperlink"/>
          </w:rPr>
          <w:t xml:space="preserve">https://mc-stan.org/posterior/</w:t>
        </w:r>
      </w:hyperlink>
    </w:p>
    <w:bookmarkEnd w:id="165"/>
    <w:bookmarkStart w:id="167"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6">
        <w:r>
          <w:rPr>
            <w:rStyle w:val="Hyperlink"/>
          </w:rPr>
          <w:t xml:space="preserve">https://doi.org/10.1177/2515245918823199</w:t>
        </w:r>
      </w:hyperlink>
    </w:p>
    <w:bookmarkEnd w:id="167"/>
    <w:bookmarkStart w:id="169"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68">
        <w:r>
          <w:rPr>
            <w:rStyle w:val="Hyperlink"/>
          </w:rPr>
          <w:t xml:space="preserve">https://doi.org/10.3758/s13423-013-0442-z</w:t>
        </w:r>
      </w:hyperlink>
    </w:p>
    <w:bookmarkEnd w:id="169"/>
    <w:bookmarkStart w:id="170"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0"/>
    <w:bookmarkStart w:id="172"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1">
        <w:r>
          <w:rPr>
            <w:rStyle w:val="Hyperlink"/>
          </w:rPr>
          <w:t xml:space="preserve">https://doi.org/10.31219/osf.io/f9rqg_v1</w:t>
        </w:r>
      </w:hyperlink>
      <w:r>
        <w:t xml:space="preserve">.</w:t>
      </w:r>
    </w:p>
    <w:bookmarkEnd w:id="172"/>
    <w:bookmarkStart w:id="174"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3">
        <w:r>
          <w:rPr>
            <w:rStyle w:val="Hyperlink"/>
          </w:rPr>
          <w:t xml:space="preserve">https://doi.org/10.1126/science.adq1814</w:t>
        </w:r>
      </w:hyperlink>
    </w:p>
    <w:bookmarkEnd w:id="174"/>
    <w:bookmarkStart w:id="176"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75">
        <w:r>
          <w:rPr>
            <w:rStyle w:val="Hyperlink"/>
          </w:rPr>
          <w:t xml:space="preserve">https://doi.org/10.18637/jss.v034.i02</w:t>
        </w:r>
      </w:hyperlink>
    </w:p>
    <w:bookmarkEnd w:id="176"/>
    <w:bookmarkStart w:id="178"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77">
        <w:r>
          <w:rPr>
            <w:rStyle w:val="Hyperlink"/>
          </w:rPr>
          <w:t xml:space="preserve">https://nixos.org/</w:t>
        </w:r>
      </w:hyperlink>
    </w:p>
    <w:bookmarkEnd w:id="178"/>
    <w:bookmarkStart w:id="180"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79">
        <w:r>
          <w:rPr>
            <w:rStyle w:val="Hyperlink"/>
          </w:rPr>
          <w:t xml:space="preserve">https://doi.org/10.1080/0266476042000214501</w:t>
        </w:r>
      </w:hyperlink>
    </w:p>
    <w:bookmarkEnd w:id="180"/>
    <w:bookmarkStart w:id="182"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1">
        <w:r>
          <w:rPr>
            <w:rStyle w:val="Hyperlink"/>
          </w:rPr>
          <w:t xml:space="preserve">https://doi.org/10.1007/s11121-021-01302-y</w:t>
        </w:r>
      </w:hyperlink>
    </w:p>
    <w:bookmarkEnd w:id="182"/>
    <w:bookmarkStart w:id="184"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3">
        <w:r>
          <w:rPr>
            <w:rStyle w:val="Hyperlink"/>
          </w:rPr>
          <w:t xml:space="preserve">https://mc-stan.org/cmdstanr/</w:t>
        </w:r>
      </w:hyperlink>
    </w:p>
    <w:bookmarkEnd w:id="184"/>
    <w:bookmarkStart w:id="186"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85">
        <w:r>
          <w:rPr>
            <w:rStyle w:val="Hyperlink"/>
          </w:rPr>
          <w:t xml:space="preserve">https://stat.columbia.edu/~gelman/book/</w:t>
        </w:r>
      </w:hyperlink>
    </w:p>
    <w:bookmarkEnd w:id="186"/>
    <w:bookmarkStart w:id="188"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87">
        <w:r>
          <w:rPr>
            <w:rStyle w:val="Hyperlink"/>
          </w:rPr>
          <w:t xml:space="preserve">http://dx.doi.org/10.59350/7p1a4-0tw75</w:t>
        </w:r>
      </w:hyperlink>
    </w:p>
    <w:bookmarkEnd w:id="188"/>
    <w:bookmarkStart w:id="190"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89">
        <w:r>
          <w:rPr>
            <w:rStyle w:val="Hyperlink"/>
          </w:rPr>
          <w:t xml:space="preserve">https://doi.org/10.1525/collabra.140755</w:t>
        </w:r>
      </w:hyperlink>
    </w:p>
    <w:bookmarkEnd w:id="190"/>
    <w:bookmarkStart w:id="191"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1"/>
    <w:bookmarkStart w:id="193"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2">
        <w:r>
          <w:rPr>
            <w:rStyle w:val="Hyperlink"/>
          </w:rPr>
          <w:t xml:space="preserve">https://doi.org/10.1016/j.wocn.2016.08.006</w:t>
        </w:r>
      </w:hyperlink>
    </w:p>
    <w:bookmarkEnd w:id="193"/>
    <w:bookmarkStart w:id="195"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194">
        <w:r>
          <w:rPr>
            <w:rStyle w:val="Hyperlink"/>
          </w:rPr>
          <w:t xml:space="preserve">https://doi.org/10.1111/j.1467-9280.2008.02127.x</w:t>
        </w:r>
      </w:hyperlink>
    </w:p>
    <w:bookmarkEnd w:id="195"/>
    <w:bookmarkStart w:id="196"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196"/>
    <w:bookmarkStart w:id="198"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97">
        <w:r>
          <w:rPr>
            <w:rStyle w:val="Hyperlink"/>
          </w:rPr>
          <w:t xml:space="preserve">https://doi.org/10.1017/pan.2022.20</w:t>
        </w:r>
      </w:hyperlink>
    </w:p>
    <w:bookmarkEnd w:id="198"/>
    <w:bookmarkStart w:id="200"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99">
        <w:r>
          <w:rPr>
            <w:rStyle w:val="Hyperlink"/>
          </w:rPr>
          <w:t xml:space="preserve">https://CRAN.R-project.org/package=ordbetareg</w:t>
        </w:r>
      </w:hyperlink>
    </w:p>
    <w:bookmarkEnd w:id="200"/>
    <w:bookmarkStart w:id="202"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01">
        <w:r>
          <w:rPr>
            <w:rStyle w:val="Hyperlink"/>
          </w:rPr>
          <w:t xml:space="preserve">https://doi.org/10.32614/CRAN.package.emmeans</w:t>
        </w:r>
      </w:hyperlink>
    </w:p>
    <w:bookmarkEnd w:id="202"/>
    <w:bookmarkStart w:id="204"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03">
        <w:r>
          <w:rPr>
            <w:rStyle w:val="Hyperlink"/>
          </w:rPr>
          <w:t xml:space="preserve">https://doi.org/10.32614/rj-2015-019</w:t>
        </w:r>
      </w:hyperlink>
    </w:p>
    <w:bookmarkEnd w:id="204"/>
    <w:bookmarkStart w:id="206"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05">
        <w:r>
          <w:rPr>
            <w:rStyle w:val="Hyperlink"/>
          </w:rPr>
          <w:t xml:space="preserve">https://easystats.github.io/easystats/</w:t>
        </w:r>
      </w:hyperlink>
    </w:p>
    <w:bookmarkEnd w:id="206"/>
    <w:bookmarkStart w:id="208"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07">
        <w:r>
          <w:rPr>
            <w:rStyle w:val="Hyperlink"/>
          </w:rPr>
          <w:t xml:space="preserve">https://doi.org/10.3389/fpsyg.2019.02767</w:t>
        </w:r>
      </w:hyperlink>
    </w:p>
    <w:bookmarkEnd w:id="208"/>
    <w:bookmarkStart w:id="210"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09">
        <w:r>
          <w:rPr>
            <w:rStyle w:val="Hyperlink"/>
          </w:rPr>
          <w:t xml:space="preserve">https://doi.org/10.21105/joss.01541</w:t>
        </w:r>
      </w:hyperlink>
    </w:p>
    <w:bookmarkEnd w:id="210"/>
    <w:bookmarkStart w:id="212"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11">
        <w:r>
          <w:rPr>
            <w:rStyle w:val="Hyperlink"/>
          </w:rPr>
          <w:t xml:space="preserve">https://doi.org/10.1177/0013164416669201</w:t>
        </w:r>
      </w:hyperlink>
    </w:p>
    <w:bookmarkEnd w:id="212"/>
    <w:bookmarkStart w:id="214"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13">
        <w:r>
          <w:rPr>
            <w:rStyle w:val="Hyperlink"/>
          </w:rPr>
          <w:t xml:space="preserve">https://doi.org/10.1098/rsos.231713</w:t>
        </w:r>
      </w:hyperlink>
    </w:p>
    <w:bookmarkEnd w:id="214"/>
    <w:bookmarkStart w:id="216"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15">
        <w:r>
          <w:rPr>
            <w:rStyle w:val="Hyperlink"/>
          </w:rPr>
          <w:t xml:space="preserve">https://doi.org/10.1201/9780429029608</w:t>
        </w:r>
      </w:hyperlink>
    </w:p>
    <w:bookmarkEnd w:id="216"/>
    <w:bookmarkStart w:id="218"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17">
        <w:r>
          <w:rPr>
            <w:rStyle w:val="Hyperlink"/>
          </w:rPr>
          <w:t xml:space="preserve">https://doi.org/10.2307/2344614</w:t>
        </w:r>
      </w:hyperlink>
    </w:p>
    <w:bookmarkEnd w:id="218"/>
    <w:bookmarkStart w:id="220"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19">
        <w:r>
          <w:rPr>
            <w:rStyle w:val="Hyperlink"/>
          </w:rPr>
          <w:t xml:space="preserve">https://www.sciencedirect.com/science/article/pii/S0048969723041505</w:t>
        </w:r>
      </w:hyperlink>
    </w:p>
    <w:bookmarkEnd w:id="220"/>
    <w:bookmarkStart w:id="222"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21">
        <w:r>
          <w:rPr>
            <w:rStyle w:val="Hyperlink"/>
          </w:rPr>
          <w:t xml:space="preserve">https://doi.org/10.1093/oxfordjournals.pan.a004873</w:t>
        </w:r>
      </w:hyperlink>
    </w:p>
    <w:bookmarkEnd w:id="222"/>
    <w:bookmarkStart w:id="224"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23">
        <w:r>
          <w:rPr>
            <w:rStyle w:val="Hyperlink"/>
          </w:rPr>
          <w:t xml:space="preserve">https://www.R-project.org/</w:t>
        </w:r>
      </w:hyperlink>
    </w:p>
    <w:bookmarkEnd w:id="224"/>
    <w:bookmarkStart w:id="226"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25">
        <w:r>
          <w:rPr>
            <w:rStyle w:val="Hyperlink"/>
          </w:rPr>
          <w:t xml:space="preserve">https://docs.ropensci.org/rix/</w:t>
        </w:r>
      </w:hyperlink>
    </w:p>
    <w:bookmarkEnd w:id="226"/>
    <w:bookmarkStart w:id="228"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27">
        <w:r>
          <w:rPr>
            <w:rStyle w:val="Hyperlink"/>
          </w:rPr>
          <w:t xml:space="preserve">https://doi.org/10.1177/08902070241239834</w:t>
        </w:r>
      </w:hyperlink>
    </w:p>
    <w:bookmarkEnd w:id="228"/>
    <w:bookmarkStart w:id="230"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29">
        <w:r>
          <w:rPr>
            <w:rStyle w:val="Hyperlink"/>
          </w:rPr>
          <w:t xml:space="preserve">https://doi.org/10.31234/osf.io/4rznt</w:t>
        </w:r>
      </w:hyperlink>
    </w:p>
    <w:bookmarkEnd w:id="230"/>
    <w:bookmarkStart w:id="232"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31">
        <w:r>
          <w:rPr>
            <w:rStyle w:val="Hyperlink"/>
          </w:rPr>
          <w:t xml:space="preserve">https://doi.org/10.1001/jamanetworkopen.2023.53401</w:t>
        </w:r>
      </w:hyperlink>
    </w:p>
    <w:bookmarkEnd w:id="232"/>
    <w:bookmarkStart w:id="234"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33">
        <w:r>
          <w:rPr>
            <w:rStyle w:val="Hyperlink"/>
          </w:rPr>
          <w:t xml:space="preserve">https://doi.org/10.1037/1082-989x.11.1.54</w:t>
        </w:r>
      </w:hyperlink>
    </w:p>
    <w:bookmarkEnd w:id="234"/>
    <w:bookmarkStart w:id="236"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35">
        <w:r>
          <w:rPr>
            <w:rStyle w:val="Hyperlink"/>
          </w:rPr>
          <w:t xml:space="preserve">https://mc-stan.org</w:t>
        </w:r>
      </w:hyperlink>
    </w:p>
    <w:bookmarkEnd w:id="236"/>
    <w:bookmarkStart w:id="238"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37">
        <w:r>
          <w:rPr>
            <w:rStyle w:val="Hyperlink"/>
          </w:rPr>
          <w:t xml:space="preserve">https://doi.org/10.1007/s11409-017-9175-0</w:t>
        </w:r>
      </w:hyperlink>
    </w:p>
    <w:bookmarkEnd w:id="238"/>
    <w:bookmarkStart w:id="240" w:name="ref-vuorre2019"/>
    <w:p>
      <w:pPr>
        <w:pStyle w:val="Bibliography"/>
      </w:pPr>
      <w:r>
        <w:t xml:space="preserve">Vuorre, M. (2019, February 18).</w:t>
      </w:r>
      <w:r>
        <w:t xml:space="preserve"> </w:t>
      </w:r>
      <w:r>
        <w:rPr>
          <w:i/>
          <w:iCs/>
        </w:rPr>
        <w:t xml:space="preserve">How to Analyze Visual Analog (Slider) Scale Data?</w:t>
      </w:r>
      <w:r>
        <w:t xml:space="preserve"> </w:t>
      </w:r>
      <w:hyperlink r:id="rId239">
        <w:r>
          <w:rPr>
            <w:rStyle w:val="Hyperlink"/>
          </w:rPr>
          <w:t xml:space="preserve">https://vuorre.com/posts/2019-02-18-analyze-analog-scale-ratings-with-zero-one-inflated-beta-models</w:t>
        </w:r>
      </w:hyperlink>
    </w:p>
    <w:bookmarkEnd w:id="240"/>
    <w:bookmarkStart w:id="242"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41">
        <w:r>
          <w:rPr>
            <w:rStyle w:val="Hyperlink"/>
          </w:rPr>
          <w:t xml:space="preserve">https://r4ds.hadley.nz/</w:t>
        </w:r>
      </w:hyperlink>
    </w:p>
    <w:bookmarkEnd w:id="242"/>
    <w:bookmarkStart w:id="244"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43">
        <w:r>
          <w:rPr>
            <w:rStyle w:val="Hyperlink"/>
          </w:rPr>
          <w:t xml:space="preserve">https://doi.org/10.1002/acp.3724</w:t>
        </w:r>
      </w:hyperlink>
    </w:p>
    <w:bookmarkEnd w:id="244"/>
    <w:bookmarkStart w:id="246"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45">
        <w:r>
          <w:rPr>
            <w:rStyle w:val="Hyperlink"/>
          </w:rPr>
          <w:t xml:space="preserve">https://doi.org/10.1111/gcb.17422</w:t>
        </w:r>
      </w:hyperlink>
    </w:p>
    <w:bookmarkEnd w:id="246"/>
    <w:bookmarkStart w:id="248"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47">
        <w:r>
          <w:rPr>
            <w:rStyle w:val="Hyperlink"/>
          </w:rPr>
          <w:t xml:space="preserve">https://doi.org/10.1037/mac0000003</w:t>
        </w:r>
      </w:hyperlink>
    </w:p>
    <w:bookmarkEnd w:id="248"/>
    <w:bookmarkStart w:id="250"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49">
        <w:r>
          <w:rPr>
            <w:rStyle w:val="Hyperlink"/>
          </w:rPr>
          <w:t xml:space="preserve">https://stats.andrewheiss.com/compassionate-clam/manuscript/output/manuscript.html</w:t>
        </w:r>
      </w:hyperlink>
    </w:p>
    <w:bookmarkEnd w:id="250"/>
    <w:bookmarkEnd w:id="251"/>
    <w:sectPr>
      <w:lnNumType w:countBy="1" w:restart="continuous"/>
    </w:sectPr>
    <w:bookmarkEnd w:id="252"/>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Specifically, for any continous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3">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5">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53">
    <w:p>
      <w:pPr>
        <w:pStyle w:val="FootnoteText"/>
      </w:pPr>
      <w:r>
        <w:rPr>
          <w:rStyle w:val="FootnoteReference"/>
        </w:rPr>
        <w:footnoteRef/>
      </w:r>
      <w:r>
        <w:t xml:space="preserve"> </w:t>
      </w:r>
      <w:r>
        <w:t xml:space="preserve">The Stan team recommends 2,000 draws as a default, so this is a conservative standard. We note that Stan can converge in as few as 500 draws for less complex models, which may be an easier standard when engaging in model-building.</w:t>
      </w:r>
    </w:p>
  </w:footnote>
  <w:footnote w:id="67">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84">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07">
    <w:p>
      <w:pPr>
        <w:pStyle w:val="FootnoteText"/>
      </w:pPr>
      <w:r>
        <w:rPr>
          <w:rStyle w:val="FootnoteReference"/>
        </w:rPr>
        <w:footnoteRef/>
      </w:r>
      <w:r>
        <w:t xml:space="preserve"> </w:t>
      </w:r>
      <w:r>
        <w:t xml:space="preserve">There is an additional version of this model, the zero-or-one-inflated Beta (ZOIB), which can accomodate discrete values at both the lower and upper limits of the scale with</w:t>
      </w:r>
      <w:r>
        <w:t xml:space="preserve"> </w:t>
      </w:r>
      <w:r>
        <w:rPr>
          <w:rStyle w:val="VerbatimChar"/>
        </w:rPr>
        <w:t xml:space="preserve">brms</w:t>
      </w:r>
      <w:r>
        <w:t xml:space="preserve">.</w:t>
      </w:r>
    </w:p>
  </w:footnote>
  <w:footnote w:id="119">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footnote>
  <w:footnote w:id="129">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w:t>
      </w:r>
      <w:hyperlink w:anchor="ref-kubinec2022">
        <w:r>
          <w:rPr>
            <w:rStyle w:val="Hyperlink"/>
          </w:rPr>
          <w:t xml:space="preserve">2022</w:t>
        </w:r>
      </w:hyperlink>
      <w:r>
        <w:t xml:space="preserve">)</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3" Target="media/rId63.png" /><Relationship Type="http://schemas.openxmlformats.org/officeDocument/2006/relationships/image" Id="rId21" Target="media/rId21.svg" /><Relationship Type="http://schemas.openxmlformats.org/officeDocument/2006/relationships/image" Id="rId46" Target="media/rId46.png" /><Relationship Type="http://schemas.openxmlformats.org/officeDocument/2006/relationships/image" Id="rId95" Target="media/rId95.png" /><Relationship Type="http://schemas.openxmlformats.org/officeDocument/2006/relationships/image" Id="rId59" Target="media/rId59.png" /><Relationship Type="http://schemas.openxmlformats.org/officeDocument/2006/relationships/image" Id="rId142" Target="media/rId142.png" /><Relationship Type="http://schemas.openxmlformats.org/officeDocument/2006/relationships/image" Id="rId85" Target="media/rId85.png" /><Relationship Type="http://schemas.openxmlformats.org/officeDocument/2006/relationships/image" Id="rId77" Target="media/rId77.png" /><Relationship Type="http://schemas.openxmlformats.org/officeDocument/2006/relationships/image" Id="rId138" Target="media/rId138.png" /><Relationship Type="http://schemas.openxmlformats.org/officeDocument/2006/relationships/image" Id="rId73" Target="media/rId73.png" /><Relationship Type="http://schemas.openxmlformats.org/officeDocument/2006/relationships/image" Id="rId113" Target="media/rId113.png" /><Relationship Type="http://schemas.openxmlformats.org/officeDocument/2006/relationships/image" Id="rId120" Target="media/rId120.png" /><Relationship Type="http://schemas.openxmlformats.org/officeDocument/2006/relationships/hyperlink" Id="rId187" Target="http://dx.doi.org/10.59350/7p1a4-0tw75" TargetMode="External" /><Relationship Type="http://schemas.openxmlformats.org/officeDocument/2006/relationships/hyperlink" Id="rId152" Target="https://CRAN.R-project.org/package=marginaleffects" TargetMode="External" /><Relationship Type="http://schemas.openxmlformats.org/officeDocument/2006/relationships/hyperlink" Id="rId199" Target="https://CRAN.R-project.org/package=ordbetareg" TargetMode="External" /><Relationship Type="http://schemas.openxmlformats.org/officeDocument/2006/relationships/hyperlink" Id="rId225" Target="https://docs.ropensci.org/rix/" TargetMode="External" /><Relationship Type="http://schemas.openxmlformats.org/officeDocument/2006/relationships/hyperlink" Id="rId231" Target="https://doi.org/10.1001/jamanetworkopen.2023.53401" TargetMode="External" /><Relationship Type="http://schemas.openxmlformats.org/officeDocument/2006/relationships/hyperlink" Id="rId243" Target="https://doi.org/10.1002/acp.3724" TargetMode="External" /><Relationship Type="http://schemas.openxmlformats.org/officeDocument/2006/relationships/hyperlink" Id="rId181" Target="https://doi.org/10.1007/s11121-021-01302-y" TargetMode="External" /><Relationship Type="http://schemas.openxmlformats.org/officeDocument/2006/relationships/hyperlink" Id="rId237" Target="https://doi.org/10.1007/s11409-017-9175-0" TargetMode="External" /><Relationship Type="http://schemas.openxmlformats.org/officeDocument/2006/relationships/hyperlink" Id="rId192" Target="https://doi.org/10.1016/j.wocn.2016.08.006" TargetMode="External" /><Relationship Type="http://schemas.openxmlformats.org/officeDocument/2006/relationships/hyperlink" Id="rId197" Target="https://doi.org/10.1017/pan.2022.20" TargetMode="External" /><Relationship Type="http://schemas.openxmlformats.org/officeDocument/2006/relationships/hyperlink" Id="rId233" Target="https://doi.org/10.1037/1082-989x.11.1.54" TargetMode="External" /><Relationship Type="http://schemas.openxmlformats.org/officeDocument/2006/relationships/hyperlink" Id="rId247" Target="https://doi.org/10.1037/mac0000003" TargetMode="External" /><Relationship Type="http://schemas.openxmlformats.org/officeDocument/2006/relationships/hyperlink" Id="rId158" Target="https://doi.org/10.1037/met0000553" TargetMode="External" /><Relationship Type="http://schemas.openxmlformats.org/officeDocument/2006/relationships/hyperlink" Id="rId179" Target="https://doi.org/10.1080/0266476042000214501" TargetMode="External" /><Relationship Type="http://schemas.openxmlformats.org/officeDocument/2006/relationships/hyperlink" Id="rId221" Target="https://doi.org/10.1093/oxfordjournals.pan.a004873" TargetMode="External" /><Relationship Type="http://schemas.openxmlformats.org/officeDocument/2006/relationships/hyperlink" Id="rId213" Target="https://doi.org/10.1098/rsos.231713" TargetMode="External" /><Relationship Type="http://schemas.openxmlformats.org/officeDocument/2006/relationships/hyperlink" Id="rId245" Target="https://doi.org/10.1111/gcb.17422" TargetMode="External" /><Relationship Type="http://schemas.openxmlformats.org/officeDocument/2006/relationships/hyperlink" Id="rId194" Target="https://doi.org/10.1111/j.1467-9280.2008.02127.x" TargetMode="External" /><Relationship Type="http://schemas.openxmlformats.org/officeDocument/2006/relationships/hyperlink" Id="rId173" Target="https://doi.org/10.1126/science.adq1814" TargetMode="External" /><Relationship Type="http://schemas.openxmlformats.org/officeDocument/2006/relationships/hyperlink" Id="rId211" Target="https://doi.org/10.1177/0013164416669201" TargetMode="External" /><Relationship Type="http://schemas.openxmlformats.org/officeDocument/2006/relationships/hyperlink" Id="rId227" Target="https://doi.org/10.1177/08902070241239834" TargetMode="External" /><Relationship Type="http://schemas.openxmlformats.org/officeDocument/2006/relationships/hyperlink" Id="rId166" Target="https://doi.org/10.1177/2515245918823199" TargetMode="External" /><Relationship Type="http://schemas.openxmlformats.org/officeDocument/2006/relationships/hyperlink" Id="rId215" Target="https://doi.org/10.1201/9780429029608" TargetMode="External" /><Relationship Type="http://schemas.openxmlformats.org/officeDocument/2006/relationships/hyperlink" Id="rId189" Target="https://doi.org/10.1525/collabra.140755" TargetMode="External" /><Relationship Type="http://schemas.openxmlformats.org/officeDocument/2006/relationships/hyperlink" Id="rId175" Target="https://doi.org/10.18637/jss.v034.i02" TargetMode="External" /><Relationship Type="http://schemas.openxmlformats.org/officeDocument/2006/relationships/hyperlink" Id="rId162" Target="https://doi.org/10.18637/jss.v080.i01" TargetMode="External" /><Relationship Type="http://schemas.openxmlformats.org/officeDocument/2006/relationships/hyperlink" Id="rId154" Target="https://doi.org/10.18637/jss.v111.i09" TargetMode="External" /><Relationship Type="http://schemas.openxmlformats.org/officeDocument/2006/relationships/hyperlink" Id="rId209" Target="https://doi.org/10.21105/joss.01541" TargetMode="External" /><Relationship Type="http://schemas.openxmlformats.org/officeDocument/2006/relationships/hyperlink" Id="rId217" Target="https://doi.org/10.2307/2344614" TargetMode="External" /><Relationship Type="http://schemas.openxmlformats.org/officeDocument/2006/relationships/hyperlink" Id="rId156" Target="https://doi.org/10.2307/2983678" TargetMode="External" /><Relationship Type="http://schemas.openxmlformats.org/officeDocument/2006/relationships/hyperlink" Id="rId171" Target="https://doi.org/10.31219/osf.io/f9rqg_v1" TargetMode="External" /><Relationship Type="http://schemas.openxmlformats.org/officeDocument/2006/relationships/hyperlink" Id="rId229" Target="https://doi.org/10.31234/osf.io/4rznt" TargetMode="External" /><Relationship Type="http://schemas.openxmlformats.org/officeDocument/2006/relationships/hyperlink" Id="rId201" Target="https://doi.org/10.32614/CRAN.package.emmeans" TargetMode="External" /><Relationship Type="http://schemas.openxmlformats.org/officeDocument/2006/relationships/hyperlink" Id="rId160" Target="https://doi.org/10.32614/RJ-2017-066" TargetMode="External" /><Relationship Type="http://schemas.openxmlformats.org/officeDocument/2006/relationships/hyperlink" Id="rId203" Target="https://doi.org/10.32614/rj-2015-019" TargetMode="External" /><Relationship Type="http://schemas.openxmlformats.org/officeDocument/2006/relationships/hyperlink" Id="rId207" Target="https://doi.org/10.3389/fpsyg.2019.02767" TargetMode="External" /><Relationship Type="http://schemas.openxmlformats.org/officeDocument/2006/relationships/hyperlink" Id="rId168" Target="https://doi.org/10.3758/s13423-013-0442-z" TargetMode="External" /><Relationship Type="http://schemas.openxmlformats.org/officeDocument/2006/relationships/hyperlink" Id="rId205"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35" Target="https://mc-stan.org" TargetMode="External" /><Relationship Type="http://schemas.openxmlformats.org/officeDocument/2006/relationships/hyperlink" Id="rId183" Target="https://mc-stan.org/cmdstanr/" TargetMode="External" /><Relationship Type="http://schemas.openxmlformats.org/officeDocument/2006/relationships/hyperlink" Id="rId164" Target="https://mc-stan.org/posterior/" TargetMode="External" /><Relationship Type="http://schemas.openxmlformats.org/officeDocument/2006/relationships/hyperlink" Id="rId177"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1" Target="https://r4ds.hadley.nz/" TargetMode="External" /><Relationship Type="http://schemas.openxmlformats.org/officeDocument/2006/relationships/hyperlink" Id="rId185" Target="https://stat.columbia.edu/~gelman/book/" TargetMode="External" /><Relationship Type="http://schemas.openxmlformats.org/officeDocument/2006/relationships/hyperlink" Id="rId249" Target="https://stats.andrewheiss.com/compassionate-clam/manuscript/output/manuscript.html" TargetMode="External" /><Relationship Type="http://schemas.openxmlformats.org/officeDocument/2006/relationships/hyperlink" Id="rId239" Target="https://vuorre.com/posts/2019-02-18-analyze-analog-scale-ratings-with-zero-one-inflated-beta-models" TargetMode="External" /><Relationship Type="http://schemas.openxmlformats.org/officeDocument/2006/relationships/hyperlink" Id="rId223" Target="https://www.R-project.org/" TargetMode="External" /><Relationship Type="http://schemas.openxmlformats.org/officeDocument/2006/relationships/hyperlink" Id="rId253" Target="https://www.routledge.com/Bayes-Rules-An-Introduction-to-Applied-Bayesian-Modeling/Johnson-Ott-Dogucu/p/book/9780367255398" TargetMode="External" /><Relationship Type="http://schemas.openxmlformats.org/officeDocument/2006/relationships/hyperlink" Id="rId219"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87" Target="http://dx.doi.org/10.59350/7p1a4-0tw75" TargetMode="External" /><Relationship Type="http://schemas.openxmlformats.org/officeDocument/2006/relationships/hyperlink" Id="rId152" Target="https://CRAN.R-project.org/package=marginaleffects" TargetMode="External" /><Relationship Type="http://schemas.openxmlformats.org/officeDocument/2006/relationships/hyperlink" Id="rId199" Target="https://CRAN.R-project.org/package=ordbetareg" TargetMode="External" /><Relationship Type="http://schemas.openxmlformats.org/officeDocument/2006/relationships/hyperlink" Id="rId225" Target="https://docs.ropensci.org/rix/" TargetMode="External" /><Relationship Type="http://schemas.openxmlformats.org/officeDocument/2006/relationships/hyperlink" Id="rId231" Target="https://doi.org/10.1001/jamanetworkopen.2023.53401" TargetMode="External" /><Relationship Type="http://schemas.openxmlformats.org/officeDocument/2006/relationships/hyperlink" Id="rId243" Target="https://doi.org/10.1002/acp.3724" TargetMode="External" /><Relationship Type="http://schemas.openxmlformats.org/officeDocument/2006/relationships/hyperlink" Id="rId181" Target="https://doi.org/10.1007/s11121-021-01302-y" TargetMode="External" /><Relationship Type="http://schemas.openxmlformats.org/officeDocument/2006/relationships/hyperlink" Id="rId237" Target="https://doi.org/10.1007/s11409-017-9175-0" TargetMode="External" /><Relationship Type="http://schemas.openxmlformats.org/officeDocument/2006/relationships/hyperlink" Id="rId192" Target="https://doi.org/10.1016/j.wocn.2016.08.006" TargetMode="External" /><Relationship Type="http://schemas.openxmlformats.org/officeDocument/2006/relationships/hyperlink" Id="rId197" Target="https://doi.org/10.1017/pan.2022.20" TargetMode="External" /><Relationship Type="http://schemas.openxmlformats.org/officeDocument/2006/relationships/hyperlink" Id="rId233" Target="https://doi.org/10.1037/1082-989x.11.1.54" TargetMode="External" /><Relationship Type="http://schemas.openxmlformats.org/officeDocument/2006/relationships/hyperlink" Id="rId247" Target="https://doi.org/10.1037/mac0000003" TargetMode="External" /><Relationship Type="http://schemas.openxmlformats.org/officeDocument/2006/relationships/hyperlink" Id="rId158" Target="https://doi.org/10.1037/met0000553" TargetMode="External" /><Relationship Type="http://schemas.openxmlformats.org/officeDocument/2006/relationships/hyperlink" Id="rId179" Target="https://doi.org/10.1080/0266476042000214501" TargetMode="External" /><Relationship Type="http://schemas.openxmlformats.org/officeDocument/2006/relationships/hyperlink" Id="rId221" Target="https://doi.org/10.1093/oxfordjournals.pan.a004873" TargetMode="External" /><Relationship Type="http://schemas.openxmlformats.org/officeDocument/2006/relationships/hyperlink" Id="rId213" Target="https://doi.org/10.1098/rsos.231713" TargetMode="External" /><Relationship Type="http://schemas.openxmlformats.org/officeDocument/2006/relationships/hyperlink" Id="rId245" Target="https://doi.org/10.1111/gcb.17422" TargetMode="External" /><Relationship Type="http://schemas.openxmlformats.org/officeDocument/2006/relationships/hyperlink" Id="rId194" Target="https://doi.org/10.1111/j.1467-9280.2008.02127.x" TargetMode="External" /><Relationship Type="http://schemas.openxmlformats.org/officeDocument/2006/relationships/hyperlink" Id="rId173" Target="https://doi.org/10.1126/science.adq1814" TargetMode="External" /><Relationship Type="http://schemas.openxmlformats.org/officeDocument/2006/relationships/hyperlink" Id="rId211" Target="https://doi.org/10.1177/0013164416669201" TargetMode="External" /><Relationship Type="http://schemas.openxmlformats.org/officeDocument/2006/relationships/hyperlink" Id="rId227" Target="https://doi.org/10.1177/08902070241239834" TargetMode="External" /><Relationship Type="http://schemas.openxmlformats.org/officeDocument/2006/relationships/hyperlink" Id="rId166" Target="https://doi.org/10.1177/2515245918823199" TargetMode="External" /><Relationship Type="http://schemas.openxmlformats.org/officeDocument/2006/relationships/hyperlink" Id="rId215" Target="https://doi.org/10.1201/9780429029608" TargetMode="External" /><Relationship Type="http://schemas.openxmlformats.org/officeDocument/2006/relationships/hyperlink" Id="rId189" Target="https://doi.org/10.1525/collabra.140755" TargetMode="External" /><Relationship Type="http://schemas.openxmlformats.org/officeDocument/2006/relationships/hyperlink" Id="rId175" Target="https://doi.org/10.18637/jss.v034.i02" TargetMode="External" /><Relationship Type="http://schemas.openxmlformats.org/officeDocument/2006/relationships/hyperlink" Id="rId162" Target="https://doi.org/10.18637/jss.v080.i01" TargetMode="External" /><Relationship Type="http://schemas.openxmlformats.org/officeDocument/2006/relationships/hyperlink" Id="rId154" Target="https://doi.org/10.18637/jss.v111.i09" TargetMode="External" /><Relationship Type="http://schemas.openxmlformats.org/officeDocument/2006/relationships/hyperlink" Id="rId209" Target="https://doi.org/10.21105/joss.01541" TargetMode="External" /><Relationship Type="http://schemas.openxmlformats.org/officeDocument/2006/relationships/hyperlink" Id="rId217" Target="https://doi.org/10.2307/2344614" TargetMode="External" /><Relationship Type="http://schemas.openxmlformats.org/officeDocument/2006/relationships/hyperlink" Id="rId156" Target="https://doi.org/10.2307/2983678" TargetMode="External" /><Relationship Type="http://schemas.openxmlformats.org/officeDocument/2006/relationships/hyperlink" Id="rId171" Target="https://doi.org/10.31219/osf.io/f9rqg_v1" TargetMode="External" /><Relationship Type="http://schemas.openxmlformats.org/officeDocument/2006/relationships/hyperlink" Id="rId229" Target="https://doi.org/10.31234/osf.io/4rznt" TargetMode="External" /><Relationship Type="http://schemas.openxmlformats.org/officeDocument/2006/relationships/hyperlink" Id="rId201" Target="https://doi.org/10.32614/CRAN.package.emmeans" TargetMode="External" /><Relationship Type="http://schemas.openxmlformats.org/officeDocument/2006/relationships/hyperlink" Id="rId160" Target="https://doi.org/10.32614/RJ-2017-066" TargetMode="External" /><Relationship Type="http://schemas.openxmlformats.org/officeDocument/2006/relationships/hyperlink" Id="rId203" Target="https://doi.org/10.32614/rj-2015-019" TargetMode="External" /><Relationship Type="http://schemas.openxmlformats.org/officeDocument/2006/relationships/hyperlink" Id="rId207" Target="https://doi.org/10.3389/fpsyg.2019.02767" TargetMode="External" /><Relationship Type="http://schemas.openxmlformats.org/officeDocument/2006/relationships/hyperlink" Id="rId168" Target="https://doi.org/10.3758/s13423-013-0442-z" TargetMode="External" /><Relationship Type="http://schemas.openxmlformats.org/officeDocument/2006/relationships/hyperlink" Id="rId205"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35" Target="https://mc-stan.org" TargetMode="External" /><Relationship Type="http://schemas.openxmlformats.org/officeDocument/2006/relationships/hyperlink" Id="rId183" Target="https://mc-stan.org/cmdstanr/" TargetMode="External" /><Relationship Type="http://schemas.openxmlformats.org/officeDocument/2006/relationships/hyperlink" Id="rId164" Target="https://mc-stan.org/posterior/" TargetMode="External" /><Relationship Type="http://schemas.openxmlformats.org/officeDocument/2006/relationships/hyperlink" Id="rId177"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1" Target="https://r4ds.hadley.nz/" TargetMode="External" /><Relationship Type="http://schemas.openxmlformats.org/officeDocument/2006/relationships/hyperlink" Id="rId185" Target="https://stat.columbia.edu/~gelman/book/" TargetMode="External" /><Relationship Type="http://schemas.openxmlformats.org/officeDocument/2006/relationships/hyperlink" Id="rId249" Target="https://stats.andrewheiss.com/compassionate-clam/manuscript/output/manuscript.html" TargetMode="External" /><Relationship Type="http://schemas.openxmlformats.org/officeDocument/2006/relationships/hyperlink" Id="rId239" Target="https://vuorre.com/posts/2019-02-18-analyze-analog-scale-ratings-with-zero-one-inflated-beta-models" TargetMode="External" /><Relationship Type="http://schemas.openxmlformats.org/officeDocument/2006/relationships/hyperlink" Id="rId223" Target="https://www.R-project.org/" TargetMode="External" /><Relationship Type="http://schemas.openxmlformats.org/officeDocument/2006/relationships/hyperlink" Id="rId253" Target="https://www.routledge.com/Bayes-Rules-An-Introduction-to-Applied-Bayesian-Modeling/Johnson-Ott-Dogucu/p/book/9780367255398" TargetMode="External" /><Relationship Type="http://schemas.openxmlformats.org/officeDocument/2006/relationships/hyperlink" Id="rId219"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True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10073</vt:lpwstr>
  </property>
  <property fmtid="{D5CDD505-2E9C-101B-9397-08002B2CF9AE}" pid="63" name="zerocitations">
    <vt:lpwstr>False</vt:lpwstr>
  </property>
</Properties>
</file>