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5.png" ContentType="image/png"/>
  <Override PartName="/word/media/rId100.png" ContentType="image/png"/>
  <Override PartName="/word/media/rId75.png" ContentType="image/png"/>
  <Override PartName="/word/media/rId131.png" ContentType="image/png"/>
  <Override PartName="/word/media/rId109.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9764</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 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[0.002,0.166],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5"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w:t>
      </w:r>
    </w:p>
    <w:p>
      <w:pPr>
        <w:pStyle w:val="SourceCode"/>
      </w:pPr>
      <w:r>
        <w:rPr>
          <w:rStyle w:val="CommentTok"/>
        </w:rPr>
        <w:t xml:space="preserve"># Log-odds for each condition</w:t>
      </w:r>
      <w:r>
        <w:br/>
      </w:r>
      <w:r>
        <w:rPr>
          <w:rStyle w:val="NormalTok"/>
        </w:rPr>
        <w:t xml:space="preserve">log_odds_disfluent </w:t>
      </w:r>
      <w:r>
        <w:rPr>
          <w:rStyle w:val="OtherTok"/>
        </w:rPr>
        <w:t xml:space="preserve">&lt;-</w:t>
      </w:r>
      <w:r>
        <w:rPr>
          <w:rStyle w:val="NormalTok"/>
        </w:rPr>
        <w:t xml:space="preserve"> </w:t>
      </w:r>
      <w:r>
        <w:rPr>
          <w:rStyle w:val="SpecialCharTok"/>
        </w:rPr>
        <w:t xml:space="preserve">-</w:t>
      </w:r>
      <w:r>
        <w:rPr>
          <w:rStyle w:val="FloatTok"/>
        </w:rPr>
        <w:t xml:space="preserve">1.036</w:t>
      </w:r>
      <w:r>
        <w:br/>
      </w:r>
      <w:r>
        <w:rPr>
          <w:rStyle w:val="NormalTok"/>
        </w:rPr>
        <w:t xml:space="preserve">log_odds_fluent </w:t>
      </w:r>
      <w:r>
        <w:rPr>
          <w:rStyle w:val="OtherTok"/>
        </w:rPr>
        <w:t xml:space="preserve">&lt;-</w:t>
      </w:r>
      <w:r>
        <w:rPr>
          <w:rStyle w:val="NormalTok"/>
        </w:rPr>
        <w:t xml:space="preserve"> log_odds_disfluent </w:t>
      </w:r>
      <w:r>
        <w:rPr>
          <w:rStyle w:val="SpecialCharTok"/>
        </w:rPr>
        <w:t xml:space="preserve">+</w:t>
      </w:r>
      <w:r>
        <w:rPr>
          <w:rStyle w:val="NormalTok"/>
        </w:rPr>
        <w:t xml:space="preserve"> </w:t>
      </w:r>
      <w:r>
        <w:rPr>
          <w:rStyle w:val="FloatTok"/>
        </w:rPr>
        <w:t xml:space="preserve">0.24</w:t>
      </w:r>
      <w:r>
        <w:br/>
      </w:r>
      <w:r>
        <w:br/>
      </w:r>
      <w:r>
        <w:rPr>
          <w:rStyle w:val="CommentTok"/>
        </w:rPr>
        <w:t xml:space="preserve"># Convert to probabilities</w:t>
      </w:r>
      <w:r>
        <w:br/>
      </w:r>
      <w:r>
        <w:rPr>
          <w:rStyle w:val="NormalTok"/>
        </w:rPr>
        <w:t xml:space="preserve">prob_disfluent </w:t>
      </w:r>
      <w:r>
        <w:rPr>
          <w:rStyle w:val="OtherTok"/>
        </w:rPr>
        <w:t xml:space="preserve">&lt;-</w:t>
      </w:r>
      <w:r>
        <w:rPr>
          <w:rStyle w:val="NormalTok"/>
        </w:rPr>
        <w:t xml:space="preserve"> </w:t>
      </w:r>
      <w:r>
        <w:rPr>
          <w:rStyle w:val="FunctionTok"/>
        </w:rPr>
        <w:t xml:space="preserve">plogis</w:t>
      </w:r>
      <w:r>
        <w:rPr>
          <w:rStyle w:val="NormalTok"/>
        </w:rPr>
        <w:t xml:space="preserve">(log_odds_disfluent)</w:t>
      </w:r>
      <w:r>
        <w:br/>
      </w:r>
      <w:r>
        <w:rPr>
          <w:rStyle w:val="NormalTok"/>
        </w:rPr>
        <w:t xml:space="preserve">prob_fluent </w:t>
      </w:r>
      <w:r>
        <w:rPr>
          <w:rStyle w:val="OtherTok"/>
        </w:rPr>
        <w:t xml:space="preserve">&lt;-</w:t>
      </w:r>
      <w:r>
        <w:rPr>
          <w:rStyle w:val="NormalTok"/>
        </w:rPr>
        <w:t xml:space="preserve"> </w:t>
      </w:r>
      <w:r>
        <w:rPr>
          <w:rStyle w:val="FunctionTok"/>
        </w:rPr>
        <w:t xml:space="preserve">plogis</w:t>
      </w:r>
      <w:r>
        <w:rPr>
          <w:rStyle w:val="NormalTok"/>
        </w:rPr>
        <w:t xml:space="preserve">(log_odds_fluent)</w:t>
      </w:r>
      <w:r>
        <w:br/>
      </w:r>
      <w:r>
        <w:br/>
      </w:r>
      <w:r>
        <w:rPr>
          <w:rStyle w:val="CommentTok"/>
        </w:rPr>
        <w:t xml:space="preserve"># View results</w:t>
      </w:r>
      <w:r>
        <w:br/>
      </w:r>
      <w:r>
        <w:rPr>
          <w:rStyle w:val="NormalTok"/>
        </w:rPr>
        <w:t xml:space="preserve">prob_disfluent </w:t>
      </w:r>
      <w:r>
        <w:rPr>
          <w:rStyle w:val="CommentTok"/>
        </w:rPr>
        <w:t xml:space="preserve"># ≈ 0.262</w:t>
      </w:r>
      <w:r>
        <w:br/>
      </w:r>
      <w:r>
        <w:rPr>
          <w:rStyle w:val="NormalTok"/>
        </w:rPr>
        <w:t xml:space="preserve">prob_fluent </w:t>
      </w:r>
      <w:r>
        <w:rPr>
          <w:rStyle w:val="CommentTok"/>
        </w:rPr>
        <w:t xml:space="preserve"># ≈ 0.355</w:t>
      </w:r>
    </w:p>
    <w:p>
      <w:pPr>
        <w:pStyle w:val="FirstParagraph"/>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0.264</w:t>
            </w:r>
          </w:p>
        </w:tc>
        <w:tc>
          <w:tcPr/>
          <w:p>
            <w:pPr>
              <w:pStyle w:val="Compact"/>
            </w:pPr>
            <w:r>
              <w:t xml:space="preserve">[0.213, 0.322]</w:t>
            </w:r>
          </w:p>
        </w:tc>
      </w:tr>
      <w:tr>
        <w:tc>
          <w:tcPr/>
          <w:p>
            <w:pPr>
              <w:pStyle w:val="Compact"/>
            </w:pPr>
            <w:r>
              <w:t xml:space="preserve">Fluent</w:t>
            </w:r>
          </w:p>
        </w:tc>
        <w:tc>
          <w:tcPr/>
          <w:p>
            <w:pPr>
              <w:pStyle w:val="Compact"/>
            </w:pPr>
            <w:r>
              <w:t xml:space="preserve">0.357</w:t>
            </w:r>
          </w:p>
        </w:tc>
        <w:tc>
          <w:tcPr/>
          <w:p>
            <w:pPr>
              <w:pStyle w:val="Compact"/>
            </w:pPr>
            <w:r>
              <w:t xml:space="preserve">[0.293, 0.423]</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0.093</w:t>
            </w:r>
          </w:p>
        </w:tc>
        <w:tc>
          <w:tcPr/>
          <w:p>
            <w:pPr>
              <w:pStyle w:val="Compact"/>
            </w:pPr>
            <w:r>
              <w:t xml:space="preserve">[0.009, 0.176]</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1.552</w:t>
            </w:r>
          </w:p>
        </w:tc>
        <w:tc>
          <w:tcPr/>
          <w:p>
            <w:pPr>
              <w:pStyle w:val="Compact"/>
            </w:pPr>
            <w:r>
              <w:t xml:space="preserve">[1.041, 2.307]</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3"/>
    <w:bookmarkStart w:id="99"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4"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[1.655, 3.365]</w:t>
            </w:r>
          </w:p>
        </w:tc>
        <w:tc>
          <w:tcPr/>
          <w:p>
            <w:pPr>
              <w:pStyle w:val="Compact"/>
            </w:pPr>
            <w:r>
              <w:t xml:space="preserve">1</w:t>
            </w:r>
          </w:p>
        </w:tc>
      </w:tr>
      <w:tr>
        <w:tc>
          <w:tcPr/>
          <w:p>
            <w:pPr>
              <w:pStyle w:val="Compact"/>
            </w:pPr>
            <w:r>
              <w:t xml:space="preserve">b_phi_FluencyFluent</w:t>
            </w:r>
          </w:p>
        </w:tc>
        <w:tc>
          <w:tcPr/>
          <w:p>
            <w:pPr>
              <w:pStyle w:val="Compact"/>
            </w:pPr>
            <w:r>
              <w:t xml:space="preserve">2.52</w:t>
            </w:r>
          </w:p>
        </w:tc>
        <w:tc>
          <w:tcPr/>
          <w:p>
            <w:pPr>
              <w:pStyle w:val="Compact"/>
            </w:pPr>
            <w:r>
              <w:t xml:space="preserve">[1.483, 4.267]</w:t>
            </w:r>
          </w:p>
        </w:tc>
        <w:tc>
          <w:tcPr/>
          <w:p>
            <w:pPr>
              <w:pStyle w:val="Compact"/>
            </w:pPr>
            <w:r>
              <w:t xml:space="preserve">1</w:t>
            </w:r>
          </w:p>
        </w:tc>
      </w:tr>
    </w:tbl>
    <w:bookmarkEnd w:id="94"/>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8"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6" name="Picture"/>
            <a:graphic>
              <a:graphicData uri="http://schemas.openxmlformats.org/drawingml/2006/picture">
                <pic:pic>
                  <pic:nvPicPr>
                    <pic:cNvPr descr="ms_files/figure-docx/fig-plt-diff-1.png" id="97"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bookmarkEnd w:id="98"/>
    <w:bookmarkEnd w:id="99"/>
    <w:bookmarkStart w:id="104"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3"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1" name="Picture"/>
            <a:graphic>
              <a:graphicData uri="http://schemas.openxmlformats.org/drawingml/2006/picture">
                <pic:pic>
                  <pic:nvPicPr>
                    <pic:cNvPr descr="ms_files/figure-docx/fig-post-pred-1.png" id="102"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bookmarkEnd w:id="103"/>
    <w:bookmarkEnd w:id="104"/>
    <w:bookmarkEnd w:id="105"/>
    <w:bookmarkStart w:id="114"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8</w:t>
        </w:r>
      </w:hyperlink>
      <w:r>
        <w:t xml:space="preserve"> </w:t>
      </w:r>
      <w:r>
        <w:t xml:space="preserve">there is no significant effect for Fluency.</w:t>
      </w:r>
    </w:p>
    <w:bookmarkStart w:id="106"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[-0.08, 0.087]</w:t>
            </w:r>
          </w:p>
        </w:tc>
      </w:tr>
    </w:tbl>
    <w:bookmarkEnd w:id="106"/>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9</w:t>
        </w:r>
      </w:hyperlink>
      <w:r>
        <w:t xml:space="preserve">, there is a significant effect of fluency on dispersion, with disfluency having a larger variation than fluency.</w:t>
      </w:r>
    </w:p>
    <w:bookmarkStart w:id="107"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w:t>
            </w:r>
          </w:p>
        </w:tc>
        <w:tc>
          <w:tcPr/>
          <w:p>
            <w:pPr>
              <w:pStyle w:val="Compact"/>
            </w:pPr>
            <w:r>
              <w:t xml:space="preserve">[1.286, 8.153]</w:t>
            </w:r>
          </w:p>
        </w:tc>
      </w:tr>
    </w:tbl>
    <w:bookmarkEnd w:id="107"/>
    <w:bookmarkEnd w:id="108"/>
    <w:bookmarkStart w:id="113"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w:t>
      </w:r>
      <w:r>
        <w:t xml:space="preserve">we see that watching a lecture video with a fluent instructor reduces the proportion of zeros by about 13%. The Cr.I does not include zero.</w:t>
      </w:r>
    </w:p>
    <w:p>
      <w:pPr>
        <w:pStyle w:val="BodyText"/>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2"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0" name="Picture"/>
            <a:graphic>
              <a:graphicData uri="http://schemas.openxmlformats.org/drawingml/2006/picture">
                <pic:pic>
                  <pic:nvPicPr>
                    <pic:cNvPr descr="ms_files/figure-docx/fig-zi-plot-1.png" id="111" name="Picture"/>
                    <pic:cNvPicPr>
                      <a:picLocks noChangeArrowheads="1" noChangeAspect="1"/>
                    </pic:cNvPicPr>
                  </pic:nvPicPr>
                  <pic:blipFill>
                    <a:blip r:embed="rId109"/>
                    <a:stretch>
                      <a:fillRect/>
                    </a:stretch>
                  </pic:blipFill>
                  <pic:spPr bwMode="auto">
                    <a:xfrm>
                      <a:off x="0" y="0"/>
                      <a:ext cx="5943600" cy="2971800"/>
                    </a:xfrm>
                    <a:prstGeom prst="rect">
                      <a:avLst/>
                    </a:prstGeom>
                    <a:noFill/>
                    <a:ln w="9525">
                      <a:noFill/>
                      <a:headEnd/>
                      <a:tailEnd/>
                    </a:ln>
                  </pic:spPr>
                </pic:pic>
              </a:graphicData>
            </a:graphic>
          </wp:inline>
        </w:drawing>
      </w:r>
    </w:p>
    <w:bookmarkEnd w:id="112"/>
    <w:bookmarkEnd w:id="113"/>
    <w:bookmarkEnd w:id="114"/>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5"/>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16"/>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0"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8" name="Picture"/>
            <a:graphic>
              <a:graphicData uri="http://schemas.openxmlformats.org/drawingml/2006/picture">
                <pic:pic>
                  <pic:nvPicPr>
                    <pic:cNvPr descr="ms_files/figure-docx/fig-zoib-1.png" id="119" name="Picture"/>
                    <pic:cNvPicPr>
                      <a:picLocks noChangeArrowheads="1" noChangeAspect="1"/>
                    </pic:cNvPicPr>
                  </pic:nvPicPr>
                  <pic:blipFill>
                    <a:blip r:embed="rId117"/>
                    <a:stretch>
                      <a:fillRect/>
                    </a:stretch>
                  </pic:blipFill>
                  <pic:spPr bwMode="auto">
                    <a:xfrm>
                      <a:off x="0" y="0"/>
                      <a:ext cx="5943600" cy="5943600"/>
                    </a:xfrm>
                    <a:prstGeom prst="rect">
                      <a:avLst/>
                    </a:prstGeom>
                    <a:noFill/>
                    <a:ln w="9525">
                      <a:noFill/>
                      <a:headEnd/>
                      <a:tailEnd/>
                    </a:ln>
                  </pic:spPr>
                </pic:pic>
              </a:graphicData>
            </a:graphic>
          </wp:inline>
        </w:drawing>
      </w:r>
    </w:p>
    <w:bookmarkEnd w:id="120"/>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1"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1"/>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2"/>
    <w:bookmarkStart w:id="123" w:name="gamma"/>
    <w:p>
      <w:pPr>
        <w:pStyle w:val="Heading3"/>
      </w:pPr>
      <m:oMath>
        <m:r>
          <m:t>γ</m:t>
        </m:r>
      </m:oMath>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br/>
      </w:r>
      <w:r>
        <w:rPr>
          <w:rStyle w:val="NormalTok"/>
        </w:rPr>
        <w:t xml:space="preserve">) </w:t>
      </w:r>
      <w:r>
        <w:rPr>
          <w:rStyle w:val="CommentTok"/>
        </w:rPr>
        <w:t xml:space="preserve"># log phi</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8"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7" w:name="references"/>
    <w:p>
      <w:pPr>
        <w:pStyle w:val="Heading2"/>
      </w:pPr>
      <w:r>
        <w:t xml:space="preserve">References</w:t>
      </w:r>
    </w:p>
    <w:bookmarkStart w:id="226"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4">
        <w:r>
          <w:rPr>
            <w:rStyle w:val="Hyperlink"/>
          </w:rPr>
          <w:t xml:space="preserve">https://doi.org/10.32614/rj-2015-019</w:t>
        </w:r>
      </w:hyperlink>
    </w:p>
    <w:bookmarkEnd w:id="185"/>
    <w:bookmarkStart w:id="187"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6">
        <w:r>
          <w:rPr>
            <w:rStyle w:val="Hyperlink"/>
          </w:rPr>
          <w:t xml:space="preserve">https://doi.org/10.21105/joss.00772</w:t>
        </w:r>
      </w:hyperlink>
    </w:p>
    <w:bookmarkEnd w:id="187"/>
    <w:bookmarkStart w:id="18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8">
        <w:r>
          <w:rPr>
            <w:rStyle w:val="Hyperlink"/>
          </w:rPr>
          <w:t xml:space="preserve">https://easystats.github.io/easystats/</w:t>
        </w:r>
      </w:hyperlink>
    </w:p>
    <w:bookmarkEnd w:id="189"/>
    <w:bookmarkStart w:id="19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0">
        <w:r>
          <w:rPr>
            <w:rStyle w:val="Hyperlink"/>
          </w:rPr>
          <w:t xml:space="preserve">https://doi.org/10.3389/fpsyg.2019.02767</w:t>
        </w:r>
      </w:hyperlink>
    </w:p>
    <w:bookmarkEnd w:id="191"/>
    <w:bookmarkStart w:id="19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2">
        <w:r>
          <w:rPr>
            <w:rStyle w:val="Hyperlink"/>
          </w:rPr>
          <w:t xml:space="preserve">https://doi.org/10.21105/joss.01541</w:t>
        </w:r>
      </w:hyperlink>
    </w:p>
    <w:bookmarkEnd w:id="193"/>
    <w:bookmarkStart w:id="195"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4">
        <w:r>
          <w:rPr>
            <w:rStyle w:val="Hyperlink"/>
          </w:rPr>
          <w:t xml:space="preserve">https://doi.org/10.1098/rsos.231713</w:t>
        </w:r>
      </w:hyperlink>
    </w:p>
    <w:bookmarkEnd w:id="195"/>
    <w:bookmarkStart w:id="197"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6">
        <w:r>
          <w:rPr>
            <w:rStyle w:val="Hyperlink"/>
          </w:rPr>
          <w:t xml:space="preserve">https://doi.org/10.1201/9780429029608</w:t>
        </w:r>
      </w:hyperlink>
    </w:p>
    <w:bookmarkEnd w:id="197"/>
    <w:bookmarkStart w:id="199"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8">
        <w:r>
          <w:rPr>
            <w:rStyle w:val="Hyperlink"/>
          </w:rPr>
          <w:t xml:space="preserve">https://doi.org/10.2307/2344614</w:t>
        </w:r>
      </w:hyperlink>
    </w:p>
    <w:bookmarkEnd w:id="199"/>
    <w:bookmarkStart w:id="201"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0">
        <w:r>
          <w:rPr>
            <w:rStyle w:val="Hyperlink"/>
          </w:rPr>
          <w:t xml:space="preserve">https://www.sciencedirect.com/science/article/pii/S0048969723041505</w:t>
        </w:r>
      </w:hyperlink>
    </w:p>
    <w:bookmarkEnd w:id="201"/>
    <w:bookmarkStart w:id="203"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2">
        <w:r>
          <w:rPr>
            <w:rStyle w:val="Hyperlink"/>
          </w:rPr>
          <w:t xml:space="preserve">https://doi.org/10.1093/oxfordjournals.pan.a004873</w:t>
        </w:r>
      </w:hyperlink>
    </w:p>
    <w:bookmarkEnd w:id="203"/>
    <w:bookmarkStart w:id="205"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4">
        <w:r>
          <w:rPr>
            <w:rStyle w:val="Hyperlink"/>
          </w:rPr>
          <w:t xml:space="preserve">https://www.R-project.org/</w:t>
        </w:r>
      </w:hyperlink>
    </w:p>
    <w:bookmarkEnd w:id="205"/>
    <w:bookmarkStart w:id="207"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6">
        <w:r>
          <w:rPr>
            <w:rStyle w:val="Hyperlink"/>
          </w:rPr>
          <w:t xml:space="preserve">https://docs.ropensci.org/rix/</w:t>
        </w:r>
      </w:hyperlink>
    </w:p>
    <w:bookmarkEnd w:id="207"/>
    <w:bookmarkStart w:id="209"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8">
        <w:r>
          <w:rPr>
            <w:rStyle w:val="Hyperlink"/>
          </w:rPr>
          <w:t xml:space="preserve">https://doi.org/10.1177/08902070241239834</w:t>
        </w:r>
      </w:hyperlink>
    </w:p>
    <w:bookmarkEnd w:id="209"/>
    <w:bookmarkStart w:id="211"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0">
        <w:r>
          <w:rPr>
            <w:rStyle w:val="Hyperlink"/>
          </w:rPr>
          <w:t xml:space="preserve">https://doi.org/10.31234/osf.io/4rznt</w:t>
        </w:r>
      </w:hyperlink>
    </w:p>
    <w:bookmarkEnd w:id="211"/>
    <w:bookmarkStart w:id="213"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2">
        <w:r>
          <w:rPr>
            <w:rStyle w:val="Hyperlink"/>
          </w:rPr>
          <w:t xml:space="preserve">https://doi.org/10.1001/jamanetworkopen.2023.53401</w:t>
        </w:r>
      </w:hyperlink>
    </w:p>
    <w:bookmarkEnd w:id="213"/>
    <w:bookmarkStart w:id="21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4">
        <w:r>
          <w:rPr>
            <w:rStyle w:val="Hyperlink"/>
          </w:rPr>
          <w:t xml:space="preserve">https://mc-stan.org</w:t>
        </w:r>
      </w:hyperlink>
    </w:p>
    <w:bookmarkEnd w:id="215"/>
    <w:bookmarkStart w:id="21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6">
        <w:r>
          <w:rPr>
            <w:rStyle w:val="Hyperlink"/>
          </w:rPr>
          <w:t xml:space="preserve">https://doi.org/10.1007/s11409-017-9175-0</w:t>
        </w:r>
      </w:hyperlink>
    </w:p>
    <w:bookmarkEnd w:id="217"/>
    <w:bookmarkStart w:id="21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8">
        <w:r>
          <w:rPr>
            <w:rStyle w:val="Hyperlink"/>
          </w:rPr>
          <w:t xml:space="preserve">https://vuorre.com/posts/2019-02-18-analyze-analog-scale-ratings-with-zero-one-inflated-beta-models</w:t>
        </w:r>
      </w:hyperlink>
    </w:p>
    <w:bookmarkEnd w:id="219"/>
    <w:bookmarkStart w:id="22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0">
        <w:r>
          <w:rPr>
            <w:rStyle w:val="Hyperlink"/>
          </w:rPr>
          <w:t xml:space="preserve">https://doi.org/10.1002/acp.3724</w:t>
        </w:r>
      </w:hyperlink>
    </w:p>
    <w:bookmarkEnd w:id="221"/>
    <w:bookmarkStart w:id="22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2">
        <w:r>
          <w:rPr>
            <w:rStyle w:val="Hyperlink"/>
          </w:rPr>
          <w:t xml:space="preserve">https://doi.org/10.1111/gcb.17422</w:t>
        </w:r>
      </w:hyperlink>
    </w:p>
    <w:bookmarkEnd w:id="223"/>
    <w:bookmarkStart w:id="22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4">
        <w:r>
          <w:rPr>
            <w:rStyle w:val="Hyperlink"/>
          </w:rPr>
          <w:t xml:space="preserve">https://doi.org/10.1037/mac0000003</w:t>
        </w:r>
      </w:hyperlink>
    </w:p>
    <w:bookmarkEnd w:id="225"/>
    <w:bookmarkEnd w:id="226"/>
    <w:bookmarkEnd w:id="227"/>
    <w:bookmarkEnd w:id="22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5">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16">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0"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6"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4"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2"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4"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8"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29"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0"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6"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4"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2"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4"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8"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29"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9764</vt:lpwstr>
  </property>
  <property fmtid="{D5CDD505-2E9C-101B-9397-08002B2CF9AE}" pid="63" name="zerocitations">
    <vt:lpwstr>False</vt:lpwstr>
  </property>
</Properties>
</file>