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9483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In psychological research, it is common to run experiments or administer surveys in which the primary outcomes of interest—such as task performance, attitudes, or choices—are expressed as proportions or percentages. For instance,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 [</w:t>
      </w:r>
      <w:r>
        <w:t xml:space="preserve">R Core Team (</w:t>
      </w:r>
      <w:hyperlink w:anchor="ref-R">
        <w:r>
          <w:rPr>
            <w:rStyle w:val="Hyperlink"/>
          </w:rPr>
          <w:t xml:space="preserve">2024</w:t>
        </w:r>
      </w:hyperlink>
      <w:r>
        <w:t xml:space="preserve">)</w:t>
      </w:r>
      <w:r>
        <w:t xml:space="preserve">] 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9483</vt:lpwstr>
  </property>
  <property fmtid="{D5CDD505-2E9C-101B-9397-08002B2CF9AE}" pid="63" name="zerocitations">
    <vt:lpwstr>False</vt:lpwstr>
  </property>
</Properties>
</file>