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10565</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0.003 to 0.167.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4016     2711</w:t>
      </w:r>
      <w:r>
        <w:br/>
      </w:r>
      <w:r>
        <w:rPr>
          <w:rStyle w:val="VerbatimChar"/>
        </w:rPr>
        <w:t xml:space="preserve">FluencyFluent     0.09      0.04     0.00     0.17 1.00     3901     3107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3359     2970</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t xml:space="preserve">Importantly,</w:t>
      </w:r>
      <w:r>
        <w:t xml:space="preserve"> </w:t>
      </w:r>
      <w:r>
        <w:rPr>
          <w:i/>
          <w:iCs/>
        </w:rPr>
        <w:t xml:space="preserve">pd</w:t>
      </w:r>
      <w:r>
        <w:t xml:space="preserve"> </w:t>
      </w:r>
      <w: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t xml:space="preserve"> </w:t>
      </w:r>
      <w:r>
        <w:t xml:space="preserve">(Kruschke, 2015)</w:t>
      </w:r>
      <w:r>
        <w:t xml:space="preserve">. Unlike a hypothesis test of a point null (e.g., exactly zero), the ROPE defines a range of values that are deemed too small to be of substantive importance. As a rule of thumb</w:t>
      </w:r>
      <w:r>
        <w:t xml:space="preserve"> </w:t>
      </w:r>
      <w:r>
        <w:t xml:space="preserve">(see Kruschke, 2018)</w:t>
      </w:r>
      <w: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t xml:space="preserve">The</w:t>
      </w:r>
      <w:r>
        <w:t xml:space="preserve"> </w:t>
      </w:r>
      <w:r>
        <w:rPr>
          <w:rStyle w:val="VerbatimChar"/>
        </w:rPr>
        <w:t xml:space="preserve">rope()</w:t>
      </w:r>
      <w:r>
        <w:t xml:space="preserve"> </w:t>
      </w:r>
      <w:r>
        <w:t xml:space="preserve">function in the</w:t>
      </w:r>
      <w:r>
        <w:t xml:space="preserve"> </w:t>
      </w:r>
      <w:r>
        <w:rPr>
          <w:rStyle w:val="VerbatimChar"/>
        </w:rPr>
        <w:t xml:space="preserve">bayestestR</w:t>
      </w:r>
      <w:r>
        <w:t xml:space="preserve"> </w:t>
      </w:r>
      <w:r>
        <w:t xml:space="preserve">package computes the proportion of the posterior within the ROPE to facilitate this evaluation. By default, from bayesian models fit via</w:t>
      </w:r>
      <w:r>
        <w:t xml:space="preserve"> </w:t>
      </w:r>
      <w:r>
        <w:rPr>
          <w:rStyle w:val="VerbatimChar"/>
        </w:rPr>
        <w:t xml:space="preserve">brms</w:t>
      </w:r>
      <w:r>
        <w:t xml:space="preserve"> </w:t>
      </w:r>
      <w:r>
        <w:t xml:space="preserve">the package determines a ROPE based on the data (roughly reflecting</w:t>
      </w:r>
      <w:r>
        <w:t xml:space="preserve"> </w:t>
      </w:r>
      <w:r>
        <w:t xml:space="preserve">“negligible”</w:t>
      </w:r>
      <w:r>
        <w:t xml:space="preserve"> </w:t>
      </w:r>
      <w:r>
        <w:t xml:space="preserve">effects), but these defaults should be used cautiously. The choice of ROPE should ultimately be guided by theoretical considerations, prior research, and the substantive context of the study. In</w:t>
      </w:r>
      <w:r>
        <w:t xml:space="preserve"> </w:t>
      </w:r>
      <w:r>
        <w:rPr>
          <w:b/>
          <w:bCs/>
        </w:rPr>
        <w:t xml:space="preserve">?@lst-rope</w:t>
      </w:r>
      <w:r>
        <w:t xml:space="preserve">, we show how to compute this using</w:t>
      </w:r>
      <w:r>
        <w:t xml:space="preserve"> </w:t>
      </w:r>
      <w:r>
        <w:rPr>
          <w:rStyle w:val="VerbatimChar"/>
        </w:rPr>
        <w:t xml:space="preserve">bayestestR</w:t>
      </w:r>
      <w:r>
        <w:t xml:space="preserve">. Running the function with default settings suggests that less than 5% of the posterior distribution lies within the default ROPE (indicating the effect is larger than .02) (see</w:t>
      </w:r>
      <w:r>
        <w:t xml:space="preserve"> </w:t>
      </w:r>
      <w:hyperlink w:anchor="fig-rope">
        <w:r>
          <w:rPr>
            <w:rStyle w:val="Hyperlink"/>
          </w:rPr>
          <w:t xml:space="preserve">Figure 4</w:t>
        </w:r>
      </w:hyperlink>
      <w: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[3.228, 7.409]</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[0.856, 2.705]</w:t>
            </w:r>
          </w:p>
        </w:tc>
        <w:tc>
          <w:tcPr/>
          <w:p>
            <w:pPr>
              <w:pStyle w:val="Compact"/>
            </w:pPr>
            <w:r>
              <w:t xml:space="preserve">0.922</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0.35]</w:t>
            </w:r>
          </w:p>
        </w:tc>
      </w:tr>
      <w:tr>
        <w:tc>
          <w:tcPr/>
          <w:p>
            <w:pPr>
              <w:pStyle w:val="Compact"/>
            </w:pPr>
            <w:r>
              <w:t xml:space="preserve">Fluent</w:t>
            </w:r>
          </w:p>
        </w:tc>
        <w:tc>
          <w:tcPr/>
          <w:p>
            <w:pPr>
              <w:pStyle w:val="Compact"/>
            </w:pPr>
            <w:r>
              <w:t xml:space="preserve">0.354</w:t>
            </w:r>
          </w:p>
        </w:tc>
        <w:tc>
          <w:tcPr/>
          <w:p>
            <w:pPr>
              <w:pStyle w:val="Compact"/>
            </w:pPr>
            <w:r>
              <w:t xml:space="preserve">[0.303, 0.411]</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[-0.014, 0.127]</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0.115]</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w:t>
            </w:r>
          </w:p>
        </w:tc>
        <w:tc>
          <w:tcPr/>
          <w:p>
            <w:pPr>
              <w:pStyle w:val="Compact"/>
            </w:pPr>
            <w:r>
              <w:t xml:space="preserve">[-0.945, 6.586]</w:t>
            </w:r>
          </w:p>
        </w:tc>
      </w:tr>
    </w:tbl>
    <w:bookmarkEnd w:id="117"/>
    <w:bookmarkEnd w:id="118"/>
    <w:bookmarkStart w:id="12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6"/>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[-0.015, 0.137]</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[-3.59,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504749" cy="3400711"/>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504749" cy="3400711"/>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4" w:name="references"/>
    <w:p>
      <w:pPr>
        <w:pStyle w:val="Heading1"/>
      </w:pPr>
      <w:r>
        <w:t xml:space="preserve">References</w:t>
      </w:r>
    </w:p>
    <w:bookmarkStart w:id="263"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7">
        <w:r>
          <w:rPr>
            <w:rStyle w:val="Hyperlink"/>
          </w:rPr>
          <w:t xml:space="preserve">https://doi.org/10.1201/9780429029608</w:t>
        </w:r>
      </w:hyperlink>
    </w:p>
    <w:bookmarkEnd w:id="228"/>
    <w:bookmarkStart w:id="230"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9">
        <w:r>
          <w:rPr>
            <w:rStyle w:val="Hyperlink"/>
          </w:rPr>
          <w:t xml:space="preserve">https://doi.org/10.2307/2344614</w:t>
        </w:r>
      </w:hyperlink>
    </w:p>
    <w:bookmarkEnd w:id="230"/>
    <w:bookmarkStart w:id="232"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1">
        <w:r>
          <w:rPr>
            <w:rStyle w:val="Hyperlink"/>
          </w:rPr>
          <w:t xml:space="preserve">https://www.sciencedirect.com/science/article/pii/S0048969723041505</w:t>
        </w:r>
      </w:hyperlink>
    </w:p>
    <w:bookmarkEnd w:id="232"/>
    <w:bookmarkStart w:id="234"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3">
        <w:r>
          <w:rPr>
            <w:rStyle w:val="Hyperlink"/>
          </w:rPr>
          <w:t xml:space="preserve">https://doi.org/10.1093/oxfordjournals.pan.a004873</w:t>
        </w:r>
      </w:hyperlink>
    </w:p>
    <w:bookmarkEnd w:id="234"/>
    <w:bookmarkStart w:id="236"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5">
        <w:r>
          <w:rPr>
            <w:rStyle w:val="Hyperlink"/>
          </w:rPr>
          <w:t xml:space="preserve">https://www.R-project.org/</w:t>
        </w:r>
      </w:hyperlink>
    </w:p>
    <w:bookmarkEnd w:id="236"/>
    <w:bookmarkStart w:id="238"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7">
        <w:r>
          <w:rPr>
            <w:rStyle w:val="Hyperlink"/>
          </w:rPr>
          <w:t xml:space="preserve">https://docs.ropensci.org/rix/</w:t>
        </w:r>
      </w:hyperlink>
    </w:p>
    <w:bookmarkEnd w:id="238"/>
    <w:bookmarkStart w:id="240"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9">
        <w:r>
          <w:rPr>
            <w:rStyle w:val="Hyperlink"/>
          </w:rPr>
          <w:t xml:space="preserve">https://doi.org/10.1177/08902070241239834</w:t>
        </w:r>
      </w:hyperlink>
    </w:p>
    <w:bookmarkEnd w:id="240"/>
    <w:bookmarkStart w:id="242"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1">
        <w:r>
          <w:rPr>
            <w:rStyle w:val="Hyperlink"/>
          </w:rPr>
          <w:t xml:space="preserve">https://doi.org/10.31234/osf.io/4rznt</w:t>
        </w:r>
      </w:hyperlink>
    </w:p>
    <w:bookmarkEnd w:id="242"/>
    <w:bookmarkStart w:id="244"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3">
        <w:r>
          <w:rPr>
            <w:rStyle w:val="Hyperlink"/>
          </w:rPr>
          <w:t xml:space="preserve">https://doi.org/10.1001/jamanetworkopen.2023.53401</w:t>
        </w:r>
      </w:hyperlink>
    </w:p>
    <w:bookmarkEnd w:id="244"/>
    <w:bookmarkStart w:id="246"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5">
        <w:r>
          <w:rPr>
            <w:rStyle w:val="Hyperlink"/>
          </w:rPr>
          <w:t xml:space="preserve">https://doi.org/10.1037/1082-989x.11.1.54</w:t>
        </w:r>
      </w:hyperlink>
    </w:p>
    <w:bookmarkEnd w:id="246"/>
    <w:bookmarkStart w:id="248"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7">
        <w:r>
          <w:rPr>
            <w:rStyle w:val="Hyperlink"/>
          </w:rPr>
          <w:t xml:space="preserve">https://mc-stan.org</w:t>
        </w:r>
      </w:hyperlink>
    </w:p>
    <w:bookmarkEnd w:id="248"/>
    <w:bookmarkStart w:id="250"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9">
        <w:r>
          <w:rPr>
            <w:rStyle w:val="Hyperlink"/>
          </w:rPr>
          <w:t xml:space="preserve">https://doi.org/10.1007/s11409-017-9175-0</w:t>
        </w:r>
      </w:hyperlink>
    </w:p>
    <w:bookmarkEnd w:id="250"/>
    <w:bookmarkStart w:id="252"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1">
        <w:r>
          <w:rPr>
            <w:rStyle w:val="Hyperlink"/>
          </w:rPr>
          <w:t xml:space="preserve">https://vuorre.com/posts/2019-02-18-analyze-analog-scale-ratings-with-zero-one-inflated-beta-models</w:t>
        </w:r>
      </w:hyperlink>
    </w:p>
    <w:bookmarkEnd w:id="252"/>
    <w:bookmarkStart w:id="254"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3">
        <w:r>
          <w:rPr>
            <w:rStyle w:val="Hyperlink"/>
          </w:rPr>
          <w:t xml:space="preserve">https://r4ds.hadley.nz/</w:t>
        </w:r>
      </w:hyperlink>
    </w:p>
    <w:bookmarkEnd w:id="254"/>
    <w:bookmarkStart w:id="256"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5">
        <w:r>
          <w:rPr>
            <w:rStyle w:val="Hyperlink"/>
          </w:rPr>
          <w:t xml:space="preserve">https://doi.org/10.1002/acp.3724</w:t>
        </w:r>
      </w:hyperlink>
    </w:p>
    <w:bookmarkEnd w:id="256"/>
    <w:bookmarkStart w:id="258"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7">
        <w:r>
          <w:rPr>
            <w:rStyle w:val="Hyperlink"/>
          </w:rPr>
          <w:t xml:space="preserve">https://doi.org/10.1111/gcb.17422</w:t>
        </w:r>
      </w:hyperlink>
    </w:p>
    <w:bookmarkEnd w:id="258"/>
    <w:bookmarkStart w:id="260"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9">
        <w:r>
          <w:rPr>
            <w:rStyle w:val="Hyperlink"/>
          </w:rPr>
          <w:t xml:space="preserve">https://doi.org/10.1037/mac0000003</w:t>
        </w:r>
      </w:hyperlink>
    </w:p>
    <w:bookmarkEnd w:id="260"/>
    <w:bookmarkStart w:id="262"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1">
        <w:r>
          <w:rPr>
            <w:rStyle w:val="Hyperlink"/>
          </w:rPr>
          <w:t xml:space="preserve">https://stats.andrewheiss.com/compassionate-clam/manuscript/output/manuscript.html</w:t>
        </w:r>
      </w:hyperlink>
    </w:p>
    <w:bookmarkEnd w:id="262"/>
    <w:bookmarkEnd w:id="263"/>
    <w:sectPr>
      <w:lnNumType w:countBy="1" w:restart="continuous"/>
    </w:sectPr>
    <w:bookmarkEnd w:id="264"/>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mments">
    <vt:lpwstr/>
  </property>
  <property fmtid="{D5CDD505-2E9C-101B-9397-08002B2CF9AE}" pid="15" name="crossref">
    <vt:lpwstr/>
  </property>
  <property fmtid="{D5CDD505-2E9C-101B-9397-08002B2CF9AE}" pid="16" name="csl">
    <vt:lpwstr>_extensions/apaquarto/apa.csl</vt:lpwstr>
  </property>
  <property fmtid="{D5CDD505-2E9C-101B-9397-08002B2CF9AE}" pid="17" name="documentmode">
    <vt:lpwstr>man</vt:lpwstr>
  </property>
  <property fmtid="{D5CDD505-2E9C-101B-9397-08002B2CF9AE}" pid="18" name="execute">
    <vt:lpwstr/>
  </property>
  <property fmtid="{D5CDD505-2E9C-101B-9397-08002B2CF9AE}" pid="19" name="fig-cap-location">
    <vt:lpwstr>top</vt:lpwstr>
  </property>
  <property fmtid="{D5CDD505-2E9C-101B-9397-08002B2CF9AE}" pid="20" name="floatsintext">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nk-citations">
    <vt:lpwstr>False</vt:lpwstr>
  </property>
  <property fmtid="{D5CDD505-2E9C-101B-9397-08002B2CF9AE}" pid="28" name="mask">
    <vt:lpwstr>False</vt:lpwstr>
  </property>
  <property fmtid="{D5CDD505-2E9C-101B-9397-08002B2CF9AE}" pid="29" name="no-ampersand-parenthetical">
    <vt:lpwstr>False</vt:lpwstr>
  </property>
  <property fmtid="{D5CDD505-2E9C-101B-9397-08002B2CF9AE}" pid="30" name="number-depth">
    <vt:lpwstr>3</vt:lpwstr>
  </property>
  <property fmtid="{D5CDD505-2E9C-101B-9397-08002B2CF9AE}" pid="31" name="numbered-lines">
    <vt:lpwstr>True</vt:lpwstr>
  </property>
  <property fmtid="{D5CDD505-2E9C-101B-9397-08002B2CF9AE}" pid="32" name="numbersection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references">
    <vt:lpwstr/>
  </property>
  <property fmtid="{D5CDD505-2E9C-101B-9397-08002B2CF9AE}" pid="36" name="revealjs-plugins">
    <vt:lpwstr/>
  </property>
  <property fmtid="{D5CDD505-2E9C-101B-9397-08002B2CF9AE}" pid="37" name="shorttitle">
    <vt:lpwstr>BETA REGRESSION TUTORIAL</vt:lpwstr>
  </property>
  <property fmtid="{D5CDD505-2E9C-101B-9397-08002B2CF9AE}" pid="38" name="site-url">
    <vt:lpwstr>https://jgeller112.github.io/beta_regression_tutorial/</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True</vt:lpwstr>
  </property>
  <property fmtid="{D5CDD505-2E9C-101B-9397-08002B2CF9AE}" pid="66" name="wordn">
    <vt:lpwstr>10565</vt:lpwstr>
  </property>
  <property fmtid="{D5CDD505-2E9C-101B-9397-08002B2CF9AE}" pid="67" name="zerocitations">
    <vt:lpwstr>False</vt:lpwstr>
  </property>
</Properties>
</file>