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7.png" ContentType="image/png"/>
  <Override PartName="/word/media/rId43.png" ContentType="image/png"/>
  <Override PartName="/word/media/rId61.png" ContentType="image/png"/>
  <Override PartName="/word/media/rId135.png" ContentType="image/png"/>
  <Override PartName="/word/media/rId71.png" ContentType="image/png"/>
  <Override PartName="/word/media/rId83.png" ContentType="image/png"/>
  <Override PartName="/word/media/rId93.png" ContentType="image/png"/>
  <Override PartName="/word/media/rId98.png" ContentType="image/png"/>
  <Override PartName="/word/media/rId109.png" ContentType="image/png"/>
  <Override PartName="/word/media/rId129.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Psychological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Chelsea M. Parlett Pelleriti</w:t>
      </w:r>
      <w:r>
        <w:rPr>
          <w:vertAlign w:val="superscript"/>
        </w:rPr>
        <w:t xml:space="preserve">3</w:t>
      </w:r>
      <w:r>
        <w:t xml:space="preserve">, and Matti Vuorre</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School</w:t>
      </w:r>
    </w:p>
    <w:p>
      <w:pPr>
        <w:pStyle w:val="Author"/>
      </w:pPr>
      <w:r>
        <w:rPr>
          <w:vertAlign w:val="superscript"/>
        </w:rPr>
        <w:t xml:space="preserve">4</w:t>
      </w:r>
      <w:r>
        <w:t xml:space="preserve">Tilburg University</w:t>
      </w:r>
    </w:p>
    <w:p>
      <w:pPr>
        <w:pStyle w:val="BodyText"/>
      </w:pPr>
      <w:r>
        <w:t xml:space="preserve"> </w:t>
      </w:r>
    </w:p>
    <w:p>
      <w:pPr>
        <w:pStyle w:val="BodyText"/>
      </w:pPr>
      <w:r>
        <w:t xml:space="preserve"> </w:t>
      </w:r>
    </w:p>
    <w:bookmarkEnd w:id="20"/>
    <w:bookmarkStart w:id="39"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https://orcid.org/0000-0001-6655-4119</w:t>
        </w:r>
      </w:hyperlink>
    </w:p>
    <w:p>
      <w:pPr>
        <w:pStyle w:val="BodyText"/>
      </w:pPr>
      <w:r>
        <w:t xml:space="preserve">Chelsea M. Parlett Pelleriti</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https://orcid.org/0000-0001-9301-1398</w:t>
        </w:r>
      </w:hyperlink>
    </w:p>
    <w:p>
      <w:pPr>
        <w:pStyle w:val="BodyText"/>
      </w:pPr>
      <w:r>
        <w:t xml:space="preserve">Matti Vuorre</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https://orcid.org/0000-0001-5052-066X</w:t>
        </w:r>
      </w:hyperlink>
    </w:p>
    <w:p>
      <w:pPr>
        <w:pStyle w:val="BodyText"/>
      </w:pPr>
      <w:r>
        <w:t xml:space="preserve">No preregistration Data, code, and materials for this manuscript can be found at. The authors have no conflicts of interest to disclose.</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and formal analysis. </w:t>
      </w:r>
      <w:r>
        <w:rPr>
          <w:i/>
          <w:iCs/>
        </w:rPr>
        <w:t xml:space="preserve">Robert Kubinec</w:t>
      </w:r>
      <w:r>
        <w:rPr>
          <w:b/>
          <w:bCs/>
        </w:rPr>
        <w:t xml:space="preserve">: </w:t>
      </w:r>
      <w:r>
        <w:t xml:space="preserve">writing – original draft, writing – review &amp; editing, and formal analysis. </w:t>
      </w:r>
      <w:r>
        <w:rPr>
          <w:i/>
          <w:iCs/>
        </w:rPr>
        <w:t xml:space="preserve">Chelsea M. Parlett Pelleriti</w:t>
      </w:r>
      <w:r>
        <w:rPr>
          <w:b/>
          <w:bCs/>
        </w:rPr>
        <w:t xml:space="preserve">: </w:t>
      </w:r>
      <w:r>
        <w:t xml:space="preserve">writing – original draft, writing – review &amp; editing, and formal analysis. </w:t>
      </w:r>
      <w:r>
        <w:rPr>
          <w:i/>
          <w:iCs/>
        </w:rPr>
        <w:t xml:space="preserve">Matti Vuorre</w:t>
      </w:r>
      <w:r>
        <w:rPr>
          <w:b/>
          <w:bCs/>
        </w:rPr>
        <w:t xml:space="preserve">: </w:t>
      </w:r>
      <w:r>
        <w:t xml:space="preserve">writing – original draft, writing – review &amp; editing, and formal analysis</w:t>
      </w:r>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8">
        <w:r>
          <w:rPr>
            <w:rStyle w:val="Hyperlink"/>
          </w:rPr>
          <w:t xml:space="preserve">drjasongeller@gmail.com</w:t>
        </w:r>
      </w:hyperlink>
    </w:p>
    <w:p>
      <w:r>
        <w:br w:type="page"/>
      </w:r>
    </w:p>
    <w:bookmarkEnd w:id="39"/>
    <w:bookmarkStart w:id="40" w:name="abstract"/>
    <w:p>
      <w:pPr>
        <w:pStyle w:val="Heading1"/>
      </w:pPr>
      <w:r>
        <w:t xml:space="preserve">Abstract</w:t>
      </w:r>
    </w:p>
    <w:p>
      <w:pPr>
        <w:pStyle w:val="AbstractFirstParagraph"/>
      </w:pPr>
      <w:r>
        <w:t xml:space="preserve">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w:t>
      </w:r>
      <w:r>
        <w:t xml:space="preserve"> </w:t>
      </w:r>
      <w:r>
        <w:rPr>
          <w:rStyle w:val="VerbatimChar"/>
        </w:rPr>
        <w:t xml:space="preserve">brms</w:t>
      </w:r>
      <w:r>
        <w:t xml:space="preserve"> </w:t>
      </w:r>
      <w:r>
        <w:t xml:space="preserve">and how to interpret results using the</w:t>
      </w:r>
      <w:r>
        <w:t xml:space="preserve"> </w:t>
      </w:r>
      <w:r>
        <w:rPr>
          <w:rStyle w:val="VerbatimChar"/>
        </w:rPr>
        <w:t xml:space="preserve">marginaleffects</w:t>
      </w:r>
      <w:r>
        <w:t xml:space="preserve"> </w:t>
      </w:r>
      <w:r>
        <w:t xml:space="preserve">package. We also discuss model extensions, including zero-inflated, zero- and one-inflated, and ordered beta models. To promote wider adoption of these methods, we provide detailed code and materials at https://github.com/jgeller112/beta_regression_tutorial.</w:t>
      </w:r>
    </w:p>
    <w:p>
      <w:pPr>
        <w:pStyle w:val="BodyText"/>
      </w:pPr>
      <w:r>
        <w:rPr>
          <w:i/>
          <w:iCs/>
        </w:rPr>
        <w:t xml:space="preserve">Keywords</w:t>
      </w:r>
      <w:r>
        <w:t xml:space="preserve">: beta regression, beta distribution, R, tutorial, psychology, learning and memory</w:t>
      </w:r>
    </w:p>
    <w:p>
      <w:pPr>
        <w:pStyle w:val="BodyText"/>
      </w:pPr>
      <w:r>
        <w:rPr>
          <w:i/>
          <w:iCs/>
        </w:rPr>
        <w:t xml:space="preserve">Word Count</w:t>
      </w:r>
      <w:r>
        <w:t xml:space="preserve">: 8799</w:t>
      </w:r>
    </w:p>
    <w:p>
      <w:r>
        <w:br w:type="page"/>
      </w:r>
    </w:p>
    <w:bookmarkEnd w:id="40"/>
    <w:bookmarkStart w:id="54" w:name="firstheader"/>
    <w:p>
      <w:pPr>
        <w:pStyle w:val="Heading1"/>
      </w:pPr>
      <w:r>
        <w:t xml:space="preserve">A Beta Way: A Tutorial For Using Beta Regression in Psychological Research</w:t>
      </w:r>
    </w:p>
    <w:p>
      <w:pPr>
        <w:pStyle w:val="FirstParagraph"/>
      </w:pPr>
      <w:r>
        <w:t xml:space="preserve">In psychological research, it is common to measure performance, attitudes, or choices using outcomes expressed as proportions or percentages. As a running example, memory researchers might have participants read a short passage and complete a final memory test with 10 short-answer questions, each assigned a different point value. The primary outcome could be the proportion of total points earned relative to the total possible points across all questions.</w:t>
      </w:r>
    </w:p>
    <w:p>
      <w:pPr>
        <w:pStyle w:val="BodyText"/>
      </w:pPr>
      <w:r>
        <w:t xml:space="preserve">A key question arises: how should proportional data like this be analyzed? In psychology, such outcomes are often analyzed using models from the general linear model (GLM) or generalized linear model (GLiM) frameworks. General linear models — including t-tests, ANOVAs, and linear regression — assume the outcome is normally distributed, unbounded, and exhibits constant variance. However, these assumptions are frequently violated when working with proportional data, which are bounded between 0 and 1 and tend to show non-constant variance, especially near the boundaries</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can lead to biased estimates and invalid inferences, making general linear models an unsuitable choice for analyzing proportions.</w:t>
      </w:r>
    </w:p>
    <w:p>
      <w:pPr>
        <w:pStyle w:val="BodyText"/>
      </w:pPr>
      <w:r>
        <w:t xml:space="preserve">Generalized linear models extend the linear model framework to accommodate non-normal outcome distributions and different link functions. For example, binomial or Bernoulli models with a logit link (commonly referred to as logistic regression) are well-suited for binary outcomes or counts of successes out of a fixed number of trials. However, these models may still fall short when proportions are treated as continuous outcomes or when data exhibit overdispersion or cluster near 0 or 1.</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42" w:name="a-beginners-guide-to-beta-regression"/>
    <w:p>
      <w:pPr>
        <w:pStyle w:val="Heading2"/>
      </w:pPr>
      <w:r>
        <w:t xml:space="preserve">A Beginners Guide to Beta Regression</w:t>
      </w:r>
    </w:p>
    <w:p>
      <w:pPr>
        <w:pStyle w:val="FirstParagraph"/>
      </w:pPr>
      <w:r>
        <w:t xml:space="preserve">With the combination of open-source programming languages like R [@R] and the vibrant community of package developers, running analyses such as Beta regression has become increasingly accessible. Yet, adoption of these methods—especially in psychology—remains limited. One reason may be the lack of resources tailored to the needs of psychologists conducting applied research. Although recent years have seen a surge of interest in Beta regression</w:t>
      </w:r>
      <w:r>
        <w:t xml:space="preserve"> </w:t>
      </w:r>
      <w:r>
        <w:t xml:space="preserve">(</w:t>
      </w:r>
      <w:hyperlink w:anchor="ref-bendixen2023">
        <w:r>
          <w:rPr>
            <w:rStyle w:val="Hyperlink"/>
          </w:rPr>
          <w:t xml:space="preserve">Bendixen &amp; Purzycki, 2023</w:t>
        </w:r>
      </w:hyperlink>
      <w:r>
        <w:t xml:space="preserve">;</w:t>
      </w:r>
      <w:r>
        <w:t xml:space="preserve"> </w:t>
      </w:r>
      <w:hyperlink w:anchor="ref-coretta2025bayesian">
        <w:r>
          <w:rPr>
            <w:rStyle w:val="Hyperlink"/>
          </w:rPr>
          <w:t xml:space="preserve">Coretta &amp; Bürkner, 2025</w:t>
        </w:r>
      </w:hyperlink>
      <w:r>
        <w:t xml:space="preserve">; see</w:t>
      </w:r>
      <w:r>
        <w:t xml:space="preserve"> </w:t>
      </w:r>
      <w:hyperlink w:anchor="ref-heiss2021">
        <w:r>
          <w:rPr>
            <w:rStyle w:val="Hyperlink"/>
          </w:rPr>
          <w:t xml:space="preserve">Heiss, 2021</w:t>
        </w:r>
      </w:hyperlink>
      <w:r>
        <w:t xml:space="preserve">;</w:t>
      </w:r>
      <w:r>
        <w:t xml:space="preserve"> </w:t>
      </w:r>
      <w:hyperlink w:anchor="ref-vuorre2019">
        <w:r>
          <w:rPr>
            <w:rStyle w:val="Hyperlink"/>
          </w:rPr>
          <w:t xml:space="preserve">Vuorre, 2019</w:t>
        </w:r>
      </w:hyperlink>
      <w:r>
        <w:t xml:space="preserve">)</w:t>
      </w:r>
      <w:r>
        <w:t xml:space="preserve">, these introductions often do not provide comprehensive, psychology-relevant examples or guidance on interpreting results for common research questions. This tutorial seeks to expand on existing resources by offering a more thorough application of Beta regression within psychologically meaningful contexts, illustrating how to draw inferences, and equipping psychologists with the tools and code needed to explore these statistical methods in their own work.</w:t>
      </w:r>
    </w:p>
    <w:p>
      <w:pPr>
        <w:pStyle w:val="BodyText"/>
      </w:pPr>
      <w:r>
        <w:t xml:space="preserve">In this tutorial, we provide (a) give a brief, non-technical overview of the principles underlying beta regression, (b) walk-through an empirical example of applying beta regression in the popular R programming language and (c) highlight the the extensions which are most relevant to researchers in psychology (e.g., zero-inflated, zero-one-inflated, and ordered beta regressions). Moreover, we provide a fully reproducible code supplement at X (link to multiformat rendered document and its Zenodo archive) that provides more detailed code examples.</w:t>
      </w:r>
      <w:r>
        <w:rPr>
          <w:rStyle w:val="FootnoteReference"/>
        </w:rPr>
        <w:footnoteReference w:id="41"/>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w:t>
      </w:r>
      <w:r>
        <w:t xml:space="preserve"> </w:t>
      </w:r>
      <w:r>
        <w:t xml:space="preserve">(</w:t>
      </w:r>
      <w:hyperlink w:anchor="ref-gelman2013bayesian">
        <w:r>
          <w:rPr>
            <w:rStyle w:val="Hyperlink"/>
          </w:rPr>
          <w:t xml:space="preserve">Gelman et al., 2013</w:t>
        </w:r>
      </w:hyperlink>
      <w:r>
        <w:t xml:space="preserve">;</w:t>
      </w:r>
      <w:r>
        <w:t xml:space="preserve"> </w:t>
      </w:r>
      <w:hyperlink w:anchor="ref-bayes_rules">
        <w:r>
          <w:rPr>
            <w:rStyle w:val="Hyperlink"/>
          </w:rPr>
          <w:t xml:space="preserve">Johnson et al., n.d.</w:t>
        </w:r>
      </w:hyperlink>
      <w:r>
        <w:t xml:space="preserve">;</w:t>
      </w:r>
      <w:r>
        <w:t xml:space="preserve"> </w:t>
      </w:r>
      <w:hyperlink w:anchor="ref-mcelreath2020statistical">
        <w:r>
          <w:rPr>
            <w:rStyle w:val="Hyperlink"/>
          </w:rPr>
          <w:t xml:space="preserve">McElreath, 2020</w:t>
        </w:r>
      </w:hyperlink>
      <w:r>
        <w:t xml:space="preserve">)</w:t>
      </w:r>
      <w:r>
        <w:t xml:space="preserve">. However, similar implementations are available within the frequentist framework.</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 </w:t>
      </w:r>
      <w:r>
        <w:t xml:space="preserve">package to extract meaningful estimates. We believe this combination provides an effective and efficient approach to performing beta regression, ensuring robust and interpretable results.</w:t>
      </w:r>
    </w:p>
    <w:bookmarkEnd w:id="42"/>
    <w:bookmarkStart w:id="53"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w:t>
      </w:r>
      <w:r>
        <w:t xml:space="preserve"> </w:t>
      </w:r>
      <w:r>
        <w:rPr>
          <w:rStyle w:val="VerbatimChar"/>
        </w:rPr>
        <w:t xml:space="preserve">Shape1</w:t>
      </w:r>
      <w:r>
        <w:t xml:space="preserve"> </w:t>
      </w:r>
      <w:r>
        <w:t xml:space="preserve">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2</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2</w:t>
        </w:r>
      </w:hyperlink>
      <w:r>
        <w:t xml:space="preserve"> </w:t>
      </w:r>
      <w:r>
        <w:t xml:space="preserve">(B), we would get a distribution shifted towards 0, indicating a lower accuracy. By adjusting the values of two parameters, we can get a wide range of distributions (e.g., u-shaped, inverted u-shaped , normal, or uniform–see</w:t>
      </w:r>
      <w:r>
        <w:t xml:space="preserve"> </w:t>
      </w:r>
      <w:hyperlink w:anchor="fig-curves">
        <w:r>
          <w:rPr>
            <w:rStyle w:val="Hyperlink"/>
          </w:rPr>
          <w:t xml:space="preserve">Figure 1</w:t>
        </w:r>
      </w:hyperlink>
      <w:r>
        <w:t xml:space="preserve">)–highlighting the incredible flexibility of the Beta distribution. In mathematical statistics, the Beta distribution is often used to model probabilities or proportions that can vary continuously between 0 and 1, but do not take the exact values of 0 or 1.</w:t>
      </w:r>
    </w:p>
    <w:bookmarkStart w:id="46" w:name="fig-curves"/>
    <w:p>
      <w:pPr>
        <w:pStyle w:val="FigureTitle"/>
      </w:pPr>
      <w:r>
        <w:t xml:space="preserve">Figure 1</w:t>
      </w:r>
    </w:p>
    <w:p>
      <w:pPr>
        <w:pStyle w:val="Caption"/>
      </w:pPr>
      <w:r>
        <w:t xml:space="preserve">Examples of Beta Distributions with Different Shapes</w:t>
      </w:r>
    </w:p>
    <w:p>
      <w:pPr>
        <w:pStyle w:val="FigureWithoutNote"/>
      </w:pPr>
      <w:r>
        <w:drawing>
          <wp:inline>
            <wp:extent cx="5943600" cy="2971800"/>
            <wp:effectExtent b="0" l="0" r="0" t="0"/>
            <wp:docPr descr="" title="" id="44" name="Picture"/>
            <a:graphic>
              <a:graphicData uri="http://schemas.openxmlformats.org/drawingml/2006/picture">
                <pic:pic>
                  <pic:nvPicPr>
                    <pic:cNvPr descr="ms_files/figure-docx/fig-curves-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bookmarkEnd w:id="46"/>
    <w:bookmarkStart w:id="50" w:name="fig-beta-dist"/>
    <w:p>
      <w:pPr>
        <w:pStyle w:val="FigureTitle"/>
      </w:pPr>
      <w:r>
        <w:t xml:space="preserve">Figure 2</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2971800"/>
            <wp:effectExtent b="0" l="0" r="0" t="0"/>
            <wp:docPr descr="" title="" id="48" name="Picture"/>
            <a:graphic>
              <a:graphicData uri="http://schemas.openxmlformats.org/drawingml/2006/picture">
                <pic:pic>
                  <pic:nvPicPr>
                    <pic:cNvPr descr="ms_files/figure-docx/fig-beta-dist-1.png" id="49" name="Picture"/>
                    <pic:cNvPicPr>
                      <a:picLocks noChangeArrowheads="1" noChangeAspect="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p>
    <w:bookmarkEnd w:id="50"/>
    <w:bookmarkStart w:id="51"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1"/>
    <w:bookmarkStart w:id="52"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2"/>
    <w:bookmarkEnd w:id="53"/>
    <w:bookmarkEnd w:id="54"/>
    <w:bookmarkStart w:id="142" w:name="motivating-example"/>
    <w:p>
      <w:pPr>
        <w:pStyle w:val="Heading1"/>
      </w:pPr>
      <w:r>
        <w:t xml:space="preserve">Motivating Example</w:t>
      </w:r>
    </w:p>
    <w:bookmarkStart w:id="59"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al(2021; Experiment 1A). In the spirit of open science, the authors made their data available here:</w:t>
      </w:r>
      <w:r>
        <w:t xml:space="preserve"> </w:t>
      </w:r>
      <w:hyperlink r:id="rId55">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56"/>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DV. As a side note, we will only being looking at the final recall data, but you could also analyze the JOL data with a Beta regression.</w:t>
      </w:r>
    </w:p>
    <w:bookmarkEnd w:id="59"/>
    <w:bookmarkStart w:id="103" w:name="X63c945bd42ef63b9db2dba71a0b9a454a63c527"/>
    <w:p>
      <w:pPr>
        <w:pStyle w:val="Heading2"/>
      </w:pPr>
      <w:r>
        <w:t xml:space="preserve">Reanalysis of Wilford et al. Experiment 1A</w:t>
      </w:r>
    </w:p>
    <w:bookmarkStart w:id="68"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3</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bookmarkStart w:id="60" w:name="tbl-dataset"/>
    <w:p>
      <w:pPr>
        <w:pStyle w:val="FigureTitle"/>
      </w:pPr>
      <w:r>
        <w:t xml:space="preserve">Table 1</w:t>
      </w:r>
    </w:p>
    <w:p>
      <w:pPr>
        <w:pStyle w:val="Caption"/>
      </w:pPr>
      <w:r>
        <w:t xml:space="preserve">Dataset</w:t>
      </w:r>
    </w:p>
    <w:tbl>
      <w:tblPr>
        <w:tblStyle w:val="Table"/>
        <w:tblW w:type="pct" w:w="3958"/>
        <w:tblLayout w:type="fixed"/>
        <w:tblLook w:firstRow="1" w:lastRow="0" w:firstColumn="0" w:lastColumn="0" w:noHBand="0" w:noVBand="0" w:val="0020"/>
      </w:tblPr>
      <w:tblGrid>
        <w:gridCol w:w="2200"/>
        <w:gridCol w:w="1100"/>
        <w:gridCol w:w="176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Fluency_dummy</w:t>
            </w:r>
          </w:p>
        </w:tc>
        <w:tc>
          <w:tcPr/>
          <w:p>
            <w:pPr>
              <w:pStyle w:val="Compact"/>
            </w:pPr>
            <w:r>
              <w:t xml:space="preserve">Accuracy</w:t>
            </w:r>
          </w:p>
        </w:tc>
      </w:tr>
      <w:tr>
        <w:tc>
          <w:tcPr/>
          <w:p>
            <w:pPr>
              <w:pStyle w:val="Compact"/>
            </w:pPr>
            <w:r>
              <w:t xml:space="preserve">R_00Owxl28JtOADxn</w:t>
            </w:r>
          </w:p>
        </w:tc>
        <w:tc>
          <w:tcPr/>
          <w:p>
            <w:pPr>
              <w:pStyle w:val="Compact"/>
            </w:pPr>
            <w:r>
              <w:t xml:space="preserve">Fluent</w:t>
            </w:r>
          </w:p>
        </w:tc>
        <w:tc>
          <w:tcPr/>
          <w:p>
            <w:pPr>
              <w:pStyle w:val="Compact"/>
            </w:pPr>
            <w:r>
              <w:t xml:space="preserve">0</w:t>
            </w:r>
          </w:p>
        </w:tc>
        <w:tc>
          <w:tcPr/>
          <w:p>
            <w:pPr>
              <w:pStyle w:val="Compact"/>
            </w:pPr>
            <w:r>
              <w:t xml:space="preserve">0.45</w:t>
            </w:r>
          </w:p>
        </w:tc>
      </w:tr>
      <w:tr>
        <w:tc>
          <w:tcPr/>
          <w:p>
            <w:pPr>
              <w:pStyle w:val="Compact"/>
            </w:pPr>
            <w:r>
              <w:t xml:space="preserve">R_1DZHq7wW6PhBu7l</w:t>
            </w:r>
          </w:p>
        </w:tc>
        <w:tc>
          <w:tcPr/>
          <w:p>
            <w:pPr>
              <w:pStyle w:val="Compact"/>
            </w:pPr>
            <w:r>
              <w:t xml:space="preserve">Fluent</w:t>
            </w:r>
          </w:p>
        </w:tc>
        <w:tc>
          <w:tcPr/>
          <w:p>
            <w:pPr>
              <w:pStyle w:val="Compact"/>
            </w:pPr>
            <w:r>
              <w:t xml:space="preserve">0</w:t>
            </w:r>
          </w:p>
        </w:tc>
        <w:tc>
          <w:tcPr/>
          <w:p>
            <w:pPr>
              <w:pStyle w:val="Compact"/>
            </w:pPr>
            <w:r>
              <w:t xml:space="preserve">0.30</w:t>
            </w:r>
          </w:p>
        </w:tc>
      </w:tr>
      <w:tr>
        <w:tc>
          <w:tcPr/>
          <w:p>
            <w:pPr>
              <w:pStyle w:val="Compact"/>
            </w:pPr>
            <w:r>
              <w:t xml:space="preserve">R_1FfS9t7o3G2waGp</w:t>
            </w:r>
          </w:p>
        </w:tc>
        <w:tc>
          <w:tcPr/>
          <w:p>
            <w:pPr>
              <w:pStyle w:val="Compact"/>
            </w:pPr>
            <w:r>
              <w:t xml:space="preserve">Fluent</w:t>
            </w:r>
          </w:p>
        </w:tc>
        <w:tc>
          <w:tcPr/>
          <w:p>
            <w:pPr>
              <w:pStyle w:val="Compact"/>
            </w:pPr>
            <w:r>
              <w:t xml:space="preserve">0</w:t>
            </w:r>
          </w:p>
        </w:tc>
        <w:tc>
          <w:tcPr/>
          <w:p>
            <w:pPr>
              <w:pStyle w:val="Compact"/>
            </w:pPr>
            <w:r>
              <w:t xml:space="preserve">0.40</w:t>
            </w:r>
          </w:p>
        </w:tc>
      </w:tr>
      <w:tr>
        <w:tc>
          <w:tcPr/>
          <w:p>
            <w:pPr>
              <w:pStyle w:val="Compact"/>
            </w:pPr>
            <w:r>
              <w:t xml:space="preserve">R_1gqH4bLsvaqpRRZ</w:t>
            </w:r>
          </w:p>
        </w:tc>
        <w:tc>
          <w:tcPr/>
          <w:p>
            <w:pPr>
              <w:pStyle w:val="Compact"/>
            </w:pPr>
            <w:r>
              <w:t xml:space="preserve">Fluent</w:t>
            </w:r>
          </w:p>
        </w:tc>
        <w:tc>
          <w:tcPr/>
          <w:p>
            <w:pPr>
              <w:pStyle w:val="Compact"/>
            </w:pPr>
            <w:r>
              <w:t xml:space="preserve">0</w:t>
            </w:r>
          </w:p>
        </w:tc>
        <w:tc>
          <w:tcPr/>
          <w:p>
            <w:pPr>
              <w:pStyle w:val="Compact"/>
            </w:pPr>
            <w:r>
              <w:t xml:space="preserve">0.15</w:t>
            </w:r>
          </w:p>
        </w:tc>
      </w:tr>
      <w:tr>
        <w:tc>
          <w:tcPr/>
          <w:p>
            <w:pPr>
              <w:pStyle w:val="Compact"/>
            </w:pPr>
            <w:r>
              <w:t xml:space="preserve">R_1i4M7ZdpTcywgbq</w:t>
            </w:r>
          </w:p>
        </w:tc>
        <w:tc>
          <w:tcPr/>
          <w:p>
            <w:pPr>
              <w:pStyle w:val="Compact"/>
            </w:pPr>
            <w:r>
              <w:t xml:space="preserve">Fluent</w:t>
            </w:r>
          </w:p>
        </w:tc>
        <w:tc>
          <w:tcPr/>
          <w:p>
            <w:pPr>
              <w:pStyle w:val="Compact"/>
            </w:pPr>
            <w:r>
              <w:t xml:space="preserve">0</w:t>
            </w:r>
          </w:p>
        </w:tc>
        <w:tc>
          <w:tcPr/>
          <w:p>
            <w:pPr>
              <w:pStyle w:val="Compact"/>
            </w:pPr>
            <w:r>
              <w:t xml:space="preserve">0.50</w:t>
            </w:r>
          </w:p>
        </w:tc>
      </w:tr>
      <w:tr>
        <w:tc>
          <w:tcPr/>
          <w:p>
            <w:pPr>
              <w:pStyle w:val="Compact"/>
            </w:pPr>
            <w:r>
              <w:t xml:space="preserve">R_1NyRhBnAB5J2S3r</w:t>
            </w:r>
          </w:p>
        </w:tc>
        <w:tc>
          <w:tcPr/>
          <w:p>
            <w:pPr>
              <w:pStyle w:val="Compact"/>
            </w:pPr>
            <w:r>
              <w:t xml:space="preserve">Fluent</w:t>
            </w:r>
          </w:p>
        </w:tc>
        <w:tc>
          <w:tcPr/>
          <w:p>
            <w:pPr>
              <w:pStyle w:val="Compact"/>
            </w:pPr>
            <w:r>
              <w:t xml:space="preserve">0</w:t>
            </w:r>
          </w:p>
        </w:tc>
        <w:tc>
          <w:tcPr/>
          <w:p>
            <w:pPr>
              <w:pStyle w:val="Compact"/>
            </w:pPr>
            <w:r>
              <w:t xml:space="preserve">0.70</w:t>
            </w:r>
          </w:p>
        </w:tc>
      </w:tr>
    </w:tbl>
    <w:bookmarkEnd w:id="60"/>
    <w:bookmarkStart w:id="64" w:name="fig-flu1"/>
    <w:p>
      <w:pPr>
        <w:pStyle w:val="FigureTitle"/>
      </w:pPr>
      <w:r>
        <w:t xml:space="preserve">Figure 3</w:t>
      </w:r>
    </w:p>
    <w:p>
      <w:pPr>
        <w:pStyle w:val="Caption"/>
      </w:pPr>
      <w:r>
        <w:t xml:space="preserve">Raincloud plot for proprotion recalled on final test as a function of fluency</w:t>
      </w:r>
    </w:p>
    <w:p>
      <w:pPr>
        <w:pStyle w:val="FigureWithoutNote"/>
      </w:pPr>
      <w:r>
        <w:drawing>
          <wp:inline>
            <wp:extent cx="5943600" cy="2971800"/>
            <wp:effectExtent b="0" l="0" r="0" t="0"/>
            <wp:docPr descr="" title="" id="62" name="Picture"/>
            <a:graphic>
              <a:graphicData uri="http://schemas.openxmlformats.org/drawingml/2006/picture">
                <pic:pic>
                  <pic:nvPicPr>
                    <pic:cNvPr descr="ms_files/figure-docx/fig-flu1-1.png"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bookmarkEnd w:id="64"/>
    <w:p>
      <w:pPr>
        <w:pStyle w:val="Heading4"/>
        <w:rPr>
          <w:vanish/>
          <w:specVanish/>
        </w:rPr>
      </w:pPr>
      <w:r>
        <w:t>Load Packages and Data.</w:t>
      </w:r>
      <w:r>
        <w:t xml:space="preserve"> </w:t>
      </w:r>
    </w:p>
    <w:p>
      <w:pPr>
        <w:pStyle w:val="BodyText"/>
      </w:pPr>
      <w:r>
        <w:t xml:space="preserve">As a first step, we will load the necessary packages along with the data we will be using.</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"easystats"</w:t>
      </w:r>
      <w:r>
        <w:rPr>
          <w:rStyle w:val="NormalTok"/>
        </w:rPr>
        <w:t xml:space="preserve">, </w:t>
      </w:r>
      <w:r>
        <w:rPr>
          <w:rStyle w:val="StringTok"/>
        </w:rPr>
        <w:t xml:space="preserve">"scales"</w:t>
      </w:r>
      <w:r>
        <w:rPr>
          <w:rStyle w:val="NormalTok"/>
        </w:rPr>
        <w:t xml:space="preserve">, </w:t>
      </w:r>
      <w:r>
        <w:rPr>
          <w:rStyle w:val="StringTok"/>
        </w:rPr>
        <w:t xml:space="preserve">"tinytable"</w:t>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"extraDistr"</w:t>
      </w:r>
      <w:r>
        <w:rPr>
          <w:rStyle w:val="NormalTok"/>
        </w:rPr>
        <w:t xml:space="preserve">, </w:t>
      </w:r>
      <w:r>
        <w:rPr>
          <w:rStyle w:val="StringTok"/>
        </w:rPr>
        <w:t xml:space="preserve">"brms"</w:t>
      </w:r>
      <w:r>
        <w:rPr>
          <w:rStyle w:val="NormalTok"/>
        </w:rPr>
        <w:t xml:space="preserve">, </w:t>
      </w:r>
      <w:r>
        <w:rPr>
          <w:rStyle w:val="StringTok"/>
        </w:rPr>
        <w:t xml:space="preserve">"posterior"</w:t>
      </w:r>
      <w:r>
        <w:rPr>
          <w:rStyle w:val="NormalTok"/>
        </w:rPr>
        <w:t xml:space="preserve">, </w:t>
      </w:r>
      <w:r>
        <w:rPr>
          <w:rStyle w:val="StringTok"/>
        </w:rPr>
        <w:t xml:space="preserve">"bayesplot"</w:t>
      </w:r>
      <w:r>
        <w:rPr>
          <w:rStyle w:val="NormalTok"/>
        </w:rPr>
        <w:t xml:space="preserve">, </w:t>
      </w:r>
      <w:r>
        <w:rPr>
          <w:rStyle w:val="StringTok"/>
        </w:rPr>
        <w:t xml:space="preserve">"ggdist"</w:t>
      </w:r>
      <w:r>
        <w:rPr>
          <w:rStyle w:val="NormalTok"/>
        </w:rPr>
        <w:t xml:space="preserve">)</w:t>
      </w:r>
      <w:r>
        <w:br/>
      </w:r>
      <w:r>
        <w:rPr>
          <w:rStyle w:val="NormalTok"/>
        </w:rPr>
        <w:t xml:space="preserve">purrr</w:t>
      </w:r>
      <w:r>
        <w:rPr>
          <w:rStyle w:val="SpecialCharTok"/>
        </w:rPr>
        <w:t xml:space="preserve">::</w:t>
      </w:r>
      <w:r>
        <w:rPr>
          <w:rStyle w:val="FunctionTok"/>
        </w:rPr>
        <w:t xml:space="preserve">walk</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FirstParagraph"/>
      </w:pPr>
      <w:r>
        <w:t xml:space="preserve">Next, we read in the data from the repo, but you can also read it the directly from this url:</w:t>
      </w:r>
      <w:r>
        <w:t xml:space="preserve"> </w:t>
      </w:r>
      <w:hyperlink r:id="rId65">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dividng each score by 10.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66"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66"/>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67" w:name="tbl-ols"/>
    <w:p>
      <w:pPr>
        <w:pStyle w:val="FigureTitle"/>
      </w:pPr>
      <w:r>
        <w:t xml:space="preserve">Table 3</w:t>
      </w:r>
    </w:p>
    <w:p>
      <w:pPr>
        <w:pStyle w:val="Caption"/>
      </w:pPr>
      <w:r>
        <w:t xml:space="preserve">OLS regression model coefficents</w:t>
      </w:r>
    </w:p>
    <w:tbl>
      <w:tblPr>
        <w:tblStyle w:val="Table"/>
        <w:tblW w:type="pct" w:w="4653"/>
        <w:tblLayout w:type="fixed"/>
        <w:tblLook w:firstRow="1" w:lastRow="0" w:firstColumn="0" w:lastColumn="0" w:noHBand="0" w:noVBand="0" w:val="0020"/>
      </w:tblPr>
      <w:tblGrid>
        <w:gridCol w:w="1870"/>
        <w:gridCol w:w="1540"/>
        <w:gridCol w:w="880"/>
        <w:gridCol w:w="209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0.341</w:t>
            </w:r>
          </w:p>
        </w:tc>
        <w:tc>
          <w:tcPr/>
          <w:p>
            <w:pPr>
              <w:pStyle w:val="Compact"/>
            </w:pPr>
            <w:r>
              <w:t xml:space="preserve">0.031</w:t>
            </w:r>
          </w:p>
        </w:tc>
        <w:tc>
          <w:tcPr/>
          <w:p>
            <w:pPr>
              <w:pStyle w:val="Compact"/>
            </w:pPr>
            <w:r>
              <w:t xml:space="preserve">[0.279, 0.402]</w:t>
            </w:r>
          </w:p>
        </w:tc>
        <w:tc>
          <w:tcPr/>
          <w:p>
            <w:pPr>
              <w:pStyle w:val="Compact"/>
            </w:pPr>
            <w:r>
              <w:t xml:space="preserve">&lt;0.001</w:t>
            </w:r>
          </w:p>
        </w:tc>
      </w:tr>
      <w:tr>
        <w:tc>
          <w:tcPr/>
          <w:p>
            <w:pPr>
              <w:pStyle w:val="Compact"/>
            </w:pPr>
            <w:r>
              <w:t xml:space="preserve">Fluency_dummy1</w:t>
            </w:r>
          </w:p>
        </w:tc>
        <w:tc>
          <w:tcPr/>
          <w:p>
            <w:pPr>
              <w:pStyle w:val="Compact"/>
            </w:pPr>
            <w:r>
              <w:t xml:space="preserve">-0.084</w:t>
            </w:r>
          </w:p>
        </w:tc>
        <w:tc>
          <w:tcPr/>
          <w:p>
            <w:pPr>
              <w:pStyle w:val="Compact"/>
            </w:pPr>
            <w:r>
              <w:t xml:space="preserve">0.042</w:t>
            </w:r>
          </w:p>
        </w:tc>
        <w:tc>
          <w:tcPr/>
          <w:p>
            <w:pPr>
              <w:pStyle w:val="Compact"/>
            </w:pPr>
            <w:r>
              <w:t xml:space="preserve">[-0.168, -0.001]</w:t>
            </w:r>
          </w:p>
        </w:tc>
        <w:tc>
          <w:tcPr/>
          <w:p>
            <w:pPr>
              <w:pStyle w:val="Compact"/>
            </w:pPr>
            <w:r>
              <w:t xml:space="preserve">0.048</w:t>
            </w:r>
          </w:p>
        </w:tc>
      </w:tr>
    </w:tbl>
    <w:bookmarkEnd w:id="67"/>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statistically significant, b = -0.084 , SE = 0.042 , 95% CIs = [-0.168,-0.001], p = 0.048.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68"/>
    <w:bookmarkStart w:id="70"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BodyText"/>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69" w:name="tbl-brms-ols"/>
    <w:p>
      <w:pPr>
        <w:pStyle w:val="FigureTitle"/>
      </w:pPr>
      <w:r>
        <w:t xml:space="preserve">Table 4</w:t>
      </w:r>
    </w:p>
    <w:p>
      <w:pPr>
        <w:pStyle w:val="Caption"/>
      </w:pPr>
      <w:r>
        <w:t xml:space="preserve">Bayesian regression model coefficents</w:t>
      </w:r>
    </w:p>
    <w:tbl>
      <w:tblPr>
        <w:tblStyle w:val="Table"/>
        <w:tblW w:type="pct" w:w="3611"/>
        <w:tblLayout w:type="fixed"/>
        <w:tblLook w:firstRow="1" w:lastRow="0" w:firstColumn="0" w:lastColumn="0" w:noHBand="0" w:noVBand="0" w:val="0020"/>
      </w:tblPr>
      <w:tblGrid>
        <w:gridCol w:w="2090"/>
        <w:gridCol w:w="990"/>
        <w:gridCol w:w="187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0.341</w:t>
            </w:r>
          </w:p>
        </w:tc>
        <w:tc>
          <w:tcPr/>
          <w:p>
            <w:pPr>
              <w:pStyle w:val="Compact"/>
            </w:pPr>
            <w:r>
              <w:t xml:space="preserve">[0.279, 0.405]</w:t>
            </w:r>
          </w:p>
        </w:tc>
        <w:tc>
          <w:tcPr/>
          <w:p>
            <w:pPr>
              <w:pStyle w:val="Compact"/>
            </w:pPr>
            <w:r>
              <w:t xml:space="preserve">1</w:t>
            </w:r>
          </w:p>
        </w:tc>
      </w:tr>
      <w:tr>
        <w:tc>
          <w:tcPr/>
          <w:p>
            <w:pPr>
              <w:pStyle w:val="Compact"/>
            </w:pPr>
            <w:r>
              <w:t xml:space="preserve">b_Fluency_dummy1</w:t>
            </w:r>
          </w:p>
        </w:tc>
        <w:tc>
          <w:tcPr/>
          <w:p>
            <w:pPr>
              <w:pStyle w:val="Compact"/>
            </w:pPr>
            <w:r>
              <w:t xml:space="preserve">-0.084</w:t>
            </w:r>
          </w:p>
        </w:tc>
        <w:tc>
          <w:tcPr/>
          <w:p>
            <w:pPr>
              <w:pStyle w:val="Compact"/>
            </w:pPr>
            <w:r>
              <w:t xml:space="preserve">[-0.17, 0.003]</w:t>
            </w:r>
          </w:p>
        </w:tc>
        <w:tc>
          <w:tcPr/>
          <w:p>
            <w:pPr>
              <w:pStyle w:val="Compact"/>
            </w:pPr>
            <w:r>
              <w:t xml:space="preserve">0.97</w:t>
            </w:r>
          </w:p>
        </w:tc>
      </w:tr>
    </w:tbl>
    <w:bookmarkEnd w:id="69"/>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on the package being used) to see if it includes 0–if it does not then the effect can be said to be significant. In the table below, the 95% credible intervals are located in the 95% CrIs column.</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-0.084, 95% CrIs = [-0.17,0.003], pd =1. These results map onto the results from the regression analysis above.</w:t>
      </w:r>
    </w:p>
    <w:bookmarkEnd w:id="70"/>
    <w:bookmarkStart w:id="76"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4</w:t>
        </w:r>
      </w:hyperlink>
      <w:r>
        <w:t xml:space="preserve"> </w:t>
      </w:r>
      <w:r>
        <w:t xml:space="preserve">, we see there definitely some issues with our model. Specifically, there appears to be violations of normality (right figure) and constant variance (homogeneity) (left-hand figure).</w:t>
      </w:r>
    </w:p>
    <w:bookmarkStart w:id="74" w:name="fig-ols-assump"/>
    <w:p>
      <w:pPr>
        <w:pStyle w:val="FigureTitle"/>
      </w:pPr>
      <w:r>
        <w:t xml:space="preserve">Figure 4</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2" name="Picture"/>
            <a:graphic>
              <a:graphicData uri="http://schemas.openxmlformats.org/drawingml/2006/picture">
                <pic:pic>
                  <pic:nvPicPr>
                    <pic:cNvPr descr="ms_files/figure-docx/fig-ols-assump-1.png" id="73" name="Picture"/>
                    <pic:cNvPicPr>
                      <a:picLocks noChangeArrowheads="1" noChangeAspect="1"/>
                    </pic:cNvPicPr>
                  </pic:nvPicPr>
                  <pic:blipFill>
                    <a:blip r:embed="rId71"/>
                    <a:stretch>
                      <a:fillRect/>
                    </a:stretch>
                  </pic:blipFill>
                  <pic:spPr bwMode="auto">
                    <a:xfrm>
                      <a:off x="0" y="0"/>
                      <a:ext cx="5943600" cy="2971800"/>
                    </a:xfrm>
                    <a:prstGeom prst="rect">
                      <a:avLst/>
                    </a:prstGeom>
                    <a:noFill/>
                    <a:ln w="9525">
                      <a:noFill/>
                      <a:headEnd/>
                      <a:tailEnd/>
                    </a:ln>
                  </pic:spPr>
                </pic:pic>
              </a:graphicData>
            </a:graphic>
          </wp:inline>
        </w:drawing>
      </w:r>
    </w:p>
    <w:bookmarkEnd w:id="74"/>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75"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75"/>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the object</w:t>
      </w:r>
      <w:r>
        <w:t xml:space="preserve"> </w:t>
      </w:r>
      <w:r>
        <w:rPr>
          <w:rStyle w:val="VerbatimChar"/>
        </w:rPr>
        <w:t xml:space="preserve">data_beta</w:t>
      </w:r>
      <w:r>
        <w:t xml:space="preserve"> </w:t>
      </w:r>
      <w:r>
        <w:t xml:space="preserve">has the transformed accuracy values that we will use to re-run our Beta regression.</w:t>
      </w:r>
    </w:p>
    <w:p>
      <w:pPr>
        <w:pStyle w:val="BodyText"/>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bookmarkEnd w:id="76"/>
    <w:bookmarkStart w:id="79"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77"/>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78" w:name="tbl-beta-brms"/>
    <w:p>
      <w:pPr>
        <w:pStyle w:val="FigureTitle"/>
      </w:pPr>
      <w:r>
        <w:t xml:space="preserve">Table 6</w:t>
      </w:r>
    </w:p>
    <w:p>
      <w:pPr>
        <w:pStyle w:val="Caption"/>
      </w:pPr>
      <w:r>
        <w:t xml:space="preserve">Regression coefficients of a beta regression</w:t>
      </w:r>
      <w:r>
        <w:t xml:space="preserve"> </w:t>
      </w:r>
      <w:r>
        <w:rPr>
          <w:rStyle w:val="VerbatimChar"/>
        </w:rPr>
        <w:t xml:space="preserve">(beta_brms</w:t>
      </w:r>
      <w:r>
        <w:t xml:space="preserve"> </w:t>
      </w:r>
      <w:r>
        <w:t xml:space="preserve">model).</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-0.592</w:t>
            </w:r>
          </w:p>
        </w:tc>
        <w:tc>
          <w:tcPr/>
          <w:p>
            <w:pPr>
              <w:pStyle w:val="Compact"/>
            </w:pPr>
            <w:r>
              <w:t xml:space="preserve">[-0.881, -0.313]</w:t>
            </w:r>
          </w:p>
        </w:tc>
        <w:tc>
          <w:tcPr/>
          <w:p>
            <w:pPr>
              <w:pStyle w:val="Compact"/>
            </w:pPr>
            <w:r>
              <w:t xml:space="preserve">1</w:t>
            </w:r>
          </w:p>
        </w:tc>
      </w:tr>
      <w:tr>
        <w:tc>
          <w:tcPr/>
          <w:p>
            <w:pPr>
              <w:pStyle w:val="Compact"/>
            </w:pPr>
            <w:r>
              <w:t xml:space="preserve">b_phi_Intercept</w:t>
            </w:r>
          </w:p>
        </w:tc>
        <w:tc>
          <w:tcPr/>
          <w:p>
            <w:pPr>
              <w:pStyle w:val="Compact"/>
            </w:pPr>
            <w:r>
              <w:t xml:space="preserve">1.211</w:t>
            </w:r>
          </w:p>
        </w:tc>
        <w:tc>
          <w:tcPr/>
          <w:p>
            <w:pPr>
              <w:pStyle w:val="Compact"/>
            </w:pPr>
            <w:r>
              <w:t xml:space="preserve">[0.938, 1.463]</w:t>
            </w:r>
          </w:p>
        </w:tc>
        <w:tc>
          <w:tcPr/>
          <w:p>
            <w:pPr>
              <w:pStyle w:val="Compact"/>
            </w:pPr>
            <w:r>
              <w:t xml:space="preserve">1</w:t>
            </w:r>
          </w:p>
        </w:tc>
      </w:tr>
      <w:tr>
        <w:tc>
          <w:tcPr/>
          <w:p>
            <w:pPr>
              <w:pStyle w:val="Compact"/>
            </w:pPr>
            <w:r>
              <w:t xml:space="preserve">b_Fluency_dummy1</w:t>
            </w:r>
          </w:p>
        </w:tc>
        <w:tc>
          <w:tcPr/>
          <w:p>
            <w:pPr>
              <w:pStyle w:val="Compact"/>
            </w:pPr>
            <w:r>
              <w:t xml:space="preserve">-0.444</w:t>
            </w:r>
          </w:p>
        </w:tc>
        <w:tc>
          <w:tcPr/>
          <w:p>
            <w:pPr>
              <w:pStyle w:val="Compact"/>
            </w:pPr>
            <w:r>
              <w:t xml:space="preserve">[-0.831, -0.054]</w:t>
            </w:r>
          </w:p>
        </w:tc>
        <w:tc>
          <w:tcPr/>
          <w:p>
            <w:pPr>
              <w:pStyle w:val="Compact"/>
            </w:pPr>
            <w:r>
              <w:t xml:space="preserve">0.988</w:t>
            </w:r>
          </w:p>
        </w:tc>
      </w:tr>
    </w:tbl>
    <w:bookmarkEnd w:id="78"/>
    <w:bookmarkEnd w:id="79"/>
    <w:bookmarkStart w:id="89" w:name="mean-mu-parameter"/>
    <w:p>
      <w:pPr>
        <w:pStyle w:val="Heading3"/>
      </w:pPr>
      <w:r>
        <w:t xml:space="preserve">Mean</w:t>
      </w:r>
      <w:r>
        <w:t xml:space="preserve"> </w:t>
      </w:r>
      <m:oMath>
        <m:r>
          <m:t>μ</m:t>
        </m:r>
      </m:oMath>
      <w:r>
        <w:t xml:space="preserve"> </w:t>
      </w:r>
      <w:r>
        <w:t xml:space="preserve">parameter</w:t>
      </w:r>
    </w:p>
    <w:bookmarkStart w:id="80" w:name="tbl-beta-mu"/>
    <w:p>
      <w:pPr>
        <w:pStyle w:val="FigureTitle"/>
      </w:pPr>
      <w:r>
        <w:t xml:space="preserve">Table 7</w:t>
      </w:r>
    </w:p>
    <w:p>
      <w:pPr>
        <w:pStyle w:val="Caption"/>
      </w:pPr>
      <w:r>
        <w:t xml:space="preserve">Regression coefficients for</w:t>
      </w:r>
      <w:r>
        <w:t xml:space="preserve"> </w:t>
      </w:r>
      <m:oMath>
        <m:r>
          <m:t>μ</m:t>
        </m:r>
      </m:oMath>
      <w:r>
        <w:t xml:space="preserve"> </w:t>
      </w:r>
      <w:r>
        <w:t xml:space="preserve">parameter (</w:t>
      </w:r>
      <w:r>
        <w:rPr>
          <w:rStyle w:val="VerbatimChar"/>
        </w:rPr>
        <w:t xml:space="preserve">beta_brms</w:t>
      </w:r>
      <w:r>
        <w:t xml:space="preserve"> </w:t>
      </w:r>
      <w:r>
        <w:t xml:space="preserve">model)</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-0.592</w:t>
            </w:r>
          </w:p>
        </w:tc>
        <w:tc>
          <w:tcPr/>
          <w:p>
            <w:pPr>
              <w:pStyle w:val="Compact"/>
            </w:pPr>
            <w:r>
              <w:t xml:space="preserve">[-0.881, -0.313]</w:t>
            </w:r>
          </w:p>
        </w:tc>
        <w:tc>
          <w:tcPr/>
          <w:p>
            <w:pPr>
              <w:pStyle w:val="Compact"/>
            </w:pPr>
            <w:r>
              <w:t xml:space="preserve">1</w:t>
            </w:r>
          </w:p>
        </w:tc>
      </w:tr>
      <w:tr>
        <w:tc>
          <w:tcPr/>
          <w:p>
            <w:pPr>
              <w:pStyle w:val="Compact"/>
            </w:pPr>
            <w:r>
              <w:t xml:space="preserve">b_Fluency_dummy1</w:t>
            </w:r>
          </w:p>
        </w:tc>
        <w:tc>
          <w:tcPr/>
          <w:p>
            <w:pPr>
              <w:pStyle w:val="Compact"/>
            </w:pPr>
            <w:r>
              <w:t xml:space="preserve">-0.444</w:t>
            </w:r>
          </w:p>
        </w:tc>
        <w:tc>
          <w:tcPr/>
          <w:p>
            <w:pPr>
              <w:pStyle w:val="Compact"/>
            </w:pPr>
            <w:r>
              <w:t xml:space="preserve">[-0.831, -0.054]</w:t>
            </w:r>
          </w:p>
        </w:tc>
        <w:tc>
          <w:tcPr/>
          <w:p>
            <w:pPr>
              <w:pStyle w:val="Compact"/>
            </w:pPr>
            <w:r>
              <w:t xml:space="preserve">0.988</w:t>
            </w:r>
          </w:p>
        </w:tc>
      </w:tr>
    </w:tbl>
    <w:bookmarkEnd w:id="80"/>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1"/>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CommentTok"/>
        </w:rPr>
        <w:t xml:space="preserve"># use predictions to get predicted probs for each condition</w:t>
      </w:r>
      <w:r>
        <w:br/>
      </w:r>
      <w:r>
        <w:br/>
      </w: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82" w:name="tbl-predict-prob"/>
    <w:p>
      <w:pPr>
        <w:pStyle w:val="FigureTitle"/>
      </w:pPr>
      <w:r>
        <w:t xml:space="preserve">Table 8</w:t>
      </w:r>
    </w:p>
    <w:p>
      <w:pPr>
        <w:pStyle w:val="Caption"/>
      </w:pPr>
      <w:r>
        <w:t xml:space="preserve">Predicted probablities for fluency factor</w:t>
      </w:r>
    </w:p>
    <w:tbl>
      <w:tblPr>
        <w:tblStyle w:val="Table"/>
        <w:tblW w:type="pct" w:w="2847"/>
        <w:tblLayout w:type="fixed"/>
        <w:tblLook w:firstRow="1" w:lastRow="0" w:firstColumn="0" w:lastColumn="0" w:noHBand="0" w:noVBand="0" w:val="0020"/>
      </w:tblPr>
      <w:tblGrid>
        <w:gridCol w:w="1760"/>
        <w:gridCol w:w="88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0.357</w:t>
            </w:r>
          </w:p>
        </w:tc>
        <w:tc>
          <w:tcPr/>
          <w:p>
            <w:pPr>
              <w:pStyle w:val="Compact"/>
            </w:pPr>
            <w:r>
              <w:t xml:space="preserve">[0.293, 0.422]</w:t>
            </w:r>
          </w:p>
        </w:tc>
      </w:tr>
      <w:tr>
        <w:tc>
          <w:tcPr/>
          <w:p>
            <w:pPr>
              <w:pStyle w:val="Compact"/>
            </w:pPr>
            <w:r>
              <w:t xml:space="preserve">Disfluent</w:t>
            </w:r>
          </w:p>
        </w:tc>
        <w:tc>
          <w:tcPr/>
          <w:p>
            <w:pPr>
              <w:pStyle w:val="Compact"/>
            </w:pPr>
            <w:r>
              <w:t xml:space="preserve">0.263</w:t>
            </w:r>
          </w:p>
        </w:tc>
        <w:tc>
          <w:tcPr/>
          <w:p>
            <w:pPr>
              <w:pStyle w:val="Compact"/>
            </w:pPr>
            <w:r>
              <w:t xml:space="preserve">[0.213, 0.319]</w:t>
            </w:r>
          </w:p>
        </w:tc>
      </w:tr>
    </w:tbl>
    <w:bookmarkEnd w:id="82"/>
    <w:p>
      <w:pPr>
        <w:pStyle w:val="AfterWithoutNote"/>
      </w:pPr>
      <w:r>
        <w:t xml:space="preserve">For the</w:t>
      </w:r>
      <w:r>
        <w:t xml:space="preserve"> </w:t>
      </w:r>
      <w:r>
        <w:rPr>
          <w:rStyle w:val="VerbatimChar"/>
        </w:rPr>
        <w:t xml:space="preserve">Fluency</w:t>
      </w:r>
      <w:r>
        <w:t xml:space="preserve"> </w:t>
      </w:r>
      <w:r>
        <w:t xml:space="preserve">factor, we can interpret the</w:t>
      </w:r>
      <w:r>
        <w:t xml:space="preserve"> </w:t>
      </w:r>
      <w:r>
        <w:rPr>
          <w:rStyle w:val="VerbatimChar"/>
        </w:rPr>
        <w:t xml:space="preserve">Mean</w:t>
      </w:r>
      <w:r>
        <w:t xml:space="preserve"> </w:t>
      </w:r>
      <w:r>
        <w:t xml:space="preserve">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5</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86" w:name="fig-plot-pre"/>
    <w:p>
      <w:pPr>
        <w:pStyle w:val="FigureTitle"/>
      </w:pPr>
      <w:r>
        <w:t xml:space="preserve">Figure 5</w:t>
      </w:r>
    </w:p>
    <w:p>
      <w:pPr>
        <w:pStyle w:val="Caption"/>
      </w:pPr>
      <w:r>
        <w:t xml:space="preserve">Predicted probablities for fluency factor</w:t>
      </w:r>
    </w:p>
    <w:p>
      <w:pPr>
        <w:pStyle w:val="FigureWithoutNote"/>
      </w:pPr>
      <w:r>
        <w:drawing>
          <wp:inline>
            <wp:extent cx="5943600" cy="2971800"/>
            <wp:effectExtent b="0" l="0" r="0" t="0"/>
            <wp:docPr descr="" title="" id="84" name="Picture"/>
            <a:graphic>
              <a:graphicData uri="http://schemas.openxmlformats.org/drawingml/2006/picture">
                <pic:pic>
                  <pic:nvPicPr>
                    <pic:cNvPr descr="ms_files/figure-docx/fig-plot-pre-1.png" id="85" name="Picture"/>
                    <pic:cNvPicPr>
                      <a:picLocks noChangeArrowheads="1" noChangeAspect="1"/>
                    </pic:cNvPicPr>
                  </pic:nvPicPr>
                  <pic:blipFill>
                    <a:blip r:embed="rId83"/>
                    <a:stretch>
                      <a:fillRect/>
                    </a:stretch>
                  </pic:blipFill>
                  <pic:spPr bwMode="auto">
                    <a:xfrm>
                      <a:off x="0" y="0"/>
                      <a:ext cx="5943600" cy="2971800"/>
                    </a:xfrm>
                    <a:prstGeom prst="rect">
                      <a:avLst/>
                    </a:prstGeom>
                    <a:noFill/>
                    <a:ln w="9525">
                      <a:noFill/>
                      <a:headEnd/>
                      <a:tailEnd/>
                    </a:ln>
                  </pic:spPr>
                </pic:pic>
              </a:graphicData>
            </a:graphic>
          </wp:inline>
        </w:drawing>
      </w:r>
    </w:p>
    <w:bookmarkEnd w:id="86"/>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10</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87"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-0.094</w:t>
            </w:r>
          </w:p>
        </w:tc>
        <w:tc>
          <w:tcPr/>
          <w:p>
            <w:pPr>
              <w:pStyle w:val="Compact"/>
            </w:pPr>
            <w:r>
              <w:t xml:space="preserve">[-0.176, -0.012]</w:t>
            </w:r>
          </w:p>
        </w:tc>
      </w:tr>
    </w:tbl>
    <w:bookmarkEnd w:id="87"/>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bookmarkStart w:id="88" w:name="tbl-or"/>
    <w:p>
      <w:pPr>
        <w:pStyle w:val="FigureTitle"/>
      </w:pPr>
      <w:r>
        <w:t xml:space="preserve">Table 10</w:t>
      </w:r>
    </w:p>
    <w:p>
      <w:pPr>
        <w:pStyle w:val="Caption"/>
      </w:pPr>
      <w:r>
        <w:t xml:space="preserve">Odds ratio for fluency factor</w:t>
      </w:r>
    </w:p>
    <w:tbl>
      <w:tblPr>
        <w:tblStyle w:val="Table"/>
        <w:tblW w:type="pct" w:w="4514"/>
        <w:tblLayout w:type="fixed"/>
        <w:tblLook w:firstRow="1" w:lastRow="0" w:firstColumn="0" w:lastColumn="0" w:noHBand="0" w:noVBand="0" w:val="0020"/>
      </w:tblPr>
      <w:tblGrid>
        <w:gridCol w:w="1760"/>
        <w:gridCol w:w="264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0.642</w:t>
            </w:r>
          </w:p>
        </w:tc>
        <w:tc>
          <w:tcPr/>
          <w:p>
            <w:pPr>
              <w:pStyle w:val="Compact"/>
            </w:pPr>
            <w:r>
              <w:t xml:space="preserve">[0.436, 0.947]</w:t>
            </w:r>
          </w:p>
        </w:tc>
      </w:tr>
    </w:tbl>
    <w:bookmarkEnd w:id="88"/>
    <w:p>
      <w:pPr>
        <w:pStyle w:val="AfterWithoutNote"/>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89"/>
    <w:bookmarkStart w:id="97"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bookmarkStart w:id="90" w:name="tbl-phi-dis"/>
    <w:p>
      <w:pPr>
        <w:pStyle w:val="FigureTitle"/>
      </w:pPr>
      <w:r>
        <w:t xml:space="preserve">Table 11</w:t>
      </w:r>
    </w:p>
    <w:p>
      <w:pPr>
        <w:pStyle w:val="Caption"/>
      </w:pPr>
      <w:r>
        <w:t xml:space="preserve">Dispersion parameter</w:t>
      </w:r>
    </w:p>
    <w:tbl>
      <w:tblPr>
        <w:tblStyle w:val="Table"/>
        <w:tblW w:type="pct" w:w="3264"/>
        <w:tblLayout w:type="fixed"/>
        <w:tblLook w:firstRow="1" w:lastRow="0" w:firstColumn="0" w:lastColumn="0" w:noHBand="0" w:noVBand="0" w:val="0020"/>
      </w:tblPr>
      <w:tblGrid>
        <w:gridCol w:w="198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1.21</w:t>
            </w:r>
          </w:p>
        </w:tc>
        <w:tc>
          <w:tcPr/>
          <w:p>
            <w:pPr>
              <w:pStyle w:val="Compact"/>
            </w:pPr>
            <w:r>
              <w:t xml:space="preserve">[0.938, 1.463]</w:t>
            </w:r>
          </w:p>
        </w:tc>
        <w:tc>
          <w:tcPr/>
          <w:p>
            <w:pPr>
              <w:pStyle w:val="Compact"/>
            </w:pPr>
            <w:r>
              <w:t xml:space="preserve">1</w:t>
            </w:r>
          </w:p>
        </w:tc>
      </w:tr>
    </w:tbl>
    <w:bookmarkEnd w:id="90"/>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1" w:name="tbl-beta-mu-dis"/>
    <w:p>
      <w:pPr>
        <w:pStyle w:val="FigureTitle"/>
      </w:pPr>
      <w:r>
        <w:t xml:space="preserve">Table 12</w:t>
      </w:r>
    </w:p>
    <w:p>
      <w:pPr>
        <w:pStyle w:val="Caption"/>
      </w:pPr>
      <w:r>
        <w:t xml:space="preserve">Regression coefficients for</w:t>
      </w:r>
      <w:r>
        <w:t xml:space="preserve"> </w:t>
      </w:r>
      <m:oMath>
        <m:r>
          <m:t>μ</m:t>
        </m:r>
      </m:oMath>
      <w:r>
        <w:t xml:space="preserve"> </w:t>
      </w:r>
      <w:r>
        <w:t xml:space="preserve">and</w:t>
      </w:r>
      <w:r>
        <w:t xml:space="preserve"> </w:t>
      </w:r>
      <m:oMath>
        <m:r>
          <m:t>ϕ</m:t>
        </m:r>
      </m:oMath>
      <w:r>
        <w:t xml:space="preserve"> </w:t>
      </w:r>
      <w:r>
        <w:t xml:space="preserve">parameters (</w:t>
      </w:r>
      <w:r>
        <w:rPr>
          <w:rStyle w:val="VerbatimChar"/>
        </w:rPr>
        <w:t xml:space="preserve">beta_brms_dis</w:t>
      </w:r>
      <w:r>
        <w:t xml:space="preserve"> </w:t>
      </w:r>
      <w:r>
        <w:t xml:space="preserve">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-0.679</w:t>
            </w:r>
          </w:p>
        </w:tc>
        <w:tc>
          <w:tcPr/>
          <w:p>
            <w:pPr>
              <w:pStyle w:val="Compact"/>
            </w:pPr>
            <w:r>
              <w:t xml:space="preserve">[-0.905, -0.443]</w:t>
            </w:r>
          </w:p>
        </w:tc>
        <w:tc>
          <w:tcPr/>
          <w:p>
            <w:pPr>
              <w:pStyle w:val="Compact"/>
            </w:pPr>
            <w:r>
              <w:t xml:space="preserve">1</w:t>
            </w:r>
          </w:p>
        </w:tc>
      </w:tr>
      <w:tr>
        <w:tc>
          <w:tcPr/>
          <w:p>
            <w:pPr>
              <w:pStyle w:val="Compact"/>
            </w:pPr>
            <w:r>
              <w:t xml:space="preserve">b_phi_Intercept</w:t>
            </w:r>
          </w:p>
        </w:tc>
        <w:tc>
          <w:tcPr/>
          <w:p>
            <w:pPr>
              <w:pStyle w:val="Compact"/>
            </w:pPr>
            <w:r>
              <w:t xml:space="preserve">1.806</w:t>
            </w:r>
          </w:p>
        </w:tc>
        <w:tc>
          <w:tcPr/>
          <w:p>
            <w:pPr>
              <w:pStyle w:val="Compact"/>
            </w:pPr>
            <w:r>
              <w:t xml:space="preserve">[1.389, 2.177]</w:t>
            </w:r>
          </w:p>
        </w:tc>
        <w:tc>
          <w:tcPr/>
          <w:p>
            <w:pPr>
              <w:pStyle w:val="Compact"/>
            </w:pPr>
            <w:r>
              <w:t xml:space="preserve">1</w:t>
            </w:r>
          </w:p>
        </w:tc>
      </w:tr>
      <w:tr>
        <w:tc>
          <w:tcPr/>
          <w:p>
            <w:pPr>
              <w:pStyle w:val="Compact"/>
            </w:pPr>
            <w:r>
              <w:t xml:space="preserve">b_Fluency_dummy1</w:t>
            </w:r>
          </w:p>
        </w:tc>
        <w:tc>
          <w:tcPr/>
          <w:p>
            <w:pPr>
              <w:pStyle w:val="Compact"/>
            </w:pPr>
            <w:r>
              <w:t xml:space="preserve">-0.24</w:t>
            </w:r>
          </w:p>
        </w:tc>
        <w:tc>
          <w:tcPr/>
          <w:p>
            <w:pPr>
              <w:pStyle w:val="Compact"/>
            </w:pPr>
            <w:r>
              <w:t xml:space="preserve">[-0.64, 0.156]</w:t>
            </w:r>
          </w:p>
        </w:tc>
        <w:tc>
          <w:tcPr/>
          <w:p>
            <w:pPr>
              <w:pStyle w:val="Compact"/>
            </w:pPr>
            <w:r>
              <w:t xml:space="preserve">0.887</w:t>
            </w:r>
          </w:p>
        </w:tc>
      </w:tr>
      <w:tr>
        <w:tc>
          <w:tcPr/>
          <w:p>
            <w:pPr>
              <w:pStyle w:val="Compact"/>
            </w:pPr>
            <w:r>
              <w:t xml:space="preserve">b_phi_Fluency_dummy1</w:t>
            </w:r>
          </w:p>
        </w:tc>
        <w:tc>
          <w:tcPr/>
          <w:p>
            <w:pPr>
              <w:pStyle w:val="Compact"/>
            </w:pPr>
            <w:r>
              <w:t xml:space="preserve">-0.927</w:t>
            </w:r>
          </w:p>
        </w:tc>
        <w:tc>
          <w:tcPr/>
          <w:p>
            <w:pPr>
              <w:pStyle w:val="Compact"/>
            </w:pPr>
            <w:r>
              <w:t xml:space="preserve">[-1.468, -0.402]</w:t>
            </w:r>
          </w:p>
        </w:tc>
        <w:tc>
          <w:tcPr/>
          <w:p>
            <w:pPr>
              <w:pStyle w:val="Compact"/>
            </w:pPr>
            <w:r>
              <w:t xml:space="preserve">1</w:t>
            </w:r>
          </w:p>
        </w:tc>
      </w:tr>
    </w:tbl>
    <w:bookmarkEnd w:id="91"/>
    <w:p>
      <w:pPr>
        <w:pStyle w:val="AfterWithoutNote"/>
      </w:pPr>
      <w:hyperlink w:anchor="tbl-beta-mu-dis">
        <w:r>
          <w:rPr>
            <w:rStyle w:val="Hyperlink"/>
          </w:rPr>
          <w:t xml:space="preserve">Table 12</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13</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2" w:name="tbl-phi-beta-exp"/>
    <w:p>
      <w:pPr>
        <w:pStyle w:val="FigureTitle"/>
      </w:pPr>
      <w:r>
        <w:t xml:space="preserve">Table 13</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611"/>
        <w:tblLayout w:type="fixed"/>
        <w:tblLook w:firstRow="1" w:lastRow="0" w:firstColumn="0" w:lastColumn="0" w:noHBand="0" w:noVBand="0" w:val="0020"/>
      </w:tblPr>
      <w:tblGrid>
        <w:gridCol w:w="2530"/>
        <w:gridCol w:w="88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6.089</w:t>
            </w:r>
          </w:p>
        </w:tc>
        <w:tc>
          <w:tcPr/>
          <w:p>
            <w:pPr>
              <w:pStyle w:val="Compact"/>
            </w:pPr>
            <w:r>
              <w:t xml:space="preserve">[4.01, 8.82]</w:t>
            </w:r>
          </w:p>
        </w:tc>
        <w:tc>
          <w:tcPr/>
          <w:p>
            <w:pPr>
              <w:pStyle w:val="Compact"/>
            </w:pPr>
            <w:r>
              <w:t xml:space="preserve">1</w:t>
            </w:r>
          </w:p>
        </w:tc>
      </w:tr>
      <w:tr>
        <w:tc>
          <w:tcPr/>
          <w:p>
            <w:pPr>
              <w:pStyle w:val="Compact"/>
            </w:pPr>
            <w:r>
              <w:t xml:space="preserve">b_phi_Fluency_dummy1</w:t>
            </w:r>
          </w:p>
        </w:tc>
        <w:tc>
          <w:tcPr/>
          <w:p>
            <w:pPr>
              <w:pStyle w:val="Compact"/>
            </w:pPr>
            <w:r>
              <w:t xml:space="preserve">0.396</w:t>
            </w:r>
          </w:p>
        </w:tc>
        <w:tc>
          <w:tcPr/>
          <w:p>
            <w:pPr>
              <w:pStyle w:val="Compact"/>
            </w:pPr>
            <w:r>
              <w:t xml:space="preserve">[0.23, 0.669]</w:t>
            </w:r>
          </w:p>
        </w:tc>
        <w:tc>
          <w:tcPr/>
          <w:p>
            <w:pPr>
              <w:pStyle w:val="Compact"/>
            </w:pPr>
            <w:r>
              <w:t xml:space="preserve">1</w:t>
            </w:r>
          </w:p>
        </w:tc>
      </w:tr>
    </w:tbl>
    <w:bookmarkEnd w:id="92"/>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6</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96" w:name="fig-plt-diff"/>
    <w:p>
      <w:pPr>
        <w:pStyle w:val="FigureTitle"/>
      </w:pPr>
      <w:r>
        <w:t xml:space="preserve">Figure 6</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4" name="Picture"/>
            <a:graphic>
              <a:graphicData uri="http://schemas.openxmlformats.org/drawingml/2006/picture">
                <pic:pic>
                  <pic:nvPicPr>
                    <pic:cNvPr descr="ms_files/figure-docx/fig-plt-diff-1.png" id="95" name="Picture"/>
                    <pic:cNvPicPr>
                      <a:picLocks noChangeArrowheads="1" noChangeAspect="1"/>
                    </pic:cNvPicPr>
                  </pic:nvPicPr>
                  <pic:blipFill>
                    <a:blip r:embed="rId93"/>
                    <a:stretch>
                      <a:fillRect/>
                    </a:stretch>
                  </pic:blipFill>
                  <pic:spPr bwMode="auto">
                    <a:xfrm>
                      <a:off x="0" y="0"/>
                      <a:ext cx="5943600" cy="2971800"/>
                    </a:xfrm>
                    <a:prstGeom prst="rect">
                      <a:avLst/>
                    </a:prstGeom>
                    <a:noFill/>
                    <a:ln w="9525">
                      <a:noFill/>
                      <a:headEnd/>
                      <a:tailEnd/>
                    </a:ln>
                  </pic:spPr>
                </pic:pic>
              </a:graphicData>
            </a:graphic>
          </wp:inline>
        </w:drawing>
      </w:r>
    </w:p>
    <w:bookmarkEnd w:id="96"/>
    <w:bookmarkEnd w:id="97"/>
    <w:bookmarkStart w:id="102"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7</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1" w:name="fig-post-pred"/>
    <w:p>
      <w:pPr>
        <w:pStyle w:val="FigureTitle"/>
      </w:pPr>
      <w:r>
        <w:t xml:space="preserve">Figure 7</w:t>
      </w:r>
    </w:p>
    <w:p>
      <w:pPr>
        <w:pStyle w:val="Caption"/>
      </w:pPr>
      <w:r>
        <w:t xml:space="preserve">Posterior predictive check for our Beta model with 100 draws.</w:t>
      </w:r>
    </w:p>
    <w:p>
      <w:pPr>
        <w:pStyle w:val="FigureWithoutNote"/>
      </w:pPr>
      <w:r>
        <w:drawing>
          <wp:inline>
            <wp:extent cx="5943600" cy="2971800"/>
            <wp:effectExtent b="0" l="0" r="0" t="0"/>
            <wp:docPr descr="" title="" id="99" name="Picture"/>
            <a:graphic>
              <a:graphicData uri="http://schemas.openxmlformats.org/drawingml/2006/picture">
                <pic:pic>
                  <pic:nvPicPr>
                    <pic:cNvPr descr="ms_files/figure-docx/fig-post-pred-1.png" id="100" name="Picture"/>
                    <pic:cNvPicPr>
                      <a:picLocks noChangeArrowheads="1" noChangeAspect="1"/>
                    </pic:cNvPicPr>
                  </pic:nvPicPr>
                  <pic:blipFill>
                    <a:blip r:embed="rId98"/>
                    <a:stretch>
                      <a:fillRect/>
                    </a:stretch>
                  </pic:blipFill>
                  <pic:spPr bwMode="auto">
                    <a:xfrm>
                      <a:off x="0" y="0"/>
                      <a:ext cx="5943600" cy="2971800"/>
                    </a:xfrm>
                    <a:prstGeom prst="rect">
                      <a:avLst/>
                    </a:prstGeom>
                    <a:noFill/>
                    <a:ln w="9525">
                      <a:noFill/>
                      <a:headEnd/>
                      <a:tailEnd/>
                    </a:ln>
                  </pic:spPr>
                </pic:pic>
              </a:graphicData>
            </a:graphic>
          </wp:inline>
        </w:drawing>
      </w:r>
    </w:p>
    <w:bookmarkEnd w:id="101"/>
    <w:bookmarkEnd w:id="102"/>
    <w:bookmarkEnd w:id="103"/>
    <w:bookmarkStart w:id="114"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Before we run a zero-inflated beta model, we will need to transform</w:t>
      </w:r>
      <w:r>
        <w:t xml:space="preserve"> </w:t>
      </w:r>
      <w:r>
        <w:rPr>
          <w:rStyle w:val="VerbatimChar"/>
        </w:rPr>
        <w:t xml:space="preserve">fluency_data</w:t>
      </w:r>
      <w:r>
        <w:t xml:space="preserve"> </w:t>
      </w:r>
      <w:r>
        <w:t xml:space="preserve">again and nudge our 1s to .99–we can keep our zeros.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4" w:name="tbl-brms-zib"/>
    <w:p>
      <w:pPr>
        <w:pStyle w:val="FigureTitle"/>
      </w:pPr>
      <w:r>
        <w:t xml:space="preserve">Table 14</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-0.628</w:t>
            </w:r>
          </w:p>
        </w:tc>
        <w:tc>
          <w:tcPr/>
          <w:p>
            <w:pPr>
              <w:pStyle w:val="Compact"/>
            </w:pPr>
            <w:r>
              <w:t xml:space="preserve">[-0.842, -0.408]</w:t>
            </w:r>
          </w:p>
        </w:tc>
        <w:tc>
          <w:tcPr/>
          <w:p>
            <w:pPr>
              <w:pStyle w:val="Compact"/>
            </w:pPr>
            <w:r>
              <w:t xml:space="preserve">1</w:t>
            </w:r>
          </w:p>
        </w:tc>
      </w:tr>
      <w:tr>
        <w:tc>
          <w:tcPr/>
          <w:p>
            <w:pPr>
              <w:pStyle w:val="Compact"/>
            </w:pPr>
            <w:r>
              <w:t xml:space="preserve">b_phi_Intercept</w:t>
            </w:r>
          </w:p>
        </w:tc>
        <w:tc>
          <w:tcPr/>
          <w:p>
            <w:pPr>
              <w:pStyle w:val="Compact"/>
            </w:pPr>
            <w:r>
              <w:t xml:space="preserve">2.024</w:t>
            </w:r>
          </w:p>
        </w:tc>
        <w:tc>
          <w:tcPr/>
          <w:p>
            <w:pPr>
              <w:pStyle w:val="Compact"/>
            </w:pPr>
            <w:r>
              <w:t xml:space="preserve">[1.596, 2.414]</w:t>
            </w:r>
          </w:p>
        </w:tc>
        <w:tc>
          <w:tcPr/>
          <w:p>
            <w:pPr>
              <w:pStyle w:val="Compact"/>
            </w:pPr>
            <w:r>
              <w:t xml:space="preserve">1</w:t>
            </w:r>
          </w:p>
        </w:tc>
      </w:tr>
      <w:tr>
        <w:tc>
          <w:tcPr/>
          <w:p>
            <w:pPr>
              <w:pStyle w:val="Compact"/>
            </w:pPr>
            <w:r>
              <w:t xml:space="preserve">b_Fluency_dummy1</w:t>
            </w:r>
          </w:p>
        </w:tc>
        <w:tc>
          <w:tcPr/>
          <w:p>
            <w:pPr>
              <w:pStyle w:val="Compact"/>
            </w:pPr>
            <w:r>
              <w:t xml:space="preserve">-0.034</w:t>
            </w:r>
          </w:p>
        </w:tc>
        <w:tc>
          <w:tcPr/>
          <w:p>
            <w:pPr>
              <w:pStyle w:val="Compact"/>
            </w:pPr>
            <w:r>
              <w:t xml:space="preserve">[-0.394, 0.339]</w:t>
            </w:r>
          </w:p>
        </w:tc>
        <w:tc>
          <w:tcPr/>
          <w:p>
            <w:pPr>
              <w:pStyle w:val="Compact"/>
            </w:pPr>
            <w:r>
              <w:t xml:space="preserve">0.571</w:t>
            </w:r>
          </w:p>
        </w:tc>
      </w:tr>
      <w:tr>
        <w:tc>
          <w:tcPr/>
          <w:p>
            <w:pPr>
              <w:pStyle w:val="Compact"/>
            </w:pPr>
            <w:r>
              <w:t xml:space="preserve">b_phi_Fluency_dummy1</w:t>
            </w:r>
          </w:p>
        </w:tc>
        <w:tc>
          <w:tcPr/>
          <w:p>
            <w:pPr>
              <w:pStyle w:val="Compact"/>
            </w:pPr>
            <w:r>
              <w:t xml:space="preserve">-0.831</w:t>
            </w:r>
          </w:p>
        </w:tc>
        <w:tc>
          <w:tcPr/>
          <w:p>
            <w:pPr>
              <w:pStyle w:val="Compact"/>
            </w:pPr>
            <w:r>
              <w:t xml:space="preserve">[-1.392, -0.272]</w:t>
            </w:r>
          </w:p>
        </w:tc>
        <w:tc>
          <w:tcPr/>
          <w:p>
            <w:pPr>
              <w:pStyle w:val="Compact"/>
            </w:pPr>
            <w:r>
              <w:t xml:space="preserve">0.998</w:t>
            </w:r>
          </w:p>
        </w:tc>
      </w:tr>
      <w:tr>
        <w:tc>
          <w:tcPr/>
          <w:p>
            <w:pPr>
              <w:pStyle w:val="Compact"/>
            </w:pPr>
            <w:r>
              <w:t xml:space="preserve">b_zi_Intercept</w:t>
            </w:r>
          </w:p>
        </w:tc>
        <w:tc>
          <w:tcPr/>
          <w:p>
            <w:pPr>
              <w:pStyle w:val="Compact"/>
            </w:pPr>
            <w:r>
              <w:t xml:space="preserve">-3.798</w:t>
            </w:r>
          </w:p>
        </w:tc>
        <w:tc>
          <w:tcPr/>
          <w:p>
            <w:pPr>
              <w:pStyle w:val="Compact"/>
            </w:pPr>
            <w:r>
              <w:t xml:space="preserve">[-6.137, -2.234]</w:t>
            </w:r>
          </w:p>
        </w:tc>
        <w:tc>
          <w:tcPr/>
          <w:p>
            <w:pPr>
              <w:pStyle w:val="Compact"/>
            </w:pPr>
            <w:r>
              <w:t xml:space="preserve">1</w:t>
            </w:r>
          </w:p>
        </w:tc>
      </w:tr>
      <w:tr>
        <w:tc>
          <w:tcPr/>
          <w:p>
            <w:pPr>
              <w:pStyle w:val="Compact"/>
            </w:pPr>
            <w:r>
              <w:t xml:space="preserve">b_zi_Fluency_dummy1</w:t>
            </w:r>
          </w:p>
        </w:tc>
        <w:tc>
          <w:tcPr/>
          <w:p>
            <w:pPr>
              <w:pStyle w:val="Compact"/>
            </w:pPr>
            <w:r>
              <w:t xml:space="preserve">2.108</w:t>
            </w:r>
          </w:p>
        </w:tc>
        <w:tc>
          <w:tcPr/>
          <w:p>
            <w:pPr>
              <w:pStyle w:val="Compact"/>
            </w:pPr>
            <w:r>
              <w:t xml:space="preserve">[0.25, 4.588]</w:t>
            </w:r>
          </w:p>
        </w:tc>
        <w:tc>
          <w:tcPr/>
          <w:p>
            <w:pPr>
              <w:pStyle w:val="Compact"/>
            </w:pPr>
            <w:r>
              <w:t xml:space="preserve">0.991</w:t>
            </w:r>
          </w:p>
        </w:tc>
      </w:tr>
    </w:tbl>
    <w:bookmarkEnd w:id="104"/>
    <w:bookmarkStart w:id="107"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14</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w:t>
      </w:r>
      <w:r>
        <w:t xml:space="preserve"> </w:t>
      </w:r>
      <w:r>
        <w:t xml:space="preserve">(</w:t>
      </w:r>
      <w:hyperlink w:anchor="ref-marginaleffects">
        <w:r>
          <w:rPr>
            <w:rStyle w:val="Hyperlink"/>
          </w:rPr>
          <w:t xml:space="preserve">Arel-Bundock, 2024</w:t>
        </w:r>
      </w:hyperlink>
      <w:r>
        <w:t xml:space="preserve">)</w:t>
      </w:r>
      <w:r>
        <w:t xml:space="preserv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15</w:t>
        </w:r>
      </w:hyperlink>
      <w:r>
        <w:t xml:space="preserve"> </w:t>
      </w:r>
      <w:r>
        <w:t xml:space="preserve">there is no significant effect for Fluency.</w:t>
      </w:r>
    </w:p>
    <w:bookmarkStart w:id="105" w:name="tbl-marg-mu-brms"/>
    <w:p>
      <w:pPr>
        <w:pStyle w:val="FigureTitle"/>
      </w:pPr>
      <w:r>
        <w:t xml:space="preserve">Table 15</w:t>
      </w:r>
    </w:p>
    <w:p>
      <w:pPr>
        <w:pStyle w:val="Caption"/>
      </w:pPr>
      <w:r>
        <w:t xml:space="preserve">Risk difference (</w:t>
      </w:r>
      <m:oMath>
        <m:r>
          <m:t>μ</m:t>
        </m:r>
      </m:oMath>
      <w:r>
        <w:t xml:space="preserve">) for fluency factor</w:t>
      </w:r>
    </w:p>
    <w:tbl>
      <w:tblPr>
        <w:tblStyle w:val="Table"/>
        <w:tblW w:type="pct" w:w="3750"/>
        <w:tblLayout w:type="fixed"/>
        <w:tblLook w:firstRow="1" w:lastRow="0" w:firstColumn="0" w:lastColumn="0" w:noHBand="0" w:noVBand="0" w:val="0020"/>
      </w:tblPr>
      <w:tblGrid>
        <w:gridCol w:w="1760"/>
        <w:gridCol w:w="1210"/>
        <w:gridCol w:w="99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-0.007</w:t>
            </w:r>
          </w:p>
        </w:tc>
        <w:tc>
          <w:tcPr/>
          <w:p>
            <w:pPr>
              <w:pStyle w:val="Compact"/>
            </w:pPr>
            <w:r>
              <w:t xml:space="preserve">[-0.087, 0.078]</w:t>
            </w:r>
          </w:p>
        </w:tc>
      </w:tr>
    </w:tbl>
    <w:bookmarkEnd w:id="105"/>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16</w:t>
        </w:r>
      </w:hyperlink>
      <w:r>
        <w:t xml:space="preserve">, there is a significant effect of fluency on dispersion, with disfluency having a larger variation than fluency.</w:t>
      </w:r>
    </w:p>
    <w:bookmarkStart w:id="106" w:name="tbl-marg-phi-brms"/>
    <w:p>
      <w:pPr>
        <w:pStyle w:val="FigureTitle"/>
      </w:pPr>
      <w:r>
        <w:t xml:space="preserve">Table 16</w:t>
      </w:r>
    </w:p>
    <w:p>
      <w:pPr>
        <w:pStyle w:val="Caption"/>
      </w:pPr>
      <w:r>
        <w:t xml:space="preserve">Risk difference (</w:t>
      </w:r>
      <m:oMath>
        <m:r>
          <m:t>ϕ</m:t>
        </m:r>
      </m:oMath>
      <w:r>
        <w:t xml:space="preserve">) for fluency factor</w:t>
      </w:r>
    </w:p>
    <w:tbl>
      <w:tblPr>
        <w:tblStyle w:val="Table"/>
        <w:tblW w:type="pct" w:w="3750"/>
        <w:tblLayout w:type="fixed"/>
        <w:tblLook w:firstRow="1" w:lastRow="0" w:firstColumn="0" w:lastColumn="0" w:noHBand="0" w:noVBand="0" w:val="0020"/>
      </w:tblPr>
      <w:tblGrid>
        <w:gridCol w:w="1760"/>
        <w:gridCol w:w="1210"/>
        <w:gridCol w:w="88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-4.37</w:t>
            </w:r>
          </w:p>
        </w:tc>
        <w:tc>
          <w:tcPr/>
          <w:p>
            <w:pPr>
              <w:pStyle w:val="Compact"/>
            </w:pPr>
            <w:r>
              <w:t xml:space="preserve">[-7.984, -1.274]</w:t>
            </w:r>
          </w:p>
        </w:tc>
      </w:tr>
    </w:tbl>
    <w:bookmarkEnd w:id="106"/>
    <w:bookmarkEnd w:id="107"/>
    <w:bookmarkStart w:id="113"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17</w:t>
        </w:r>
      </w:hyperlink>
      <w:r>
        <w:t xml:space="preserve"> </w:t>
      </w:r>
      <w:r>
        <w:t xml:space="preserve">we see that watching a lecture video with a fluent instructor reduces the proportion of zeros by about 13%. The CrI does not include zero.</w:t>
      </w:r>
    </w:p>
    <w:bookmarkStart w:id="108" w:name="tbl-marg-zib-brms"/>
    <w:p>
      <w:pPr>
        <w:pStyle w:val="FigureTitle"/>
      </w:pPr>
      <w:r>
        <w:t xml:space="preserve">Table 17</w:t>
      </w:r>
    </w:p>
    <w:p>
      <w:pPr>
        <w:pStyle w:val="Caption"/>
      </w:pPr>
      <w:r>
        <w:t xml:space="preserve">Regression coefficients for ZIB model (</w:t>
      </w:r>
      <w:r>
        <w:rPr>
          <w:rStyle w:val="VerbatimChar"/>
        </w:rPr>
        <w:t xml:space="preserve">marg_zi_brms</w:t>
      </w:r>
      <w:r>
        <w:t xml:space="preserve">)</w:t>
      </w:r>
    </w:p>
    <w:tbl>
      <w:tblPr>
        <w:tblStyle w:val="Table"/>
        <w:tblW w:type="pct" w:w="3403"/>
        <w:tblLayout w:type="fixed"/>
        <w:tblLook w:firstRow="1" w:lastRow="0" w:firstColumn="0" w:lastColumn="0" w:noHBand="0" w:noVBand="0" w:val="0020"/>
      </w:tblPr>
      <w:tblGrid>
        <w:gridCol w:w="1760"/>
        <w:gridCol w:w="1210"/>
        <w:gridCol w:w="770"/>
        <w:gridCol w:w="165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0.13</w:t>
            </w:r>
          </w:p>
        </w:tc>
        <w:tc>
          <w:tcPr/>
          <w:p>
            <w:pPr>
              <w:pStyle w:val="Compact"/>
            </w:pPr>
            <w:r>
              <w:t xml:space="preserve">[0.02, 0.25]</w:t>
            </w:r>
          </w:p>
        </w:tc>
      </w:tr>
    </w:tbl>
    <w:bookmarkEnd w:id="108"/>
    <w:p>
      <w:pPr>
        <w:pStyle w:val="AfterWithoutNote"/>
      </w:pPr>
      <w:r>
        <w:t xml:space="preserve">If we wanted we could easily visualize the zero-inflated part of the model (see</w:t>
      </w:r>
      <w:r>
        <w:t xml:space="preserve"> </w:t>
      </w:r>
      <w:hyperlink w:anchor="fig-zi-plot">
        <w:r>
          <w:rPr>
            <w:rStyle w:val="Hyperlink"/>
          </w:rPr>
          <w:t xml:space="preserve">Figure 8</w:t>
        </w:r>
      </w:hyperlink>
      <w:r>
        <w:t xml:space="preserve">).</w:t>
      </w:r>
    </w:p>
    <w:bookmarkStart w:id="112" w:name="fig-zi-plot"/>
    <w:p>
      <w:pPr>
        <w:pStyle w:val="FigureTitle"/>
      </w:pPr>
      <w:r>
        <w:t xml:space="preserve">Figure 8</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0" name="Picture"/>
            <a:graphic>
              <a:graphicData uri="http://schemas.openxmlformats.org/drawingml/2006/picture">
                <pic:pic>
                  <pic:nvPicPr>
                    <pic:cNvPr descr="ms_files/figure-docx/fig-zi-plot-1.png" id="111" name="Picture"/>
                    <pic:cNvPicPr>
                      <a:picLocks noChangeArrowheads="1" noChangeAspect="1"/>
                    </pic:cNvPicPr>
                  </pic:nvPicPr>
                  <pic:blipFill>
                    <a:blip r:embed="rId109"/>
                    <a:stretch>
                      <a:fillRect/>
                    </a:stretch>
                  </pic:blipFill>
                  <pic:spPr bwMode="auto">
                    <a:xfrm>
                      <a:off x="0" y="0"/>
                      <a:ext cx="5943600" cy="2971800"/>
                    </a:xfrm>
                    <a:prstGeom prst="rect">
                      <a:avLst/>
                    </a:prstGeom>
                    <a:noFill/>
                    <a:ln w="9525">
                      <a:noFill/>
                      <a:headEnd/>
                      <a:tailEnd/>
                    </a:ln>
                  </pic:spPr>
                </pic:pic>
              </a:graphicData>
            </a:graphic>
          </wp:inline>
        </w:drawing>
      </w:r>
    </w:p>
    <w:bookmarkEnd w:id="112"/>
    <w:bookmarkEnd w:id="113"/>
    <w:bookmarkEnd w:id="114"/>
    <w:bookmarkStart w:id="119"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5"/>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18</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16" w:name="tbl-zoib"/>
    <w:p>
      <w:pPr>
        <w:pStyle w:val="FigureTitle"/>
      </w:pPr>
      <w:r>
        <w:t xml:space="preserve">Table 18</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-0.626</w:t>
            </w:r>
          </w:p>
        </w:tc>
        <w:tc>
          <w:tcPr/>
          <w:p>
            <w:pPr>
              <w:pStyle w:val="Compact"/>
            </w:pPr>
            <w:r>
              <w:t xml:space="preserve">[-0.844, -0.408]</w:t>
            </w:r>
          </w:p>
        </w:tc>
        <w:tc>
          <w:tcPr/>
          <w:p>
            <w:pPr>
              <w:pStyle w:val="Compact"/>
            </w:pPr>
            <w:r>
              <w:t xml:space="preserve">1</w:t>
            </w:r>
          </w:p>
        </w:tc>
      </w:tr>
      <w:tr>
        <w:tc>
          <w:tcPr/>
          <w:p>
            <w:pPr>
              <w:pStyle w:val="Compact"/>
            </w:pPr>
            <w:r>
              <w:t xml:space="preserve">b_phi_Intercept</w:t>
            </w:r>
          </w:p>
        </w:tc>
        <w:tc>
          <w:tcPr/>
          <w:p>
            <w:pPr>
              <w:pStyle w:val="Compact"/>
            </w:pPr>
            <w:r>
              <w:t xml:space="preserve">2.024</w:t>
            </w:r>
          </w:p>
        </w:tc>
        <w:tc>
          <w:tcPr/>
          <w:p>
            <w:pPr>
              <w:pStyle w:val="Compact"/>
            </w:pPr>
            <w:r>
              <w:t xml:space="preserve">[1.602, 2.424]</w:t>
            </w:r>
          </w:p>
        </w:tc>
        <w:tc>
          <w:tcPr/>
          <w:p>
            <w:pPr>
              <w:pStyle w:val="Compact"/>
            </w:pPr>
            <w:r>
              <w:t xml:space="preserve">1</w:t>
            </w:r>
          </w:p>
        </w:tc>
      </w:tr>
      <w:tr>
        <w:tc>
          <w:tcPr/>
          <w:p>
            <w:pPr>
              <w:pStyle w:val="Compact"/>
            </w:pPr>
            <w:r>
              <w:t xml:space="preserve">b_zoi_Intercept</w:t>
            </w:r>
          </w:p>
        </w:tc>
        <w:tc>
          <w:tcPr/>
          <w:p>
            <w:pPr>
              <w:pStyle w:val="Compact"/>
            </w:pPr>
            <w:r>
              <w:t xml:space="preserve">-3.822</w:t>
            </w:r>
          </w:p>
        </w:tc>
        <w:tc>
          <w:tcPr/>
          <w:p>
            <w:pPr>
              <w:pStyle w:val="Compact"/>
            </w:pPr>
            <w:r>
              <w:t xml:space="preserve">[-6.137, -2.19]</w:t>
            </w:r>
          </w:p>
        </w:tc>
        <w:tc>
          <w:tcPr/>
          <w:p>
            <w:pPr>
              <w:pStyle w:val="Compact"/>
            </w:pPr>
            <w:r>
              <w:t xml:space="preserve">1</w:t>
            </w:r>
          </w:p>
        </w:tc>
      </w:tr>
      <w:tr>
        <w:tc>
          <w:tcPr/>
          <w:p>
            <w:pPr>
              <w:pStyle w:val="Compact"/>
            </w:pPr>
            <w:r>
              <w:t xml:space="preserve">b_coi_Intercept</w:t>
            </w:r>
          </w:p>
        </w:tc>
        <w:tc>
          <w:tcPr/>
          <w:p>
            <w:pPr>
              <w:pStyle w:val="Compact"/>
            </w:pPr>
            <w:r>
              <w:t xml:space="preserve">-1.951</w:t>
            </w:r>
          </w:p>
        </w:tc>
        <w:tc>
          <w:tcPr/>
          <w:p>
            <w:pPr>
              <w:pStyle w:val="Compact"/>
            </w:pPr>
            <w:r>
              <w:t xml:space="preserve">[-8.99, 2.799]</w:t>
            </w:r>
          </w:p>
        </w:tc>
        <w:tc>
          <w:tcPr/>
          <w:p>
            <w:pPr>
              <w:pStyle w:val="Compact"/>
            </w:pPr>
            <w:r>
              <w:t xml:space="preserve">0.743</w:t>
            </w:r>
          </w:p>
        </w:tc>
      </w:tr>
      <w:tr>
        <w:tc>
          <w:tcPr/>
          <w:p>
            <w:pPr>
              <w:pStyle w:val="Compact"/>
            </w:pPr>
            <w:r>
              <w:t xml:space="preserve">b_Fluency_dummy1</w:t>
            </w:r>
          </w:p>
        </w:tc>
        <w:tc>
          <w:tcPr/>
          <w:p>
            <w:pPr>
              <w:pStyle w:val="Compact"/>
            </w:pPr>
            <w:r>
              <w:t xml:space="preserve">-0.198</w:t>
            </w:r>
          </w:p>
        </w:tc>
        <w:tc>
          <w:tcPr/>
          <w:p>
            <w:pPr>
              <w:pStyle w:val="Compact"/>
            </w:pPr>
            <w:r>
              <w:t xml:space="preserve">[-0.541, 0.164]</w:t>
            </w:r>
          </w:p>
        </w:tc>
        <w:tc>
          <w:tcPr/>
          <w:p>
            <w:pPr>
              <w:pStyle w:val="Compact"/>
            </w:pPr>
            <w:r>
              <w:t xml:space="preserve">0.866</w:t>
            </w:r>
          </w:p>
        </w:tc>
      </w:tr>
      <w:tr>
        <w:tc>
          <w:tcPr/>
          <w:p>
            <w:pPr>
              <w:pStyle w:val="Compact"/>
            </w:pPr>
            <w:r>
              <w:t xml:space="preserve">b_phi_Fluency_dummy1</w:t>
            </w:r>
          </w:p>
        </w:tc>
        <w:tc>
          <w:tcPr/>
          <w:p>
            <w:pPr>
              <w:pStyle w:val="Compact"/>
            </w:pPr>
            <w:r>
              <w:t xml:space="preserve">-0.427</w:t>
            </w:r>
          </w:p>
        </w:tc>
        <w:tc>
          <w:tcPr/>
          <w:p>
            <w:pPr>
              <w:pStyle w:val="Compact"/>
            </w:pPr>
            <w:r>
              <w:t xml:space="preserve">[-0.996, 0.149]</w:t>
            </w:r>
          </w:p>
        </w:tc>
        <w:tc>
          <w:tcPr/>
          <w:p>
            <w:pPr>
              <w:pStyle w:val="Compact"/>
            </w:pPr>
            <w:r>
              <w:t xml:space="preserve">0.925</w:t>
            </w:r>
          </w:p>
        </w:tc>
      </w:tr>
      <w:tr>
        <w:tc>
          <w:tcPr/>
          <w:p>
            <w:pPr>
              <w:pStyle w:val="Compact"/>
            </w:pPr>
            <w:r>
              <w:t xml:space="preserve">b_zoi_Fluency_dummy1</w:t>
            </w:r>
          </w:p>
        </w:tc>
        <w:tc>
          <w:tcPr/>
          <w:p>
            <w:pPr>
              <w:pStyle w:val="Compact"/>
            </w:pPr>
            <w:r>
              <w:t xml:space="preserve">2.29</w:t>
            </w:r>
          </w:p>
        </w:tc>
        <w:tc>
          <w:tcPr/>
          <w:p>
            <w:pPr>
              <w:pStyle w:val="Compact"/>
            </w:pPr>
            <w:r>
              <w:t xml:space="preserve">[0.454, 4.68]</w:t>
            </w:r>
          </w:p>
        </w:tc>
        <w:tc>
          <w:tcPr/>
          <w:p>
            <w:pPr>
              <w:pStyle w:val="Compact"/>
            </w:pPr>
            <w:r>
              <w:t xml:space="preserve">0.996</w:t>
            </w:r>
          </w:p>
        </w:tc>
      </w:tr>
      <w:tr>
        <w:tc>
          <w:tcPr/>
          <w:p>
            <w:pPr>
              <w:pStyle w:val="Compact"/>
            </w:pPr>
            <w:r>
              <w:t xml:space="preserve">b_coi_Fluency_dummy1</w:t>
            </w:r>
          </w:p>
        </w:tc>
        <w:tc>
          <w:tcPr/>
          <w:p>
            <w:pPr>
              <w:pStyle w:val="Compact"/>
            </w:pPr>
            <w:r>
              <w:t xml:space="preserve">-0.138</w:t>
            </w:r>
          </w:p>
        </w:tc>
        <w:tc>
          <w:tcPr/>
          <w:p>
            <w:pPr>
              <w:pStyle w:val="Compact"/>
            </w:pPr>
            <w:r>
              <w:t xml:space="preserve">[-5.997, 7.3]</w:t>
            </w:r>
          </w:p>
        </w:tc>
        <w:tc>
          <w:tcPr/>
          <w:p>
            <w:pPr>
              <w:pStyle w:val="Compact"/>
            </w:pPr>
            <w:r>
              <w:t xml:space="preserve">0.551</w:t>
            </w:r>
          </w:p>
        </w:tc>
      </w:tr>
    </w:tbl>
    <w:bookmarkEnd w:id="116"/>
    <w:bookmarkStart w:id="117"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18</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17"/>
    <w:bookmarkStart w:id="118"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18"/>
    <w:bookmarkEnd w:id="119"/>
    <w:bookmarkStart w:id="122"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18</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1"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0">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1"/>
    <w:bookmarkEnd w:id="122"/>
    <w:bookmarkStart w:id="141" w:name="model-parameters-2"/>
    <w:p>
      <w:pPr>
        <w:pStyle w:val="Heading2"/>
      </w:pPr>
      <w:r>
        <w:t xml:space="preserve">Model Parameters</w:t>
      </w:r>
    </w:p>
    <w:bookmarkStart w:id="123" w:name="tbl-ordbeta-summ"/>
    <w:p>
      <w:pPr>
        <w:pStyle w:val="FigureTitle"/>
      </w:pPr>
      <w:r>
        <w:t xml:space="preserve">Table 19</w:t>
      </w:r>
    </w:p>
    <w:p>
      <w:pPr>
        <w:pStyle w:val="Caption"/>
      </w:pPr>
      <w:r>
        <w:t xml:space="preserve">Regression coefficients for ordered beta regression (</w:t>
      </w:r>
      <w:r>
        <w:rPr>
          <w:rStyle w:val="VerbatimChar"/>
        </w:rPr>
        <w:t xml:space="preserve">ord_fit_brms</w:t>
      </w:r>
      <w:r>
        <w:t xml:space="preserve"> </w:t>
      </w:r>
      <w:r>
        <w:t xml:space="preserve">model)</w:t>
      </w:r>
    </w:p>
    <w:tbl>
      <w:tblPr>
        <w:tblStyle w:val="Table"/>
        <w:tblW w:type="pct" w:w="3750"/>
        <w:tblLayout w:type="fixed"/>
        <w:tblLook w:firstRow="1" w:lastRow="0" w:firstColumn="0" w:lastColumn="0" w:noHBand="0" w:noVBand="0" w:val="0020"/>
      </w:tblPr>
      <w:tblGrid>
        <w:gridCol w:w="2090"/>
        <w:gridCol w:w="990"/>
        <w:gridCol w:w="198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-0.582</w:t>
            </w:r>
          </w:p>
        </w:tc>
        <w:tc>
          <w:tcPr/>
          <w:p>
            <w:pPr>
              <w:pStyle w:val="Compact"/>
            </w:pPr>
            <w:r>
              <w:t xml:space="preserve">[-0.81, -0.357]</w:t>
            </w:r>
          </w:p>
        </w:tc>
        <w:tc>
          <w:tcPr/>
          <w:p>
            <w:pPr>
              <w:pStyle w:val="Compact"/>
            </w:pPr>
            <w:r>
              <w:t xml:space="preserve">1</w:t>
            </w:r>
          </w:p>
        </w:tc>
      </w:tr>
      <w:tr>
        <w:tc>
          <w:tcPr/>
          <w:p>
            <w:pPr>
              <w:pStyle w:val="Compact"/>
            </w:pPr>
            <w:r>
              <w:t xml:space="preserve">b_Fluency_dummy1</w:t>
            </w:r>
          </w:p>
        </w:tc>
        <w:tc>
          <w:tcPr/>
          <w:p>
            <w:pPr>
              <w:pStyle w:val="Compact"/>
            </w:pPr>
            <w:r>
              <w:t xml:space="preserve">-0.309</w:t>
            </w:r>
          </w:p>
        </w:tc>
        <w:tc>
          <w:tcPr/>
          <w:p>
            <w:pPr>
              <w:pStyle w:val="Compact"/>
            </w:pPr>
            <w:r>
              <w:t xml:space="preserve">[-0.63, 0.024]</w:t>
            </w:r>
          </w:p>
        </w:tc>
        <w:tc>
          <w:tcPr/>
          <w:p>
            <w:pPr>
              <w:pStyle w:val="Compact"/>
            </w:pPr>
            <w:r>
              <w:t xml:space="preserve">0.967</w:t>
            </w:r>
          </w:p>
        </w:tc>
      </w:tr>
      <w:tr>
        <w:tc>
          <w:tcPr/>
          <w:p>
            <w:pPr>
              <w:pStyle w:val="Compact"/>
            </w:pPr>
            <w:r>
              <w:t xml:space="preserve">phi</w:t>
            </w:r>
          </w:p>
        </w:tc>
        <w:tc>
          <w:tcPr/>
          <w:p>
            <w:pPr>
              <w:pStyle w:val="Compact"/>
            </w:pPr>
            <w:r>
              <w:t xml:space="preserve">6.215</w:t>
            </w:r>
          </w:p>
        </w:tc>
        <w:tc>
          <w:tcPr/>
          <w:p>
            <w:pPr>
              <w:pStyle w:val="Compact"/>
            </w:pPr>
            <w:r>
              <w:t xml:space="preserve">[4.586, 8.074]</w:t>
            </w:r>
          </w:p>
        </w:tc>
        <w:tc>
          <w:tcPr/>
          <w:p>
            <w:pPr>
              <w:pStyle w:val="Compact"/>
            </w:pPr>
            <w:r>
              <w:t xml:space="preserve">1</w:t>
            </w:r>
          </w:p>
        </w:tc>
      </w:tr>
    </w:tbl>
    <w:bookmarkEnd w:id="123"/>
    <w:bookmarkStart w:id="124" w:name="mean-mu-1"/>
    <w:p>
      <w:pPr>
        <w:pStyle w:val="Heading3"/>
      </w:pPr>
      <w:r>
        <w:t xml:space="preserve">Mean (</w:t>
      </w:r>
      <m:oMath>
        <m:r>
          <m:t>μ</m:t>
        </m:r>
      </m:oMath>
      <w:r>
        <w:t xml:space="preserve">)</w:t>
      </w:r>
    </w:p>
    <w:p>
      <w:pPr>
        <w:pStyle w:val="FirstParagraph"/>
      </w:pPr>
      <w:hyperlink w:anchor="tbl-ordbeta-summ">
        <w:r>
          <w:rPr>
            <w:rStyle w:val="Hyperlink"/>
          </w:rPr>
          <w:t xml:space="preserve">Table 19</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Here, the CrI does not include zero and the pd = .98, so we can say there is an effect of</w:t>
      </w:r>
      <w:r>
        <w:t xml:space="preserve"> </w:t>
      </w:r>
      <w:r>
        <w:rPr>
          <w:rStyle w:val="VerbatimChar"/>
        </w:rPr>
        <w:t xml:space="preserve">Fluency</w:t>
      </w:r>
      <w:r>
        <w:t xml:space="preserve">.</w:t>
      </w:r>
    </w:p>
    <w:bookmarkEnd w:id="124"/>
    <w:bookmarkStart w:id="126"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19</w:t>
        </w:r>
      </w:hyperlink>
      <w:r>
        <w:t xml:space="preserve"> </w:t>
      </w:r>
      <w:r>
        <w:t xml:space="preserve">also includes an overall phi component. When we first fit the model we did not allow fluency to vary on this parameter, but we can easily do this–seen below.</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25" w:name="tbl-phi-ordbeta"/>
    <w:p>
      <w:pPr>
        <w:pStyle w:val="FigureTitle"/>
      </w:pPr>
      <w:r>
        <w:t xml:space="preserve">Table 20</w:t>
      </w:r>
    </w:p>
    <w:p>
      <w:pPr>
        <w:pStyle w:val="Caption"/>
      </w:pPr>
      <w:r>
        <w:t xml:space="preserve">Regression coefficients for ordered beta regression with disperison for fluency (</w:t>
      </w:r>
      <w:r>
        <w:rPr>
          <w:rStyle w:val="VerbatimChar"/>
        </w:rPr>
        <w:t xml:space="preserve">m_phi</w:t>
      </w:r>
      <w:r>
        <w:t xml:space="preserve"> </w:t>
      </w:r>
      <w:r>
        <w:t xml:space="preserve">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-0.603</w:t>
            </w:r>
          </w:p>
        </w:tc>
        <w:tc>
          <w:tcPr/>
          <w:p>
            <w:pPr>
              <w:pStyle w:val="Compact"/>
            </w:pPr>
            <w:r>
              <w:t xml:space="preserve">[-0.815, -0.377]</w:t>
            </w:r>
          </w:p>
        </w:tc>
        <w:tc>
          <w:tcPr/>
          <w:p>
            <w:pPr>
              <w:pStyle w:val="Compact"/>
            </w:pPr>
            <w:r>
              <w:t xml:space="preserve">1</w:t>
            </w:r>
          </w:p>
        </w:tc>
      </w:tr>
      <w:tr>
        <w:tc>
          <w:tcPr/>
          <w:p>
            <w:pPr>
              <w:pStyle w:val="Compact"/>
            </w:pPr>
            <w:r>
              <w:t xml:space="preserve">b_phi_Intercept</w:t>
            </w:r>
          </w:p>
        </w:tc>
        <w:tc>
          <w:tcPr/>
          <w:p>
            <w:pPr>
              <w:pStyle w:val="Compact"/>
            </w:pPr>
            <w:r>
              <w:t xml:space="preserve">2.021</w:t>
            </w:r>
          </w:p>
        </w:tc>
        <w:tc>
          <w:tcPr/>
          <w:p>
            <w:pPr>
              <w:pStyle w:val="Compact"/>
            </w:pPr>
            <w:r>
              <w:t xml:space="preserve">[1.585, 2.417]</w:t>
            </w:r>
          </w:p>
        </w:tc>
        <w:tc>
          <w:tcPr/>
          <w:p>
            <w:pPr>
              <w:pStyle w:val="Compact"/>
            </w:pPr>
            <w:r>
              <w:t xml:space="preserve">1</w:t>
            </w:r>
          </w:p>
        </w:tc>
      </w:tr>
      <w:tr>
        <w:tc>
          <w:tcPr/>
          <w:p>
            <w:pPr>
              <w:pStyle w:val="Compact"/>
            </w:pPr>
            <w:r>
              <w:t xml:space="preserve">b_Fluency_dummy1</w:t>
            </w:r>
          </w:p>
        </w:tc>
        <w:tc>
          <w:tcPr/>
          <w:p>
            <w:pPr>
              <w:pStyle w:val="Compact"/>
            </w:pPr>
            <w:r>
              <w:t xml:space="preserve">-0.262</w:t>
            </w:r>
          </w:p>
        </w:tc>
        <w:tc>
          <w:tcPr/>
          <w:p>
            <w:pPr>
              <w:pStyle w:val="Compact"/>
            </w:pPr>
            <w:r>
              <w:t xml:space="preserve">[-0.599, 0.084]</w:t>
            </w:r>
          </w:p>
        </w:tc>
        <w:tc>
          <w:tcPr/>
          <w:p>
            <w:pPr>
              <w:pStyle w:val="Compact"/>
            </w:pPr>
            <w:r>
              <w:t xml:space="preserve">0.936</w:t>
            </w:r>
          </w:p>
        </w:tc>
      </w:tr>
      <w:tr>
        <w:tc>
          <w:tcPr/>
          <w:p>
            <w:pPr>
              <w:pStyle w:val="Compact"/>
            </w:pPr>
            <w:r>
              <w:t xml:space="preserve">b_phi_Fluency_dummy1</w:t>
            </w:r>
          </w:p>
        </w:tc>
        <w:tc>
          <w:tcPr/>
          <w:p>
            <w:pPr>
              <w:pStyle w:val="Compact"/>
            </w:pPr>
            <w:r>
              <w:t xml:space="preserve">-0.4</w:t>
            </w:r>
          </w:p>
        </w:tc>
        <w:tc>
          <w:tcPr/>
          <w:p>
            <w:pPr>
              <w:pStyle w:val="Compact"/>
            </w:pPr>
            <w:r>
              <w:t xml:space="preserve">[-0.98, 0.175]</w:t>
            </w:r>
          </w:p>
        </w:tc>
        <w:tc>
          <w:tcPr/>
          <w:p>
            <w:pPr>
              <w:pStyle w:val="Compact"/>
            </w:pPr>
            <w:r>
              <w:t xml:space="preserve">0.909</w:t>
            </w:r>
          </w:p>
        </w:tc>
      </w:tr>
    </w:tbl>
    <w:bookmarkEnd w:id="125"/>
    <w:p>
      <w:pPr>
        <w:pStyle w:val="AfterWithoutNote"/>
      </w:pPr>
      <w:r>
        <w:t xml:space="preserve">In</w:t>
      </w:r>
      <w:r>
        <w:t xml:space="preserve"> </w:t>
      </w:r>
      <w:hyperlink w:anchor="tbl-phi-ordbeta">
        <w:r>
          <w:rPr>
            <w:rStyle w:val="Hyperlink"/>
          </w:rPr>
          <w:t xml:space="preserve">Table 20</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 Looking at are</w:t>
      </w:r>
      <w:r>
        <w:t xml:space="preserve"> </w:t>
      </w:r>
      <m:oMath>
        <m:r>
          <m:t>μ</m:t>
        </m:r>
      </m:oMath>
      <w:r>
        <w:t xml:space="preserve"> </w:t>
      </w:r>
      <w:r>
        <w:t xml:space="preserve">we see that the 95% CrI includes zero, indicating no effect for fluency.</w:t>
      </w:r>
    </w:p>
    <w:bookmarkEnd w:id="126"/>
    <w:bookmarkStart w:id="128"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27" w:name="tbl-cutpoints"/>
    <w:p>
      <w:pPr>
        <w:pStyle w:val="FigureTitle"/>
      </w:pPr>
      <w:r>
        <w:t xml:space="preserve">Table 21</w:t>
      </w:r>
    </w:p>
    <w:p>
      <w:pPr>
        <w:pStyle w:val="Caption"/>
      </w:pPr>
      <w:r>
        <w:t xml:space="preserve">Cutzero and cutone parameter summary</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-2.97</w:t>
            </w:r>
          </w:p>
        </w:tc>
        <w:tc>
          <w:tcPr/>
          <w:p>
            <w:pPr>
              <w:pStyle w:val="Compact"/>
            </w:pPr>
            <w:r>
              <w:t xml:space="preserve">[-3.56, -2.43]</w:t>
            </w:r>
          </w:p>
        </w:tc>
      </w:tr>
      <w:tr>
        <w:tc>
          <w:tcPr/>
          <w:p>
            <w:pPr>
              <w:pStyle w:val="Compact"/>
            </w:pPr>
            <w:r>
              <w:t xml:space="preserve">cutone</w:t>
            </w:r>
          </w:p>
        </w:tc>
        <w:tc>
          <w:tcPr/>
          <w:p>
            <w:pPr>
              <w:pStyle w:val="Compact"/>
            </w:pPr>
            <w:r>
              <w:t xml:space="preserve">1.85</w:t>
            </w:r>
          </w:p>
        </w:tc>
        <w:tc>
          <w:tcPr/>
          <w:p>
            <w:pPr>
              <w:pStyle w:val="Compact"/>
            </w:pPr>
            <w:r>
              <w:t xml:space="preserve">[1.65, 2.07]</w:t>
            </w:r>
          </w:p>
        </w:tc>
      </w:tr>
    </w:tbl>
    <w:bookmarkEnd w:id="127"/>
    <w:p>
      <w:pPr>
        <w:pStyle w:val="AfterWithoutNote"/>
      </w:pPr>
      <w:r>
        <w:t xml:space="preserve">In</w:t>
      </w:r>
      <w:r>
        <w:t xml:space="preserve"> </w:t>
      </w:r>
      <w:hyperlink w:anchor="tbl-cutpoints">
        <w:r>
          <w:rPr>
            <w:rStyle w:val="Hyperlink"/>
          </w:rPr>
          <w:t xml:space="preserve">Table 21</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28"/>
    <w:bookmarkStart w:id="139"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VerbatimChar"/>
        </w:rPr>
        <w:t xml:space="preserve">$discrete</w:t>
      </w:r>
    </w:p>
    <w:p>
      <w:pPr>
        <w:pStyle w:val="FirstParagraph"/>
      </w:pPr>
      <w:r>
        <w:drawing>
          <wp:inline>
            <wp:extent cx="5943600" cy="2971800"/>
            <wp:effectExtent b="0" l="0" r="0" t="0"/>
            <wp:docPr descr="" title="" id="130" name="Picture"/>
            <a:graphic>
              <a:graphicData uri="http://schemas.openxmlformats.org/drawingml/2006/picture">
                <pic:pic>
                  <pic:nvPicPr>
                    <pic:cNvPr descr="ms_files/figure-docx/unnamed-chunk-13-1.png" id="131" name="Picture"/>
                    <pic:cNvPicPr>
                      <a:picLocks noChangeArrowheads="1" noChangeAspect="1"/>
                    </pic:cNvPicPr>
                  </pic:nvPicPr>
                  <pic:blipFill>
                    <a:blip r:embed="rId129"/>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2971800"/>
            <wp:effectExtent b="0" l="0" r="0" t="0"/>
            <wp:docPr descr="" title="" id="133" name="Picture"/>
            <a:graphic>
              <a:graphicData uri="http://schemas.openxmlformats.org/drawingml/2006/picture">
                <pic:pic>
                  <pic:nvPicPr>
                    <pic:cNvPr descr="ms_files/figure-docx/unnamed-chunk-13-2.png" id="134"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9</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38" w:name="fig-heiss"/>
    <w:p>
      <w:pPr>
        <w:pStyle w:val="FigureTitle"/>
      </w:pPr>
      <w:r>
        <w:t xml:space="preserve">Figure 9</w:t>
      </w:r>
    </w:p>
    <w:p>
      <w:pPr>
        <w:pStyle w:val="Caption"/>
      </w:pPr>
      <w:r>
        <w:t xml:space="preserve">Heiss Plot of Predicted Probablities across the scale (0-100)</w:t>
      </w:r>
    </w:p>
    <w:p>
      <w:pPr>
        <w:pStyle w:val="FigureWithoutNote"/>
      </w:pPr>
      <w:r>
        <w:drawing>
          <wp:inline>
            <wp:extent cx="5943600" cy="2971800"/>
            <wp:effectExtent b="0" l="0" r="0" t="0"/>
            <wp:docPr descr="" title="" id="136" name="Picture"/>
            <a:graphic>
              <a:graphicData uri="http://schemas.openxmlformats.org/drawingml/2006/picture">
                <pic:pic>
                  <pic:nvPicPr>
                    <pic:cNvPr descr="ms_files/figure-docx/fig-heiss-1.png" id="137" name="Picture"/>
                    <pic:cNvPicPr>
                      <a:picLocks noChangeArrowheads="1" noChangeAspect="1"/>
                    </pic:cNvPicPr>
                  </pic:nvPicPr>
                  <pic:blipFill>
                    <a:blip r:embed="rId135"/>
                    <a:stretch>
                      <a:fillRect/>
                    </a:stretch>
                  </pic:blipFill>
                  <pic:spPr bwMode="auto">
                    <a:xfrm>
                      <a:off x="0" y="0"/>
                      <a:ext cx="5943600" cy="2971800"/>
                    </a:xfrm>
                    <a:prstGeom prst="rect">
                      <a:avLst/>
                    </a:prstGeom>
                    <a:noFill/>
                    <a:ln w="9525">
                      <a:noFill/>
                      <a:headEnd/>
                      <a:tailEnd/>
                    </a:ln>
                  </pic:spPr>
                </pic:pic>
              </a:graphicData>
            </a:graphic>
          </wp:inline>
        </w:drawing>
      </w:r>
    </w:p>
    <w:bookmarkEnd w:id="138"/>
    <w:bookmarkEnd w:id="139"/>
    <w:bookmarkStart w:id="140"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0"/>
    <w:bookmarkEnd w:id="141"/>
    <w:bookmarkEnd w:id="142"/>
    <w:bookmarkStart w:id="225"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hyperlink w:anchor="ref-glmmTMB">
        <w:r>
          <w:rPr>
            <w:rStyle w:val="Hyperlink"/>
          </w:rPr>
          <w:t xml:space="preserve">Brooks et al., 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3"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3"/>
    <w:bookmarkStart w:id="224" w:name="references"/>
    <w:p>
      <w:pPr>
        <w:pStyle w:val="Heading2"/>
      </w:pPr>
      <w:r>
        <w:t xml:space="preserve">References</w:t>
      </w:r>
    </w:p>
    <w:bookmarkStart w:id="223" w:name="refs"/>
    <w:bookmarkStart w:id="145" w:name="ref-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144">
        <w:r>
          <w:rPr>
            <w:rStyle w:val="Hyperlink"/>
          </w:rPr>
          <w:t xml:space="preserve">https://CRAN.R-project.org/package=marginaleffects</w:t>
        </w:r>
      </w:hyperlink>
    </w:p>
    <w:bookmarkEnd w:id="145"/>
    <w:bookmarkStart w:id="147"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6">
        <w:r>
          <w:rPr>
            <w:rStyle w:val="Hyperlink"/>
          </w:rPr>
          <w:t xml:space="preserve">https://doi.org/10.18637/jss.v111.i09</w:t>
        </w:r>
      </w:hyperlink>
    </w:p>
    <w:bookmarkEnd w:id="147"/>
    <w:bookmarkStart w:id="149"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48">
        <w:r>
          <w:rPr>
            <w:rStyle w:val="Hyperlink"/>
          </w:rPr>
          <w:t xml:space="preserve">https://doi.org/10.2307/2983678</w:t>
        </w:r>
      </w:hyperlink>
    </w:p>
    <w:bookmarkEnd w:id="149"/>
    <w:bookmarkStart w:id="151"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0">
        <w:r>
          <w:rPr>
            <w:rStyle w:val="Hyperlink"/>
          </w:rPr>
          <w:t xml:space="preserve">https://doi.org/10.1037/met0000553</w:t>
        </w:r>
      </w:hyperlink>
    </w:p>
    <w:bookmarkEnd w:id="151"/>
    <w:bookmarkStart w:id="153"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2">
        <w:r>
          <w:rPr>
            <w:rStyle w:val="Hyperlink"/>
          </w:rPr>
          <w:t xml:space="preserve">https://doi.org/10.32614/RJ-2017-066</w:t>
        </w:r>
      </w:hyperlink>
    </w:p>
    <w:bookmarkEnd w:id="153"/>
    <w:bookmarkStart w:id="155"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4">
        <w:r>
          <w:rPr>
            <w:rStyle w:val="Hyperlink"/>
          </w:rPr>
          <w:t xml:space="preserve">https://doi.org/10.18637/jss.v080.i01</w:t>
        </w:r>
      </w:hyperlink>
    </w:p>
    <w:bookmarkEnd w:id="155"/>
    <w:bookmarkStart w:id="157"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6">
        <w:r>
          <w:rPr>
            <w:rStyle w:val="Hyperlink"/>
          </w:rPr>
          <w:t xml:space="preserve">https://doi.org/10.1177/2515245918823199</w:t>
        </w:r>
      </w:hyperlink>
    </w:p>
    <w:bookmarkEnd w:id="157"/>
    <w:bookmarkStart w:id="159"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58">
        <w:r>
          <w:rPr>
            <w:rStyle w:val="Hyperlink"/>
          </w:rPr>
          <w:t xml:space="preserve">https://doi.org/10.3758/s13423-013-0442-z</w:t>
        </w:r>
      </w:hyperlink>
    </w:p>
    <w:bookmarkEnd w:id="159"/>
    <w:bookmarkStart w:id="161"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0">
        <w:r>
          <w:rPr>
            <w:rStyle w:val="Hyperlink"/>
          </w:rPr>
          <w:t xml:space="preserve">https://doi.org/10.31219/osf.io/f9rqg_v1</w:t>
        </w:r>
      </w:hyperlink>
      <w:r>
        <w:t xml:space="preserve">.</w:t>
      </w:r>
    </w:p>
    <w:bookmarkEnd w:id="161"/>
    <w:bookmarkStart w:id="163"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2">
        <w:r>
          <w:rPr>
            <w:rStyle w:val="Hyperlink"/>
          </w:rPr>
          <w:t xml:space="preserve">https://doi.org/10.18637/jss.v034.i02</w:t>
        </w:r>
      </w:hyperlink>
    </w:p>
    <w:bookmarkEnd w:id="163"/>
    <w:bookmarkStart w:id="165"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4">
        <w:r>
          <w:rPr>
            <w:rStyle w:val="Hyperlink"/>
          </w:rPr>
          <w:t xml:space="preserve">https://nixos.org/</w:t>
        </w:r>
      </w:hyperlink>
    </w:p>
    <w:bookmarkEnd w:id="165"/>
    <w:bookmarkStart w:id="167"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6">
        <w:r>
          <w:rPr>
            <w:rStyle w:val="Hyperlink"/>
          </w:rPr>
          <w:t xml:space="preserve">https://doi.org/10.1080/0266476042000214501</w:t>
        </w:r>
      </w:hyperlink>
    </w:p>
    <w:bookmarkEnd w:id="167"/>
    <w:bookmarkStart w:id="169"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68">
        <w:r>
          <w:rPr>
            <w:rStyle w:val="Hyperlink"/>
          </w:rPr>
          <w:t xml:space="preserve">https://doi.org/10.1007/s11121-021-01302-y</w:t>
        </w:r>
      </w:hyperlink>
    </w:p>
    <w:bookmarkEnd w:id="169"/>
    <w:bookmarkStart w:id="171"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0">
        <w:r>
          <w:rPr>
            <w:rStyle w:val="Hyperlink"/>
          </w:rPr>
          <w:t xml:space="preserve">https://mc-stan.org/cmdstanr/</w:t>
        </w:r>
      </w:hyperlink>
    </w:p>
    <w:bookmarkEnd w:id="171"/>
    <w:bookmarkStart w:id="173"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2">
        <w:r>
          <w:rPr>
            <w:rStyle w:val="Hyperlink"/>
          </w:rPr>
          <w:t xml:space="preserve">https://stat.columbia.edu/~gelman/book/</w:t>
        </w:r>
      </w:hyperlink>
    </w:p>
    <w:bookmarkEnd w:id="173"/>
    <w:bookmarkStart w:id="175"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4">
        <w:r>
          <w:rPr>
            <w:rStyle w:val="Hyperlink"/>
          </w:rPr>
          <w:t xml:space="preserve">http://dx.doi.org/10.59350/7p1a4-0tw75</w:t>
        </w:r>
      </w:hyperlink>
    </w:p>
    <w:bookmarkEnd w:id="175"/>
    <w:bookmarkStart w:id="176"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6"/>
    <w:bookmarkStart w:id="178"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77">
        <w:r>
          <w:rPr>
            <w:rStyle w:val="Hyperlink"/>
          </w:rPr>
          <w:t xml:space="preserve">https://doi.org/10.1016/j.wocn.2016.08.006</w:t>
        </w:r>
      </w:hyperlink>
    </w:p>
    <w:bookmarkEnd w:id="178"/>
    <w:bookmarkStart w:id="180"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79">
        <w:r>
          <w:rPr>
            <w:rStyle w:val="Hyperlink"/>
          </w:rPr>
          <w:t xml:space="preserve">https://doi.org/10.1017/pan.2022.20</w:t>
        </w:r>
      </w:hyperlink>
    </w:p>
    <w:bookmarkEnd w:id="180"/>
    <w:bookmarkStart w:id="182"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1">
        <w:r>
          <w:rPr>
            <w:rStyle w:val="Hyperlink"/>
          </w:rPr>
          <w:t xml:space="preserve">https://CRAN.R-project.org/package=ordbetareg</w:t>
        </w:r>
      </w:hyperlink>
    </w:p>
    <w:bookmarkEnd w:id="182"/>
    <w:bookmarkStart w:id="184"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3">
        <w:r>
          <w:rPr>
            <w:rStyle w:val="Hyperlink"/>
          </w:rPr>
          <w:t xml:space="preserve">https://doi.org/10.21105/joss.00772</w:t>
        </w:r>
      </w:hyperlink>
    </w:p>
    <w:bookmarkEnd w:id="184"/>
    <w:bookmarkStart w:id="18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5">
        <w:r>
          <w:rPr>
            <w:rStyle w:val="Hyperlink"/>
          </w:rPr>
          <w:t xml:space="preserve">https://easystats.github.io/easystats/</w:t>
        </w:r>
      </w:hyperlink>
    </w:p>
    <w:bookmarkEnd w:id="186"/>
    <w:bookmarkStart w:id="188"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87">
        <w:r>
          <w:rPr>
            <w:rStyle w:val="Hyperlink"/>
          </w:rPr>
          <w:t xml:space="preserve">https://doi.org/10.3389/fpsyg.2019.02767</w:t>
        </w:r>
      </w:hyperlink>
    </w:p>
    <w:bookmarkEnd w:id="188"/>
    <w:bookmarkStart w:id="190"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89">
        <w:r>
          <w:rPr>
            <w:rStyle w:val="Hyperlink"/>
          </w:rPr>
          <w:t xml:space="preserve">https://doi.org/10.21105/joss.01541</w:t>
        </w:r>
      </w:hyperlink>
    </w:p>
    <w:bookmarkEnd w:id="190"/>
    <w:bookmarkStart w:id="192"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1">
        <w:r>
          <w:rPr>
            <w:rStyle w:val="Hyperlink"/>
          </w:rPr>
          <w:t xml:space="preserve">https://doi.org/10.1098/rsos.231713</w:t>
        </w:r>
      </w:hyperlink>
    </w:p>
    <w:bookmarkEnd w:id="192"/>
    <w:bookmarkStart w:id="194"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3">
        <w:r>
          <w:rPr>
            <w:rStyle w:val="Hyperlink"/>
          </w:rPr>
          <w:t xml:space="preserve">https://doi.org/10.1201/9780429029608</w:t>
        </w:r>
      </w:hyperlink>
    </w:p>
    <w:bookmarkEnd w:id="194"/>
    <w:bookmarkStart w:id="196"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5">
        <w:r>
          <w:rPr>
            <w:rStyle w:val="Hyperlink"/>
          </w:rPr>
          <w:t xml:space="preserve">https://doi.org/10.2307/2344614</w:t>
        </w:r>
      </w:hyperlink>
    </w:p>
    <w:bookmarkEnd w:id="196"/>
    <w:bookmarkStart w:id="198"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197">
        <w:r>
          <w:rPr>
            <w:rStyle w:val="Hyperlink"/>
          </w:rPr>
          <w:t xml:space="preserve">https://www.sciencedirect.com/science/article/pii/S0048969723041505</w:t>
        </w:r>
      </w:hyperlink>
    </w:p>
    <w:bookmarkEnd w:id="198"/>
    <w:bookmarkStart w:id="200"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199">
        <w:r>
          <w:rPr>
            <w:rStyle w:val="Hyperlink"/>
          </w:rPr>
          <w:t xml:space="preserve">https://doi.org/10.1093/oxfordjournals.pan.a004873</w:t>
        </w:r>
      </w:hyperlink>
    </w:p>
    <w:bookmarkEnd w:id="200"/>
    <w:bookmarkStart w:id="202"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1">
        <w:r>
          <w:rPr>
            <w:rStyle w:val="Hyperlink"/>
          </w:rPr>
          <w:t xml:space="preserve">https://www.R-project.org/</w:t>
        </w:r>
      </w:hyperlink>
    </w:p>
    <w:bookmarkEnd w:id="202"/>
    <w:bookmarkStart w:id="20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3">
        <w:r>
          <w:rPr>
            <w:rStyle w:val="Hyperlink"/>
          </w:rPr>
          <w:t xml:space="preserve">https://docs.ropensci.org/rix/</w:t>
        </w:r>
      </w:hyperlink>
    </w:p>
    <w:bookmarkEnd w:id="204"/>
    <w:bookmarkStart w:id="206"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5">
        <w:r>
          <w:rPr>
            <w:rStyle w:val="Hyperlink"/>
          </w:rPr>
          <w:t xml:space="preserve">https://doi.org/10.1177/08902070241239834</w:t>
        </w:r>
      </w:hyperlink>
    </w:p>
    <w:bookmarkEnd w:id="206"/>
    <w:bookmarkStart w:id="208"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07">
        <w:r>
          <w:rPr>
            <w:rStyle w:val="Hyperlink"/>
          </w:rPr>
          <w:t xml:space="preserve">https://doi.org/10.31234/osf.io/4rznt</w:t>
        </w:r>
      </w:hyperlink>
    </w:p>
    <w:bookmarkEnd w:id="208"/>
    <w:bookmarkStart w:id="210"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09">
        <w:r>
          <w:rPr>
            <w:rStyle w:val="Hyperlink"/>
          </w:rPr>
          <w:t xml:space="preserve">https://doi.org/10.1001/jamanetworkopen.2023.53401</w:t>
        </w:r>
      </w:hyperlink>
    </w:p>
    <w:bookmarkEnd w:id="210"/>
    <w:bookmarkStart w:id="212"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1">
        <w:r>
          <w:rPr>
            <w:rStyle w:val="Hyperlink"/>
          </w:rPr>
          <w:t xml:space="preserve">https://mc-stan.org</w:t>
        </w:r>
      </w:hyperlink>
    </w:p>
    <w:bookmarkEnd w:id="212"/>
    <w:bookmarkStart w:id="214"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3">
        <w:r>
          <w:rPr>
            <w:rStyle w:val="Hyperlink"/>
          </w:rPr>
          <w:t xml:space="preserve">https://doi.org/10.1007/s11409-017-9175-0</w:t>
        </w:r>
      </w:hyperlink>
    </w:p>
    <w:bookmarkEnd w:id="214"/>
    <w:bookmarkStart w:id="216"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5">
        <w:r>
          <w:rPr>
            <w:rStyle w:val="Hyperlink"/>
          </w:rPr>
          <w:t xml:space="preserve">https://vuorre.com/posts/2019-02-18-analyze-analog-scale-ratings-with-zero-one-inflated-beta-models</w:t>
        </w:r>
      </w:hyperlink>
    </w:p>
    <w:bookmarkEnd w:id="216"/>
    <w:bookmarkStart w:id="218"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17">
        <w:r>
          <w:rPr>
            <w:rStyle w:val="Hyperlink"/>
          </w:rPr>
          <w:t xml:space="preserve">https://doi.org/10.1002/acp.3724</w:t>
        </w:r>
      </w:hyperlink>
    </w:p>
    <w:bookmarkEnd w:id="218"/>
    <w:bookmarkStart w:id="220"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19">
        <w:r>
          <w:rPr>
            <w:rStyle w:val="Hyperlink"/>
          </w:rPr>
          <w:t xml:space="preserve">https://doi.org/10.1111/gcb.17422</w:t>
        </w:r>
      </w:hyperlink>
    </w:p>
    <w:bookmarkEnd w:id="220"/>
    <w:bookmarkStart w:id="222"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1">
        <w:r>
          <w:rPr>
            <w:rStyle w:val="Hyperlink"/>
          </w:rPr>
          <w:t xml:space="preserve">https://doi.org/10.1037/mac0000003</w:t>
        </w:r>
      </w:hyperlink>
    </w:p>
    <w:bookmarkEnd w:id="222"/>
    <w:bookmarkEnd w:id="223"/>
    <w:bookmarkEnd w:id="224"/>
    <w:bookmarkEnd w:id="22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footnote>
  <w:footnote w:id="56">
    <w:p>
      <w:pPr>
        <w:pStyle w:val="FootnoteText"/>
      </w:pPr>
      <w:r>
        <w:rPr>
          <w:rStyle w:val="FootnoteReference"/>
        </w:rPr>
        <w:footnoteRef/>
      </w:r>
      <w:r>
        <w:t xml:space="preserve"> </w:t>
      </w:r>
      <w:r>
        <w:t xml:space="preserve">See an example of the fluent video here:</w:t>
      </w:r>
      <w:r>
        <w:t xml:space="preserve"> </w:t>
      </w:r>
      <w:hyperlink r:id="rId57">
        <w:r>
          <w:rPr>
            <w:rStyle w:val="Hyperlink"/>
          </w:rPr>
          <w:t xml:space="preserve">https://osf.io/hwzuk</w:t>
        </w:r>
      </w:hyperlink>
      <w:r>
        <w:t xml:space="preserve">. See an example of the disfluent video here:</w:t>
      </w:r>
      <w:r>
        <w:t xml:space="preserve"> </w:t>
      </w:r>
      <w:hyperlink r:id="rId58">
        <w:r>
          <w:rPr>
            <w:rStyle w:val="Hyperlink"/>
          </w:rPr>
          <w:t xml:space="preserve">https://osf.io/ra7be</w:t>
        </w:r>
      </w:hyperlink>
      <w:r>
        <w:t xml:space="preserve">.</w:t>
      </w:r>
    </w:p>
  </w:footnote>
  <w:footnote w:id="77">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1">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5">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135" Target="media/rId135.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9" Target="media/rId109.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hyperlink" Id="rId174" Target="http://dx.doi.org/10.59350/7p1a4-0tw75" TargetMode="External" /><Relationship Type="http://schemas.openxmlformats.org/officeDocument/2006/relationships/hyperlink" Id="rId144" Target="https://CRAN.R-project.org/package=marginaleffects" TargetMode="External" /><Relationship Type="http://schemas.openxmlformats.org/officeDocument/2006/relationships/hyperlink" Id="rId181" Target="https://CRAN.R-project.org/package=ordbetareg"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7"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1" Target="https://doi.org/10.1037/mac0000003" TargetMode="External" /><Relationship Type="http://schemas.openxmlformats.org/officeDocument/2006/relationships/hyperlink" Id="rId150"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19"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6"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48"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52" Target="https://doi.org/10.32614/RJ-2017-066"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0"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5" Target="https://osf.io/6tyn4/" TargetMode="External" /><Relationship Type="http://schemas.openxmlformats.org/officeDocument/2006/relationships/hyperlink" Id="rId57" Target="https://osf.io/hwzuk" TargetMode="External" /><Relationship Type="http://schemas.openxmlformats.org/officeDocument/2006/relationships/hyperlink" Id="rId58" Target="https://osf.io/ra7be" TargetMode="External" /><Relationship Type="http://schemas.openxmlformats.org/officeDocument/2006/relationships/hyperlink" Id="rId65"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6"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8"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4" Target="http://dx.doi.org/10.59350/7p1a4-0tw75" TargetMode="External" /><Relationship Type="http://schemas.openxmlformats.org/officeDocument/2006/relationships/hyperlink" Id="rId144" Target="https://CRAN.R-project.org/package=marginaleffects" TargetMode="External" /><Relationship Type="http://schemas.openxmlformats.org/officeDocument/2006/relationships/hyperlink" Id="rId181" Target="https://CRAN.R-project.org/package=ordbetareg"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7"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1" Target="https://doi.org/10.1037/mac0000003" TargetMode="External" /><Relationship Type="http://schemas.openxmlformats.org/officeDocument/2006/relationships/hyperlink" Id="rId150"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19"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6"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48"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52" Target="https://doi.org/10.32614/RJ-2017-066"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0"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5" Target="https://osf.io/6tyn4/" TargetMode="External" /><Relationship Type="http://schemas.openxmlformats.org/officeDocument/2006/relationships/hyperlink" Id="rId57" Target="https://osf.io/hwzuk" TargetMode="External" /><Relationship Type="http://schemas.openxmlformats.org/officeDocument/2006/relationships/hyperlink" Id="rId58" Target="https://osf.io/ra7be" TargetMode="External" /><Relationship Type="http://schemas.openxmlformats.org/officeDocument/2006/relationships/hyperlink" Id="rId65"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6"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8"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beta distribution,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 brms and how to interpret results using the marginaleffects package. We also discuss model extensions, including zero-inflated, zero- and one-inflated, and ordered beta models. To promote wider adoption of these methods, we provide detailed code and materials at https://github.com/jgeller112/beta_regression_tutorial.</vt:lpwstr>
  </property>
  <property fmtid="{D5CDD505-2E9C-101B-9397-08002B2CF9AE}" pid="5" name="apaauthor">
    <vt:lpwstr/>
  </property>
  <property fmtid="{D5CDD505-2E9C-101B-9397-08002B2CF9AE}" pid="6" name="apatitle">
    <vt:lpwstr>A Beta Way: A Tutorial For Using Beta Regression in Psychological Research</vt:lpwstr>
  </property>
  <property fmtid="{D5CDD505-2E9C-101B-9397-08002B2CF9AE}" pid="7" name="apatitledisplay">
    <vt:lpwstr>A Beta Way: A Tutorial For Using Beta Regression in Psychological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8799</vt:lpwstr>
  </property>
  <property fmtid="{D5CDD505-2E9C-101B-9397-08002B2CF9AE}" pid="63" name="zerocitations">
    <vt:lpwstr>False</vt:lpwstr>
  </property>
</Properties>
</file>