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21.svg" ContentType="image/svg+xml"/>
  <Override PartName="/word/media/rId48.png" ContentType="image/png"/>
  <Override PartName="/word/media/rId44.png" ContentType="image/png"/>
  <Override PartName="/word/media/rId86.png" ContentType="image/png"/>
  <Override PartName="/word/media/rId58.png" ContentType="image/png"/>
  <Override PartName="/word/media/rId139.png" ContentType="image/png"/>
  <Override PartName="/word/media/rId70.png" ContentType="image/png"/>
  <Override PartName="/word/media/rId82.png" ContentType="image/png"/>
  <Override PartName="/word/media/rId94.png" ContentType="image/png"/>
  <Override PartName="/word/media/rId99.png" ContentType="image/png"/>
  <Override PartName="/word/media/rId74.png" ContentType="image/png"/>
  <Override PartName="/word/media/rId135.png" ContentType="image/png"/>
  <Override PartName="/word/media/rId105.png" ContentType="image/png"/>
  <Override PartName="/word/media/rId113.png" ContentType="image/png"/>
  <Override PartName="/word/media/rId1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and formal analysis. </w:t>
      </w:r>
      <w:r>
        <w:rPr>
          <w:i/>
          <w:iCs/>
        </w:rPr>
        <w:t xml:space="preserve">Robert Kubinec</w:t>
      </w:r>
      <w:r>
        <w:rPr>
          <w:b/>
          <w:bCs/>
        </w:rPr>
        <w:t xml:space="preserve">: </w:t>
      </w:r>
      <w:r>
        <w:t xml:space="preserve">writing – original draft, writing – review &amp; editing, and formal analysis. </w:t>
      </w:r>
      <w:r>
        <w:rPr>
          <w:i/>
          <w:iCs/>
        </w:rPr>
        <w:t xml:space="preserve">Chelsea M. Parlett Pelleriti</w:t>
      </w:r>
      <w:r>
        <w:rPr>
          <w:b/>
          <w:bCs/>
        </w:rPr>
        <w:t xml:space="preserve">: </w:t>
      </w:r>
      <w:r>
        <w:t xml:space="preserve">writing – original draft, writing – review &amp; editing, and formal analysis. </w:t>
      </w:r>
      <w:r>
        <w:rPr>
          <w:i/>
          <w:iCs/>
        </w:rPr>
        <w:t xml:space="preserve">Matti Vuorre</w:t>
      </w:r>
      <w:r>
        <w:rPr>
          <w:b/>
          <w:bCs/>
        </w:rPr>
        <w:t xml:space="preserve">: </w:t>
      </w:r>
      <w:r>
        <w:t xml:space="preserve">writing – original draft, writing – review &amp; editing,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9963</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 how should proportional data like this be analyzed? In psychology, such outcomes are often analyzed using models from the general linear model (GLM) or generalized linear model (GLiM) frameworks. GLMs — including t-tests, ANOVAs, and linear regression — assume the outcome is normally distributed, unbounded, and exhibits constant variance. However, these assumptions are frequently violated when working with proportional data, which are bounded between 0 and 1 and tend to show non-constant variance, especially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This can lead to biased estimates and invalid inferences, making general linear models an unsuitable choice for analyzing proportions.</w:t>
      </w:r>
    </w:p>
    <w:p>
      <w:pPr>
        <w:pStyle w:val="BodyText"/>
      </w:pPr>
      <w:r>
        <w:t xml:space="preserve">Another option are GLiMs, which extend the linear model framework to accommodate non-normal outcome distributions and different link functions. For example, binomial or Bernoulli models with a logit link (commonly referred to as logistic regression)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alternative approaches address the limitations of commonly used models. One such approach is Beta regression, an extension of the GLiM that employs the Beta distribution (described in-depth below)</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a vibrant community of package developers, analyses such as Beta regression have become increasingly accessible. Yet, adoption of these methods—particularly in psychology—remains limited. One reason may be the lack of resources tailored to the needs of psychologists. Although recent years have seen a surge of interest in Beta regression with excellent tutorials and guides</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introduced Beta regression, most have been limited in scope—focusing either on the basic model or offering only brief mentions of more complex alternatives. This tutorial aims to fill that gap by offering a comprehensive and practical overview of Beta regression and its extensions. In addition to covering the standard Beta model, we walk through advanced variants such as zero-inflated, zero-one-inflated, and ordered Beta regression. These models are critical for researchers dealing with boundary values (e.g., exact 0s or 1s) or ordinal response structures, yet they remain underutilized in psychology.</w:t>
      </w:r>
    </w:p>
    <w:p>
      <w:pPr>
        <w:pStyle w:val="BodyText"/>
      </w:pPr>
      <w:r>
        <w:t xml:space="preserve">Beyond model specification, we place strong emphasis on interpreting results on the response scale—that is, in terms of predicted probabilities and proportions—rather than relying solely on log-odds or latent parameters. This focus makes the models more accessible and meaningful for psychological applications, where effect sizes are often easier to communicate when framed in terms of expected outcomes (e.g., changes in recall accuracy or task performance). Throughout, we provide reproducible code and annotated examples to help readers implement and interpret these models in their own work</w:t>
      </w:r>
    </w:p>
    <w:p>
      <w:pPr>
        <w:pStyle w:val="BodyText"/>
      </w:pPr>
      <w:r>
        <w:t xml:space="preserve">In this tutorial, we provide a comprehensive and accessible introduction to Beta regression for psychological research. We begin with a non-technical overview of the Beta distribution and its core parameters, laying the foundation for understanding how the model works. We then walk through the process of fitting Beta regression models using the R package</w:t>
      </w:r>
      <w:r>
        <w:t xml:space="preserve"> </w:t>
      </w:r>
      <w:r>
        <w:rPr>
          <w:rStyle w:val="VerbatimChar"/>
        </w:rPr>
        <w:t xml:space="preserve">brms</w:t>
      </w:r>
      <w:r>
        <w:t xml:space="preserve">, illustrating each step with applied examples. To help researchers make sense of model output, we offer guidance on interpreting coefficients, predicted probabilities, and marginal effects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extensions—such as zero-inflated (ZIB), zero-one-inflated (ZOIB), and ordered Beta regression models—that enable researchers to model outcomes that include exact boundary values like 0 and 1.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p>
    <w:bookmarkEnd w:id="43"/>
    <w:bookmarkStart w:id="52" w:name="beta-distribution"/>
    <w:p>
      <w:pPr>
        <w:pStyle w:val="Heading2"/>
      </w:pPr>
      <w:r>
        <w:t xml:space="preserve">Beta Distribution</w:t>
      </w:r>
    </w:p>
    <w:p>
      <w:pPr>
        <w:pStyle w:val="FirstParagraph"/>
      </w:pPr>
      <w:r>
        <w:t xml:space="preserve">Proportional data pose some challenges for standard modeling approaches. That is,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In any statistical model, the expected value (or mean) of the response variable serves as the central estimand we aim to describe and predict. The model specifies how this expected value depends on explanatory variables through several components: a random component that specifies the distribution of the response variable around its expected value (such as a Poisson or binomial, which are part of the exponential family), a linear predictor that combines explanatory variables in a linear form, and a link function that connects the mean of the response variable to the linear predictor (also referred to as the expected value)</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offers a compelling solution</w:t>
      </w:r>
      <w:r>
        <w:t xml:space="preserve"> </w:t>
      </w:r>
      <w:r>
        <w:t xml:space="preserve">(</w:t>
      </w:r>
      <w:hyperlink w:anchor="ref-paolino2001">
        <w:r>
          <w:rPr>
            <w:rStyle w:val="Hyperlink"/>
          </w:rPr>
          <w:t xml:space="preserve">Paolino, 2001</w:t>
        </w:r>
      </w:hyperlink>
      <w:r>
        <w:t xml:space="preserve">)</w:t>
      </w:r>
      <w:r>
        <w:t xml:space="preserve">. The Beta distribution is continuous, restricted to values between 0 and 1 (exclusive), and highly flexible. Its two shape parameters—commonly called shape1 (</w:t>
      </w:r>
      <m:oMath>
        <m:r>
          <m:t>α</m:t>
        </m:r>
      </m:oMath>
      <w:r>
        <w:t xml:space="preserve">) and shape2 (</w:t>
      </w:r>
      <m:oMath>
        <m:r>
          <m:t>β</m:t>
        </m:r>
      </m:oMath>
      <w:r>
        <w:t xml:space="preserve">)—govern the distribution’s location, skewness, and spread. By adjusting its two shape parameters it can take on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see this intuitively, consider a test question worth six points. Suppose a participant scores four out of six. The number of points received (4)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Reversing these values would produce a distribution skewed toward lower values, representing poorer performance (see</w:t>
      </w:r>
      <w:r>
        <w:t xml:space="preserve"> </w:t>
      </w:r>
      <w:hyperlink w:anchor="fig-beta-dist">
        <w:r>
          <w:rPr>
            <w:rStyle w:val="Hyperlink"/>
          </w:rPr>
          <w:t xml:space="preserve">Figure 2</w:t>
        </w:r>
      </w:hyperlink>
      <w:r>
        <w:t xml:space="preserve">). These parameterizations offer a natural way to visualize performance data as probability densities.</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943600" cy="2971800"/>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bookmarkEnd w:id="47"/>
    <w:bookmarkStart w:id="51" w:name="fig-beta-dist"/>
    <w:p>
      <w:pPr>
        <w:pStyle w:val="FigureTitle"/>
      </w:pPr>
      <w:r>
        <w:t xml:space="preserve">Figure 2</w:t>
      </w:r>
    </w:p>
    <w:p>
      <w:pPr>
        <w:pStyle w:val="Caption"/>
      </w:pPr>
      <w:r>
        <w:t xml:space="preserve">A. beta distribution with 4 correct (</w:t>
      </w:r>
      <w:r>
        <w:rPr>
          <w:rStyle w:val="VerbatimChar"/>
        </w:rPr>
        <w:t xml:space="preserve">shape1</w:t>
      </w:r>
      <w:r>
        <w:t xml:space="preserve">) and 2 incorrect (</w:t>
      </w:r>
      <w:r>
        <w:rPr>
          <w:rStyle w:val="VerbatimChar"/>
        </w:rPr>
        <w:t xml:space="preserve">shape2</w:t>
      </w:r>
      <w:r>
        <w:t xml:space="preserve">) responses (</w:t>
      </w:r>
      <w:r>
        <w:rPr>
          <w:rStyle w:val="VerbatimChar"/>
        </w:rPr>
        <w:t xml:space="preserve">shape2</w:t>
      </w:r>
      <w:r>
        <w:t xml:space="preserve">) on one test question. B. beta distribution with 2 correct (</w:t>
      </w:r>
      <w:r>
        <w:rPr>
          <w:rStyle w:val="VerbatimChar"/>
        </w:rPr>
        <w:t xml:space="preserve">shape1</w:t>
      </w:r>
      <w:r>
        <w:t xml:space="preserve">) and 4 incorrect (</w:t>
      </w:r>
      <w:r>
        <w:rPr>
          <w:rStyle w:val="VerbatimChar"/>
        </w:rPr>
        <w:t xml:space="preserve">shape2</w:t>
      </w:r>
      <w:r>
        <w:t xml:space="preserve">) responses on one test question</w:t>
      </w:r>
    </w:p>
    <w:p>
      <w:pPr>
        <w:pStyle w:val="FigureWithoutNote"/>
      </w:pPr>
      <w:r>
        <w:drawing>
          <wp:inline>
            <wp:extent cx="5943600" cy="2971800"/>
            <wp:effectExtent b="0" l="0" r="0" t="0"/>
            <wp:docPr descr="" title="" id="49" name="Picture"/>
            <a:graphic>
              <a:graphicData uri="http://schemas.openxmlformats.org/drawingml/2006/picture">
                <pic:pic>
                  <pic:nvPicPr>
                    <pic:cNvPr descr="ms_files/figure-docx/fig-beta-dist-1.pn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bookmarkEnd w:id="51"/>
    <w:bookmarkEnd w:id="52"/>
    <w:bookmarkStart w:id="53" w:name="beta-regression"/>
    <w:p>
      <w:pPr>
        <w:pStyle w:val="Heading2"/>
      </w:pPr>
      <w:r>
        <w:t xml:space="preserve">Beta Regression</w:t>
      </w:r>
    </w:p>
    <w:p>
      <w:pPr>
        <w:pStyle w:val="FirstParagraph"/>
      </w:pPr>
      <w:r>
        <w:t xml:space="preserve">While</w:t>
      </w:r>
      <w:r>
        <w:t xml:space="preserve"> </w:t>
      </w:r>
      <m:oMath>
        <m:r>
          <m:t>α</m:t>
        </m:r>
      </m:oMath>
      <w:r>
        <w:t xml:space="preserve"> </w:t>
      </w:r>
      <w:r>
        <w:t xml:space="preserve">and</w:t>
      </w:r>
      <w:r>
        <w:t xml:space="preserve"> </w:t>
      </w:r>
      <m:oMath>
        <m:r>
          <m:t>β</m:t>
        </m:r>
      </m:oMath>
      <w:r>
        <w:t xml:space="preserve"> </w:t>
      </w:r>
      <w:r>
        <w:t xml:space="preserve">are useful for defining the distribution, regression modeling typically uses a reparameterized form involving the</w:t>
      </w:r>
      <w:r>
        <w:t xml:space="preserve"> </w:t>
      </w:r>
      <w:r>
        <w:rPr>
          <w:b/>
          <w:bCs/>
        </w:rPr>
        <w:t xml:space="preserve">mean</w:t>
      </w:r>
      <w:r>
        <w:t xml:space="preserve"> </w:t>
      </w:r>
      <m:oMath>
        <m:r>
          <m:t>μ</m:t>
        </m:r>
      </m:oMath>
      <w:r>
        <w:t xml:space="preserve"> </w:t>
      </w:r>
      <w:r>
        <w:t xml:space="preserve">and</w:t>
      </w:r>
      <w:r>
        <w:t xml:space="preserve"> </w:t>
      </w:r>
      <w:r>
        <w:rPr>
          <w:b/>
          <w:bCs/>
        </w:rPr>
        <w:t xml:space="preserve">precision</w:t>
      </w:r>
      <w:r>
        <w:t xml:space="preserve"> </w:t>
      </w:r>
      <m:oMath>
        <m:r>
          <m:t>ϕ</m:t>
        </m:r>
      </m:oMath>
      <w:r>
        <w:t xml:space="preserve"> </w:t>
      </w:r>
      <w:r>
        <w:t xml:space="preserve">. The mean (</w:t>
      </w:r>
      <m:oMath>
        <m:r>
          <m:t>μ</m:t>
        </m:r>
      </m:oMath>
      <w:r>
        <w:t xml:space="preserve">) represents the expected value of the distribution, while the dispersion (</w:t>
      </w:r>
      <m:oMath>
        <m:r>
          <m:t>ϕ</m:t>
        </m:r>
      </m:oMath>
      <w:r>
        <w:t xml:space="preserve">), which is inversely related to variance, reflects how concentrated the distribution is around the mean, with higher values of</w:t>
      </w:r>
      <w:r>
        <w:t xml:space="preserve"> </w:t>
      </w:r>
      <m:oMath>
        <m:r>
          <m:t>ϕ</m:t>
        </m:r>
      </m:oMath>
      <w:r>
        <w:t xml:space="preserve"> </w:t>
      </w:r>
      <w:r>
        <w:t xml:space="preserve">representing a narrower distribution while lower values of</w:t>
      </w:r>
      <w:r>
        <w:t xml:space="preserve"> </w:t>
      </w:r>
      <m:oMath>
        <m:r>
          <m:t>ϕ</m:t>
        </m:r>
      </m:oMath>
      <w:r>
        <w:t xml:space="preserve"> </w:t>
      </w:r>
      <w:r>
        <w:t xml:space="preserve">represent a wider, more spread out, distribution. These are connected to</w:t>
      </w:r>
      <w:r>
        <w:t xml:space="preserve"> </w:t>
      </w:r>
      <m:oMath>
        <m:r>
          <m:t>α</m:t>
        </m:r>
      </m:oMath>
      <w:r>
        <w:t xml:space="preserve"> </w:t>
      </w:r>
      <w:r>
        <w:t xml:space="preserve">and</w:t>
      </w:r>
      <w:r>
        <w:t xml:space="preserve"> </w:t>
      </w:r>
      <m:oMath>
        <m:r>
          <m:t>β</m:t>
        </m:r>
      </m:oMath>
      <w:r>
        <w:t xml:space="preserve"> </w:t>
      </w:r>
      <w:r>
        <w:t xml:space="preserve">as follows:</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
        </m:oMath>
      </m:oMathPara>
    </w:p>
    <w:p>
      <w:pPr>
        <w:pStyle w:val="FirstParagraph"/>
      </w:pPr>
      <w:r>
        <w:t xml:space="preserve">The variance can then be calculated as a function of</w:t>
      </w:r>
      <w:r>
        <w:t xml:space="preserve"> </w:t>
      </w:r>
      <m:oMath>
        <m:r>
          <m:t>μ</m:t>
        </m:r>
      </m:oMath>
      <w:r>
        <w:t xml:space="preserve"> </w:t>
      </w:r>
      <w:r>
        <w:t xml:space="preserve">and</w:t>
      </w:r>
      <w:r>
        <w:t xml:space="preserve"> </w:t>
      </w:r>
      <m:oMath>
        <m:r>
          <m:t>ϕ</m:t>
        </m:r>
      </m:oMath>
      <w:r>
        <w:t xml:space="preserve">:</w:t>
      </w:r>
    </w:p>
    <w:p>
      <w:pPr>
        <w:pStyle w:val="BodyText"/>
      </w:pPr>
      <m:oMathPara>
        <m:oMathParaPr>
          <m:jc m:val="center"/>
        </m:oMathParaPr>
        <m:oMath>
          <m:f>
            <m:fPr>
              <m:type m:val="bar"/>
            </m:fPr>
            <m:num>
              <m:r>
                <m:t>μ</m:t>
              </m:r>
              <m:r>
                <m:rPr>
                  <m:sty m:val="p"/>
                </m:rPr>
                <m:t>⋅</m:t>
              </m:r>
              <m:d>
                <m:dPr>
                  <m:begChr m:val="("/>
                  <m:sepChr m:val=""/>
                  <m:endChr m:val=")"/>
                  <m:grow/>
                </m:dPr>
                <m:e>
                  <m:r>
                    <m:t>1</m:t>
                  </m:r>
                  <m:r>
                    <m:rPr>
                      <m:sty m:val="p"/>
                    </m:rPr>
                    <m:t>−</m:t>
                  </m:r>
                  <m:r>
                    <m:t>μ</m:t>
                  </m:r>
                </m:e>
              </m:d>
            </m:num>
            <m:den>
              <m:r>
                <m:t>1</m:t>
              </m:r>
              <m:r>
                <m:rPr>
                  <m:sty m:val="p"/>
                </m:rPr>
                <m:t>+</m:t>
              </m:r>
              <m:r>
                <m:t>ϕ</m:t>
              </m:r>
            </m:den>
          </m:f>
        </m:oMath>
      </m:oMathPara>
    </w:p>
    <w:p>
      <w:pPr>
        <w:pStyle w:val="FirstParagraph"/>
      </w:pPr>
      <w:r>
        <w:t xml:space="preserve">Importantly,</w:t>
      </w:r>
      <w:r>
        <w:t xml:space="preserve"> </w:t>
      </w:r>
      <w:r>
        <w:rPr>
          <w:i/>
          <w:iCs/>
        </w:rPr>
        <w:t xml:space="preserve">the variance depends on the average value of the response</w:t>
      </w:r>
      <w:r>
        <w:t xml:space="preserve">, which is what allows the model to non-linearly adjust to the bounds of the outcome.</w:t>
      </w:r>
    </w:p>
    <w:p>
      <w:pPr>
        <w:pStyle w:val="BodyText"/>
      </w:pPr>
      <w:r>
        <w:t xml:space="preserve">In Beta regression, the goal is to model the mean of the response variable (often denoted</w:t>
      </w:r>
      <w:r>
        <w:t xml:space="preserve"> </w:t>
      </w:r>
      <m:oMath>
        <m:r>
          <m:t>μ</m:t>
        </m:r>
      </m:oMath>
      <w:r>
        <w:t xml:space="preserve">) as a function of predictor variables, while optionally modeling a precision or dispersion parameter (often denoted</w:t>
      </w:r>
      <w:r>
        <w:t xml:space="preserve"> </w:t>
      </w:r>
      <m:oMath>
        <m:r>
          <m:t>ϕ</m:t>
        </m:r>
      </m:oMath>
      <w:r>
        <w:t xml:space="preserve">) that captures variability around the mean. To ensure that</w:t>
      </w:r>
      <w:r>
        <w:t xml:space="preserve"> </w:t>
      </w:r>
      <m:oMath>
        <m:r>
          <m:t>μ</m:t>
        </m:r>
      </m:oMath>
      <w:r>
        <w:t xml:space="preserve"> </w:t>
      </w:r>
      <w:r>
        <w:t xml:space="preserve">stays between 0 and 1, we apply a link function, which transforms the mean so that it can be modeled on an unbounded scale. A common choice is the logit link (which is used by default), but other links (such as the probit or complementary log-log) are also available; the logit is not required.</w:t>
      </w:r>
    </w:p>
    <w:p>
      <w:pPr>
        <w:pStyle w:val="BodyText"/>
      </w:pPr>
      <w:r>
        <w:t xml:space="preserve">The logit link is defined as</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This transforms the mean proportion,</w:t>
      </w:r>
      <w:r>
        <w:t xml:space="preserve"> </w:t>
      </w:r>
      <m:oMath>
        <m:r>
          <m:t>μ</m:t>
        </m:r>
      </m:oMath>
      <w:r>
        <w:t xml:space="preserve">, into log-odds, which can take any real value between</w:t>
      </w:r>
      <w:r>
        <w:t xml:space="preserve"> </w:t>
      </w:r>
      <m:oMath>
        <m:r>
          <m:rPr>
            <m:sty m:val="p"/>
          </m:rPr>
          <m:t>−</m:t>
        </m:r>
        <m:r>
          <m:rPr>
            <m:sty m:val="p"/>
          </m:rPr>
          <m:t>∞</m:t>
        </m:r>
      </m:oMath>
      <w:r>
        <w:t xml:space="preserve"> </w:t>
      </w:r>
      <w:r>
        <w:t xml:space="preserve">and</w:t>
      </w:r>
      <w:r>
        <w:t xml:space="preserve"> </w:t>
      </w:r>
      <m:oMath>
        <m:r>
          <m:rPr>
            <m:sty m:val="p"/>
          </m:rPr>
          <m:t>+</m:t>
        </m:r>
        <m:r>
          <m:rPr>
            <m:sty m:val="p"/>
          </m:rPr>
          <m:t>∞</m:t>
        </m:r>
      </m:oMath>
      <w:r>
        <w:t xml:space="preserve">. This makes it suitable for linear modeling. The inverse of the logit, called the logistic function, maps predictions back onto the 0 to 1 scale:</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w:t>
      </w:r>
      <w:r>
        <w:t xml:space="preserve">where</w:t>
      </w:r>
      <w:r>
        <w:t xml:space="preserve"> </w:t>
      </w:r>
      <m:oMath>
        <m:r>
          <m:t>η</m:t>
        </m:r>
      </m:oMath>
      <w:r>
        <w:t xml:space="preserve"> </w:t>
      </w:r>
      <w:r>
        <w:t xml:space="preserve">is the linear predictor (a combination of your model’s coefficients and predictors). Similarly, the dispersion parameter, which must be positive, is often modeled using a log link:</w:t>
      </w:r>
      <w:r>
        <w:t xml:space="preserve"> </w:t>
      </w:r>
      <m:oMath>
        <m:r>
          <m:rPr>
            <m:sty m:val="p"/>
          </m:rPr>
          <m:t>log</m:t>
        </m:r>
        <m:d>
          <m:dPr>
            <m:begChr m:val="("/>
            <m:sepChr m:val=""/>
            <m:endChr m:val=")"/>
            <m:grow/>
          </m:dPr>
          <m:e>
            <m:r>
              <m:t>ϕ</m:t>
            </m:r>
          </m:e>
        </m:d>
        <m:r>
          <m:rPr>
            <m:sty m:val="p"/>
          </m:rPr>
          <m:t>=</m:t>
        </m:r>
        <m:r>
          <m:rPr>
            <m:nor/>
            <m:sty m:val="p"/>
          </m:rPr>
          <m:t>linear predictor</m:t>
        </m:r>
      </m:oMath>
      <w:r>
        <w:t xml:space="preserve">. This ensures the estimated dispersion is strictly positive.</w:t>
      </w:r>
    </w:p>
    <w:p>
      <w:pPr>
        <w:pStyle w:val="BodyText"/>
      </w:pPr>
      <w:r>
        <w:t xml:space="preserve">Beta regression is designed specifically for modeling bounded, continuous outcomes. It respects the (0, 1) range of proportional data, accounts for varying variance across levels of the mean, and provides a coherent statistical foundation for estimating effects on proportions and percentages. This makes it especially useful in psychology, where outcomes like accuracy, recall rates, or rating scales often fall within this bounded range.</w:t>
      </w:r>
    </w:p>
    <w:bookmarkEnd w:id="53"/>
    <w:bookmarkStart w:id="54" w:name="bayesian-approach-to-beta-regression"/>
    <w:p>
      <w:pPr>
        <w:pStyle w:val="Heading2"/>
      </w:pPr>
      <w:r>
        <w:t xml:space="preserve">Bayesian Approach to Beta Regression</w:t>
      </w:r>
    </w:p>
    <w:p>
      <w:pPr>
        <w:pStyle w:val="FirstParagraph"/>
      </w:pPr>
      <w:r>
        <w:t xml:space="preserve">Beta regression models can be estimated from either a frequentist or Bayesian perspective. In this tutorial, we adopt a Bayesian framework—not because it is inherently superior, but because it offers practical advantages for fitting both simple and complex models</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n.d.</w:t>
        </w:r>
      </w:hyperlink>
      <w:r>
        <w:t xml:space="preserve">;</w:t>
      </w:r>
      <w:r>
        <w:t xml:space="preserve"> </w:t>
      </w:r>
      <w:hyperlink w:anchor="ref-mcelreath2020statistical">
        <w:r>
          <w:rPr>
            <w:rStyle w:val="Hyperlink"/>
          </w:rPr>
          <w:t xml:space="preserve">McElreath, 2020</w:t>
        </w:r>
      </w:hyperlink>
      <w:r>
        <w:t xml:space="preserve">)</w:t>
      </w:r>
      <w:r>
        <w:t xml:space="preserve">, especially in the context of psychological data.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which interfaces with the probabilistic programming language Stan</w:t>
      </w:r>
      <w:r>
        <w:t xml:space="preserve"> </w:t>
      </w:r>
      <w:r>
        <w:t xml:space="preserve">(</w:t>
      </w:r>
      <w:hyperlink w:anchor="ref-stan2023">
        <w:r>
          <w:rPr>
            <w:rStyle w:val="Hyperlink"/>
          </w:rPr>
          <w:t xml:space="preserve">Team, 2023</w:t>
        </w:r>
      </w:hyperlink>
      <w:r>
        <w:t xml:space="preserve">)</w:t>
      </w:r>
      <w:r>
        <w:t xml:space="preserve">, makes Bayesian modeling accessible and flexible, even for users with limited prior experience in Bayesian statistics.</w:t>
      </w:r>
    </w:p>
    <w:p>
      <w:pPr>
        <w:pStyle w:val="BodyText"/>
      </w:pPr>
      <w:r>
        <w:t xml:space="preserve">At the heart of Bayesian estimation is the idea of updating beliefs. This invovles first specifying prior distributions that represent our beliefs about the parameters before observing any data. These priors are then updated through the likelihood function using the observed data, producing posterior distributions. The posterior reflects what we believe about the parameters after taking the data into account. Unlike frequentist approaches that yield point estimates and confidence intervals, Bayesian methods return full distributions over parameters. These distributions allow researchers to express uncertainty more directly, make probability-based claims, and explore the full range of plausible values for each estimate.</w:t>
      </w:r>
    </w:p>
    <w:p>
      <w:pPr>
        <w:pStyle w:val="BodyText"/>
      </w:pPr>
      <w:r>
        <w:t xml:space="preserve">The models we fit throughout this tutorial are estimated using</w:t>
      </w:r>
      <w:r>
        <w:t xml:space="preserve"> </w:t>
      </w:r>
      <w:r>
        <w:rPr>
          <w:rStyle w:val="VerbatimChar"/>
        </w:rPr>
        <w:t xml:space="preserve">brms</w:t>
      </w:r>
      <w:r>
        <w:t xml:space="preserve">, which supports a wide range of regression families, including the Beta distribution and its extensions. It also allows for flexible model specification, including hierarchical structures, non-default link functions, and separate sub-models for different components.</w:t>
      </w:r>
    </w:p>
    <w:p>
      <w:pPr>
        <w:pStyle w:val="BodyText"/>
      </w:pPr>
      <w:r>
        <w:t xml:space="preserve">Behind the scenes,</w:t>
      </w:r>
      <w:r>
        <w:t xml:space="preserve"> </w:t>
      </w:r>
      <w:r>
        <w:rPr>
          <w:rStyle w:val="VerbatimChar"/>
        </w:rPr>
        <w:t xml:space="preserve">brms</w:t>
      </w:r>
      <w:r>
        <w:t xml:space="preserve"> </w:t>
      </w:r>
      <w:r>
        <w:t xml:space="preserve">uses Markov Chain Monte Carlo (MCMC) sampling to draw from the posterior distribution. This process generates a range of representative values for each parameter, allowing researchers to capture and quantify uncertainty. The resulting output can be summarized in several ways</w:t>
      </w:r>
      <w:r>
        <w:t xml:space="preserve"> </w:t>
      </w:r>
      <w:r>
        <w:t xml:space="preserve">(see</w:t>
      </w:r>
      <w:r>
        <w:t xml:space="preserve"> </w:t>
      </w:r>
      <w:hyperlink w:anchor="ref-makowski2019a">
        <w:r>
          <w:rPr>
            <w:rStyle w:val="Hyperlink"/>
          </w:rPr>
          <w:t xml:space="preserve">Makowski, Ben-Shachar, Chen, et al., 2019</w:t>
        </w:r>
      </w:hyperlink>
      <w:r>
        <w:t xml:space="preserve">)</w:t>
      </w:r>
      <w:r>
        <w:t xml:space="preserve">. Point estimates, such as the posterior mean, median, or mode (maximum a posterior (MAP)), serve as central tendency measures of the parameter distributions. Credible intervals, typically the 95% Cr.I., indicate the range of values within which a parameter is likely to fall given the data and prior assumptions. In addition, researchers can examine the probability of direction (pd), which reflects the proportion of the posterior distribution that lies entirely above or below zero, offering an intuitive summary of effect direction. Finally, Bayes factors (BF) can be used to quantify the relative evidence for one model or hypothesis over another.</w:t>
      </w:r>
    </w:p>
    <w:p>
      <w:pPr>
        <w:pStyle w:val="BodyText"/>
      </w:pPr>
      <w:r>
        <w:t xml:space="preserve">Throughout this tutorial, we demonstrate how to fit Bayesian Beta regression models using the brm() function. While the tutorial assumes a basic understanding of R and regression modeling, no prior knowledge of Bayesian statistics is required. This tuotorial will not focus on the technical details of Bayesian modeling; instead, our emphasis will be on practical implementation and interpreting results in terms of probabilities and proportions on the original response scale, rather than on the logit or latent scale.</w:t>
      </w:r>
    </w:p>
    <w:bookmarkEnd w:id="54"/>
    <w:bookmarkEnd w:id="55"/>
    <w:bookmarkStart w:id="146" w:name="motivating-example"/>
    <w:p>
      <w:pPr>
        <w:pStyle w:val="Heading1"/>
      </w:pPr>
      <w:r>
        <w:t xml:space="preserve">Motivating Example</w:t>
      </w:r>
    </w:p>
    <w:bookmarkStart w:id="56" w:name="data-and-methods"/>
    <w:p>
      <w:pPr>
        <w:pStyle w:val="Heading2"/>
      </w:pPr>
      <w:r>
        <w:t xml:space="preserve">Data and Methods</w:t>
      </w:r>
    </w:p>
    <w:p>
      <w:pPr>
        <w:pStyle w:val="FirstParagraph"/>
      </w:pPr>
      <w:r>
        <w:t xml:space="preserve">To demonstrate how Beta regression can be applied in practice, we re-analyze data from a memory experiment conducted by</w:t>
      </w:r>
      <w:r>
        <w:t xml:space="preserve"> </w:t>
      </w:r>
      <w:r>
        <w:t xml:space="preserve">Wilford et al. (</w:t>
      </w:r>
      <w:hyperlink w:anchor="ref-wilford2020">
        <w:r>
          <w:rPr>
            <w:rStyle w:val="Hyperlink"/>
          </w:rPr>
          <w:t xml:space="preserve">2020</w:t>
        </w:r>
      </w:hyperlink>
      <w:r>
        <w:t xml:space="preserve">)</w:t>
      </w:r>
      <w:r>
        <w:t xml:space="preserve">; Experiment 1A. This study investigated whether the fluency of an instructor’s delivery influenced participants’ memory performance on a final recall test. By working through this dataset, we illustrate each stage of Beta modeling—from basic regression to more advanced extensions—and show how Beta regression can offer more accurate and interpretable inferences for bounded outcome variables.</w:t>
      </w:r>
    </w:p>
    <w:p>
      <w:pPr>
        <w:pStyle w:val="BodyText"/>
      </w:pPr>
      <w:r>
        <w:t xml:space="preserve">The idea that extrinsic cues, such as how easily information is processed, influence metamemory has been widely documented. In particular, a growing body of research has examined the role of instructor fluency—characterized by dynamic vocal intonation, purposeful gestures, mobility, and natural pacing—in shaping students’ perceptions of learning. Although fluent instructors are often judged as more effective, several studies have shown that fluency has little to no impact on actual memory performance</w:t>
      </w:r>
      <w:r>
        <w:t xml:space="preserve"> </w:t>
      </w:r>
      <w:r>
        <w:t xml:space="preserve">Toftness et al. (</w:t>
      </w:r>
      <w:hyperlink w:anchor="ref-toftness2017">
        <w:r>
          <w:rPr>
            <w:rStyle w:val="Hyperlink"/>
          </w:rPr>
          <w:t xml:space="preserve">2017</w:t>
        </w:r>
      </w:hyperlink>
      <w:r>
        <w:t xml:space="preserve">)</w:t>
      </w:r>
      <w:r>
        <w:t xml:space="preserve">. However, Wilford et al. (2020) reported the opposite: in a series of experiments, they found that participants recalled more information when watching a fluent versus a disfluent instructor. This contradictory pattern makes the dataset especially useful for illustrating statistical approaches to analyzing proportion data.</w:t>
      </w:r>
    </w:p>
    <w:p>
      <w:pPr>
        <w:pStyle w:val="BodyText"/>
      </w:pPr>
      <w:r>
        <w:t xml:space="preserve">In Experiment 1A of</w:t>
      </w:r>
      <w:r>
        <w:t xml:space="preserve"> </w:t>
      </w:r>
      <w:r>
        <w:t xml:space="preserve">Wilford et al. (</w:t>
      </w:r>
      <w:hyperlink w:anchor="ref-wilford2020">
        <w:r>
          <w:rPr>
            <w:rStyle w:val="Hyperlink"/>
          </w:rPr>
          <w:t xml:space="preserve">2020</w:t>
        </w:r>
      </w:hyperlink>
      <w:r>
        <w:t xml:space="preserve">)</w:t>
      </w:r>
      <w:r>
        <w:t xml:space="preserve">, participants watched two brief instructional videos—one on the genetics of calico cats, the other on the biology of skin wrinkling. Each video was presented in either a fluent or disfluent style. The fluent condition featured instructors with smooth delivery, clear vocal modulation, and confident pacing. The disfluent condition included hesitations, monotone delivery, and unnatural pauses. After viewing the videos, participants made judgments of learning (JOLs), rating how likely they were to remember the material on a scale from 0 to 100. They also answered questions about the instructor and self-reported how much they believed they had learned. Following a distractor task, participants completed a free recall test, writing down as much information as they could remember from each video within a three-minute time limit. Each response was scored out of 10 possible idea units per video.</w:t>
      </w:r>
    </w:p>
    <w:p>
      <w:pPr>
        <w:pStyle w:val="BodyText"/>
      </w:pPr>
      <w:r>
        <w:t xml:space="preserve">Our primary outcome variable is the proportion of idea units recalled on the final test, calculated by dividing the number of correct units by 10. Because this is a bounded continuous variable (i.e., it ranges from 0 to 1), it violates the assumptions of models like linear regression that treat outcomes as unbounded and homoscedastic. Despite this, it remains common in psychological research to analyze proportion data using models that assume normality. In what follows, we reproduce Wilford et al.’s original analysis and then re-analyze the data using Beta regression. Our goal is to highlight how Beta regression—and its extensions—can offer a more robust, flexible, and interpretable framework for modeling proportional outcomes.</w:t>
      </w:r>
    </w:p>
    <w:bookmarkEnd w:id="56"/>
    <w:bookmarkStart w:id="67"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p>
      <w:pPr>
        <w:pStyle w:val="BodyText"/>
      </w:pPr>
      <w:r>
        <w:t xml:space="preserve">In our reanalysis, we take a Bayesian regression approach to replicate and extend these findings. Specifically, we model final test accuracy—defined as the number of correctly recalled idea units out of 10, converted to a proportion by dividing by 10—as the dependent variable. Our primary predictor is instructor fluency, with two levels: Fluent and Disfluent.</w:t>
      </w:r>
    </w:p>
    <w:p>
      <w:pPr>
        <w:pStyle w:val="BodyText"/>
      </w:pPr>
      <w:r>
        <w:t xml:space="preserve">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p>
      <w:pPr>
        <w:pStyle w:val="BodyText"/>
      </w:pPr>
      <w:r>
        <w:t xml:space="preserve">We estimate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with default (weakly informative) priors. This choice mirrors a common starting point for applied researchers and ensures that the results are primarily driven by the data. By using Bayesian estimation, we can go beyond simple group comparisons to quantify uncertainty, interpret results on the probability scale, and visualize the posterior distribution of the fluency effect.</w:t>
      </w:r>
    </w:p>
    <w:bookmarkStart w:id="57" w:name="tbl-dataset"/>
    <w:p>
      <w:pPr>
        <w:pStyle w:val="FigureTitle"/>
      </w:pPr>
      <w:r>
        <w:t xml:space="preserve">Table 1</w:t>
      </w:r>
    </w:p>
    <w:p>
      <w:pPr>
        <w:pStyle w:val="Caption"/>
      </w:pPr>
      <w:r>
        <w:t xml:space="preserve">First six rows of dataset</w:t>
      </w:r>
    </w:p>
    <w:tbl>
      <w:tblPr>
        <w:tblStyle w:val="Table"/>
        <w:tblW w:type="pct" w:w="2431"/>
        <w:tblLayout w:type="fixed"/>
        <w:tblLook w:firstRow="1" w:lastRow="0" w:firstColumn="0" w:lastColumn="0" w:noHBand="0" w:noVBand="0" w:val="0020"/>
      </w:tblPr>
      <w:tblGrid>
        <w:gridCol w:w="1540"/>
        <w:gridCol w:w="110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1</w:t>
            </w:r>
          </w:p>
        </w:tc>
        <w:tc>
          <w:tcPr/>
          <w:p>
            <w:pPr>
              <w:pStyle w:val="Compact"/>
            </w:pPr>
            <w:r>
              <w:t xml:space="preserve">Fluent</w:t>
            </w:r>
          </w:p>
        </w:tc>
        <w:tc>
          <w:tcPr/>
          <w:p>
            <w:pPr>
              <w:pStyle w:val="Compact"/>
            </w:pPr>
            <w:r>
              <w:t xml:space="preserve">0.45</w:t>
            </w:r>
          </w:p>
        </w:tc>
      </w:tr>
      <w:tr>
        <w:tc>
          <w:tcPr/>
          <w:p>
            <w:pPr>
              <w:pStyle w:val="Compact"/>
            </w:pPr>
            <w:r>
              <w:t xml:space="preserve">8</w:t>
            </w:r>
          </w:p>
        </w:tc>
        <w:tc>
          <w:tcPr/>
          <w:p>
            <w:pPr>
              <w:pStyle w:val="Compact"/>
            </w:pPr>
            <w:r>
              <w:t xml:space="preserve">Fluent</w:t>
            </w:r>
          </w:p>
        </w:tc>
        <w:tc>
          <w:tcPr/>
          <w:p>
            <w:pPr>
              <w:pStyle w:val="Compact"/>
            </w:pPr>
            <w:r>
              <w:t xml:space="preserve">0.30</w:t>
            </w:r>
          </w:p>
        </w:tc>
      </w:tr>
      <w:tr>
        <w:tc>
          <w:tcPr/>
          <w:p>
            <w:pPr>
              <w:pStyle w:val="Compact"/>
            </w:pPr>
            <w:r>
              <w:t xml:space="preserve">10</w:t>
            </w:r>
          </w:p>
        </w:tc>
        <w:tc>
          <w:tcPr/>
          <w:p>
            <w:pPr>
              <w:pStyle w:val="Compact"/>
            </w:pPr>
            <w:r>
              <w:t xml:space="preserve">Fluent</w:t>
            </w:r>
          </w:p>
        </w:tc>
        <w:tc>
          <w:tcPr/>
          <w:p>
            <w:pPr>
              <w:pStyle w:val="Compact"/>
            </w:pPr>
            <w:r>
              <w:t xml:space="preserve">0.40</w:t>
            </w:r>
          </w:p>
        </w:tc>
      </w:tr>
      <w:tr>
        <w:tc>
          <w:tcPr/>
          <w:p>
            <w:pPr>
              <w:pStyle w:val="Compact"/>
            </w:pPr>
            <w:r>
              <w:t xml:space="preserve">18</w:t>
            </w:r>
          </w:p>
        </w:tc>
        <w:tc>
          <w:tcPr/>
          <w:p>
            <w:pPr>
              <w:pStyle w:val="Compact"/>
            </w:pPr>
            <w:r>
              <w:t xml:space="preserve">Fluent</w:t>
            </w:r>
          </w:p>
        </w:tc>
        <w:tc>
          <w:tcPr/>
          <w:p>
            <w:pPr>
              <w:pStyle w:val="Compact"/>
            </w:pPr>
            <w:r>
              <w:t xml:space="preserve">0.15</w:t>
            </w:r>
          </w:p>
        </w:tc>
      </w:tr>
      <w:tr>
        <w:tc>
          <w:tcPr/>
          <w:p>
            <w:pPr>
              <w:pStyle w:val="Compact"/>
            </w:pPr>
            <w:r>
              <w:t xml:space="preserve">19</w:t>
            </w:r>
          </w:p>
        </w:tc>
        <w:tc>
          <w:tcPr/>
          <w:p>
            <w:pPr>
              <w:pStyle w:val="Compact"/>
            </w:pPr>
            <w:r>
              <w:t xml:space="preserve">Fluent</w:t>
            </w:r>
          </w:p>
        </w:tc>
        <w:tc>
          <w:tcPr/>
          <w:p>
            <w:pPr>
              <w:pStyle w:val="Compact"/>
            </w:pPr>
            <w:r>
              <w:t xml:space="preserve">0.50</w:t>
            </w:r>
          </w:p>
        </w:tc>
      </w:tr>
      <w:tr>
        <w:tc>
          <w:tcPr/>
          <w:p>
            <w:pPr>
              <w:pStyle w:val="Compact"/>
            </w:pPr>
            <w:r>
              <w:t xml:space="preserve">14</w:t>
            </w:r>
          </w:p>
        </w:tc>
        <w:tc>
          <w:tcPr/>
          <w:p>
            <w:pPr>
              <w:pStyle w:val="Compact"/>
            </w:pPr>
            <w:r>
              <w:t xml:space="preserve">Fluent</w:t>
            </w:r>
          </w:p>
        </w:tc>
        <w:tc>
          <w:tcPr/>
          <w:p>
            <w:pPr>
              <w:pStyle w:val="Compact"/>
            </w:pPr>
            <w:r>
              <w:t xml:space="preserve">0.70</w:t>
            </w:r>
          </w:p>
        </w:tc>
      </w:tr>
    </w:tbl>
    <w:bookmarkEnd w:id="57"/>
    <w:bookmarkStart w:id="61" w:name="fig-flu1"/>
    <w:p>
      <w:pPr>
        <w:pStyle w:val="FigureTitle"/>
      </w:pPr>
      <w:r>
        <w:t xml:space="preserve">Figure 3</w:t>
      </w:r>
    </w:p>
    <w:p>
      <w:pPr>
        <w:pStyle w:val="Caption"/>
      </w:pPr>
      <w:r>
        <w:t xml:space="preserve">Fluency accuracy: Raw data (points), half-boxplot, and Mean marker (dot)</w:t>
      </w:r>
    </w:p>
    <w:p>
      <w:pPr>
        <w:pStyle w:val="FigureWithoutNote"/>
      </w:pPr>
      <w:r>
        <w:drawing>
          <wp:inline>
            <wp:extent cx="5943600" cy="2971800"/>
            <wp:effectExtent b="0" l="0" r="0" t="0"/>
            <wp:docPr descr="" title="" id="59" name="Picture"/>
            <a:graphic>
              <a:graphicData uri="http://schemas.openxmlformats.org/drawingml/2006/picture">
                <pic:pic>
                  <pic:nvPicPr>
                    <pic:cNvPr descr="ms_files/figure-docx/fig-flu1-1.png" id="60" name="Picture"/>
                    <pic:cNvPicPr>
                      <a:picLocks noChangeArrowheads="1" noChangeAspect="1"/>
                    </pic:cNvPicPr>
                  </pic:nvPicPr>
                  <pic:blipFill>
                    <a:blip r:embed="rId58"/>
                    <a:stretch>
                      <a:fillRect/>
                    </a:stretch>
                  </pic:blipFill>
                  <pic:spPr bwMode="auto">
                    <a:xfrm>
                      <a:off x="0" y="0"/>
                      <a:ext cx="5943600" cy="2971800"/>
                    </a:xfrm>
                    <a:prstGeom prst="rect">
                      <a:avLst/>
                    </a:prstGeom>
                    <a:noFill/>
                    <a:ln w="9525">
                      <a:noFill/>
                      <a:headEnd/>
                      <a:tailEnd/>
                    </a:ln>
                  </pic:spPr>
                </pic:pic>
              </a:graphicData>
            </a:graphic>
          </wp:inline>
        </w:drawing>
      </w:r>
    </w:p>
    <w:bookmarkEnd w:id="61"/>
    <w:bookmarkStart w:id="66" w:name="data"/>
    <w:p>
      <w:pPr>
        <w:pStyle w:val="Heading3"/>
      </w:pPr>
      <w:r>
        <w:t xml:space="preserve">Data</w:t>
      </w:r>
    </w:p>
    <w:p>
      <w:pPr>
        <w:pStyle w:val="FirstParagraph"/>
      </w:pPr>
      <w:r>
        <w:t xml:space="preserve">Before we fit the regression model, we will read in the data.</w:t>
      </w:r>
    </w:p>
    <w:p>
      <w:pPr>
        <w:pStyle w:val="BodyText"/>
      </w:pPr>
      <w:r>
        <w:t xml:space="preserve">The first few rows of the data are displayed in</w:t>
      </w:r>
      <w:r>
        <w:t xml:space="preserve"> </w:t>
      </w:r>
      <w:hyperlink w:anchor="tbl-dataset">
        <w:r>
          <w:rPr>
            <w:rStyle w:val="Hyperlink"/>
          </w:rPr>
          <w:t xml:space="preserve">Table 1</w:t>
        </w:r>
      </w:hyperlink>
      <w:r>
        <w:t xml:space="preserve">. The dataset contains three columns:</w:t>
      </w:r>
    </w:p>
    <w:p>
      <w:pPr>
        <w:numPr>
          <w:ilvl w:val="0"/>
          <w:numId w:val="1001"/>
        </w:numPr>
      </w:pPr>
      <w:r>
        <w:rPr>
          <w:rStyle w:val="VerbatimChar"/>
          <w:b/>
          <w:bCs/>
        </w:rPr>
        <w:t xml:space="preserve">Participant:</w:t>
      </w:r>
      <w:r>
        <w:t xml:space="preserve"> </w:t>
      </w:r>
      <w:r>
        <w:t xml:space="preserve">Participant ID number</w:t>
      </w:r>
    </w:p>
    <w:p>
      <w:pPr>
        <w:numPr>
          <w:ilvl w:val="0"/>
          <w:numId w:val="1001"/>
        </w:numPr>
      </w:pPr>
      <w:r>
        <w:rPr>
          <w:rStyle w:val="VerbatimChar"/>
          <w:b/>
          <w:bCs/>
        </w:rPr>
        <w:t xml:space="preserve">Fluency</w:t>
      </w:r>
      <w:r>
        <w:rPr>
          <w:b/>
          <w:bCs/>
        </w:rPr>
        <w:t xml:space="preserve">:</w:t>
      </w:r>
      <w:r>
        <w:t xml:space="preserve"> </w:t>
      </w:r>
      <w:r>
        <w:t xml:space="preserve">Fluent vs. Disfluent</w:t>
      </w:r>
    </w:p>
    <w:p>
      <w:pPr>
        <w:numPr>
          <w:ilvl w:val="0"/>
          <w:numId w:val="1001"/>
        </w:numPr>
      </w:pPr>
      <w:r>
        <w:rPr>
          <w:rStyle w:val="VerbatimChar"/>
          <w:b/>
          <w:bCs/>
        </w:rPr>
        <w:t xml:space="preserve">Accuracy</w:t>
      </w:r>
      <w:r>
        <w:rPr>
          <w:b/>
          <w:bCs/>
        </w:rPr>
        <w:t xml:space="preserve">:</w:t>
      </w:r>
      <w:r>
        <w:t xml:space="preserve"> </w:t>
      </w:r>
      <w:r>
        <w:t xml:space="preserve">Proportion recalled (idea units)</w:t>
      </w:r>
    </w:p>
    <w:bookmarkStart w:id="65"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3" name="Picture"/>
            <a:graphic>
              <a:graphicData uri="http://schemas.openxmlformats.org/drawingml/2006/picture">
                <pic:pic>
                  <pic:nvPicPr>
                    <pic:cNvPr descr="Figures/combined_table.png" id="64" name="Picture"/>
                    <pic:cNvPicPr>
                      <a:picLocks noChangeArrowheads="1" noChangeAspect="1"/>
                    </pic:cNvPicPr>
                  </pic:nvPicPr>
                  <pic:blipFill>
                    <a:blip r:embed="rId62"/>
                    <a:stretch>
                      <a:fillRect/>
                    </a:stretch>
                  </pic:blipFill>
                  <pic:spPr bwMode="auto">
                    <a:xfrm>
                      <a:off x="0" y="0"/>
                      <a:ext cx="5943600" cy="5092700"/>
                    </a:xfrm>
                    <a:prstGeom prst="rect">
                      <a:avLst/>
                    </a:prstGeom>
                    <a:noFill/>
                    <a:ln w="9525">
                      <a:noFill/>
                      <a:headEnd/>
                      <a:tailEnd/>
                    </a:ln>
                  </pic:spPr>
                </pic:pic>
              </a:graphicData>
            </a:graphic>
          </wp:inline>
        </w:drawing>
      </w:r>
    </w:p>
    <w:bookmarkEnd w:id="65"/>
    <w:p>
      <w:pPr>
        <w:pStyle w:val="FigureNote"/>
      </w:pPr>
      <w:r>
        <w:rPr>
          <w:i/>
          <w:iCs/>
        </w:rPr>
        <w:t xml:space="preserve">Note</w:t>
      </w:r>
      <w:r>
        <w:t xml:space="preserve">. Reported as: Mean [95% CrI] (pd). Link functions: b_mean = logit; b_phi = logit; b_zoi (zero-one inflation) = logit; b_coi (conditional one-inflation) = logit.</w:t>
      </w:r>
    </w:p>
    <w:bookmarkEnd w:id="66"/>
    <w:bookmarkEnd w:id="67"/>
    <w:bookmarkStart w:id="69" w:name="bayesian-regression"/>
    <w:p>
      <w:pPr>
        <w:pStyle w:val="Heading2"/>
      </w:pPr>
      <w:r>
        <w:t xml:space="preserve">Bayesian Regression</w:t>
      </w:r>
    </w:p>
    <w:p>
      <w:pPr>
        <w:pStyle w:val="FirstParagraph"/>
      </w:pPr>
      <w:r>
        <w:t xml:space="preserve">To fit our Bayesian regression models, we will be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For reference, lists each model that was run, along with the model parameters and posterior summaries, including the mean, 95% credible intervals (Cr.I), and posterior probabilities of direction (pd). For the following analyses we will be using default priors provided by</w:t>
      </w:r>
      <w:r>
        <w:t xml:space="preserve"> </w:t>
      </w:r>
      <w:r>
        <w:rPr>
          <w:rStyle w:val="VerbatimChar"/>
        </w:rPr>
        <w:t xml:space="preserve">brms</w:t>
      </w:r>
      <w:r>
        <w:t xml:space="preserve">, which are non-informative or weak. This will get us something tantamount to a frequentist model with maximum likelihood estimates most of the readers should be familiar with. For the purposes of this tutorial, we will not be getting into the minutiae of Bayesian data analysis (i.e., setting informative priors, MCMC sampling, etc,). For a more in-depth look into Bayesian data analysis I refer the reader to</w:t>
      </w:r>
      <w:r>
        <w:t xml:space="preserve"> </w:t>
      </w:r>
      <w:r>
        <w:t xml:space="preserve">McElreath (</w:t>
      </w:r>
      <w:hyperlink w:anchor="ref-mcelreath2020statistical">
        <w:r>
          <w:rPr>
            <w:rStyle w:val="Hyperlink"/>
          </w:rPr>
          <w:t xml:space="preserve">2020</w:t>
        </w:r>
      </w:hyperlink>
      <w:r>
        <w:t xml:space="preserve">)</w:t>
      </w:r>
      <w:r>
        <w:t xml:space="preserve"> </w:t>
      </w:r>
      <w:r>
        <w:t xml:space="preserve">and</w:t>
      </w:r>
      <w:r>
        <w:t xml:space="preserve"> </w:t>
      </w:r>
      <w:r>
        <w:t xml:space="preserve">Johnson et al. (</w:t>
      </w:r>
      <w:hyperlink w:anchor="ref-bayes_rules">
        <w:r>
          <w:rPr>
            <w:rStyle w:val="Hyperlink"/>
          </w:rPr>
          <w:t xml:space="preserve">n.d.</w:t>
        </w:r>
      </w:hyperlink>
      <w:r>
        <w:t xml:space="preserve">)</w:t>
      </w:r>
      <w:r>
        <w:t xml:space="preserve">.</w:t>
      </w:r>
    </w:p>
    <w:p>
      <w:pPr>
        <w:pStyle w:val="BodyText"/>
      </w:pPr>
      <w:r>
        <w:t xml:space="preserve">To create a regression model from in</w:t>
      </w:r>
      <w:r>
        <w:t xml:space="preserve"> </w:t>
      </w:r>
      <w:r>
        <w:rPr>
          <w:rStyle w:val="VerbatimChar"/>
        </w:rPr>
        <w:t xml:space="preserve">brms</w:t>
      </w:r>
      <w:r>
        <w:t xml:space="preserve"> </w:t>
      </w:r>
      <w:r>
        <w:t xml:space="preserve">we will use the</w:t>
      </w:r>
      <w:r>
        <w:t xml:space="preserve"> </w:t>
      </w:r>
      <w:r>
        <w:rPr>
          <w:rStyle w:val="VerbatimChar"/>
        </w:rPr>
        <w:t xml:space="preserve">brm()</w:t>
      </w:r>
      <w:r>
        <w:t xml:space="preserve"> </w:t>
      </w:r>
      <w:r>
        <w:t xml:space="preserve">function and fit a model looking at final test accuracy (</w:t>
      </w:r>
      <w:r>
        <w:rPr>
          <w:rStyle w:val="VerbatimChar"/>
        </w:rPr>
        <w:t xml:space="preserve">Accuracy</w:t>
      </w:r>
      <w:r>
        <w:t xml:space="preserve">) as a function of instructor fluency (</w:t>
      </w:r>
      <w:r>
        <w:rPr>
          <w:rStyle w:val="VerbatimChar"/>
        </w:rPr>
        <w:t xml:space="preserve">fluency</w:t>
      </w:r>
      <w:r>
        <w:t xml:space="preserve">). The syntax is similar to how you run a regression using the popular</w:t>
      </w:r>
      <w:r>
        <w:t xml:space="preserve"> </w:t>
      </w:r>
      <w:r>
        <w:rPr>
          <w:rStyle w:val="VerbatimChar"/>
        </w:rPr>
        <w:t xml:space="preserve">lm</w:t>
      </w:r>
      <w:r>
        <w:t xml:space="preserve"> </w:t>
      </w:r>
      <w:r>
        <w:t xml:space="preserve">function in R. Here we are concerned with modeling mean performance differences between the fluency and disfluency conditions.</w:t>
      </w:r>
    </w:p>
    <w:p>
      <w:pPr>
        <w:pStyle w:val="BodyText"/>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68"/>
      </w:r>
    </w:p>
    <w:p>
      <w:pPr>
        <w:pStyle w:val="SourceCode"/>
      </w:pPr>
      <w:r>
        <w:rPr>
          <w:rStyle w:val="CommentTok"/>
        </w:rPr>
        <w:t xml:space="preserve"># load brms and cmdstanr</w:t>
      </w:r>
      <w:r>
        <w:br/>
      </w:r>
      <w:r>
        <w:rPr>
          <w:rStyle w:val="FunctionTok"/>
        </w:rPr>
        <w:t xml:space="preserve">library</w:t>
      </w:r>
      <w:r>
        <w:rPr>
          <w:rStyle w:val="NormalTok"/>
        </w:rPr>
        <w:t xml:space="preserve">(brms)</w:t>
      </w:r>
      <w:r>
        <w:br/>
      </w:r>
      <w:r>
        <w:rPr>
          <w:rStyle w:val="FunctionTok"/>
        </w:rPr>
        <w:t xml:space="preserve">library</w:t>
      </w:r>
      <w:r>
        <w:rPr>
          <w:rStyle w:val="NormalTok"/>
        </w:rPr>
        <w:t xml:space="preserve">(cmdstanr)</w:t>
      </w:r>
    </w:p>
    <w:p>
      <w:pPr>
        <w:pStyle w:val="FirstParagraph"/>
      </w:pPr>
      <w:r>
        <w:t xml:space="preserve">We fit the model using the</w:t>
      </w:r>
      <w:r>
        <w:t xml:space="preserve"> </w:t>
      </w:r>
      <w:r>
        <w:rPr>
          <w:rStyle w:val="VerbatimChar"/>
        </w:rPr>
        <w:t xml:space="preserve">brm()</w:t>
      </w:r>
      <w:r>
        <w:t xml:space="preserve"> </w:t>
      </w:r>
      <w:r>
        <w:t xml:space="preserve">function, as shown in the code below. To speed up processing we set</w:t>
      </w:r>
      <w:r>
        <w:t xml:space="preserve"> </w:t>
      </w:r>
      <w:r>
        <w:rPr>
          <w:rStyle w:val="VerbatimChar"/>
        </w:rPr>
        <w:t xml:space="preserve">cores</w:t>
      </w:r>
      <w:r>
        <w:t xml:space="preserve"> </w:t>
      </w:r>
      <w:r>
        <w:t xml:space="preserve">= 4, and use the</w:t>
      </w:r>
      <w:r>
        <w:t xml:space="preserve"> </w:t>
      </w:r>
      <w:r>
        <w:rPr>
          <w:rStyle w:val="VerbatimChar"/>
        </w:rPr>
        <w:t xml:space="preserve">cmdstand</w:t>
      </w:r>
      <w:r>
        <w:t xml:space="preserve"> </w:t>
      </w:r>
      <w:r>
        <w:t xml:space="preserve">backend. The output provides estimates for each effect: the coefficient (</w:t>
      </w:r>
      <w:r>
        <w:rPr>
          <w:rStyle w:val="VerbatimChar"/>
        </w:rPr>
        <w:t xml:space="preserve">b_,</w:t>
      </w:r>
      <w:r>
        <w:t xml:space="preserve">) representing the mean of the posterior distribution), its estimation error (the standard deviation of the posterior distribution), and the 95% credible interval (Cr.I), which indicate the most credible values within the distribution. We inferred evidence for an effect when the 95% Cr.I did not include zero.</w:t>
      </w:r>
    </w:p>
    <w:p>
      <w:pPr>
        <w:pStyle w:val="SourceCode"/>
      </w:pPr>
      <w:r>
        <w:rPr>
          <w:rStyle w:val="CommentTok"/>
        </w:rPr>
        <w:t xml:space="preserve"># fit ols reg</w:t>
      </w:r>
      <w:r>
        <w:br/>
      </w:r>
      <w:r>
        <w:rPr>
          <w:rStyle w:val="NormalTok"/>
        </w:rPr>
        <w:t xml:space="preserve">bayes_ols_model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chains=</w:t>
      </w:r>
      <w:r>
        <w:rPr>
          <w:rStyle w:val="DecValTok"/>
        </w:rPr>
        <w:t xml:space="preserve">4</w:t>
      </w:r>
      <w:r>
        <w:rPr>
          <w:rStyle w:val="NormalTok"/>
        </w:rPr>
        <w:t xml:space="preserve">, </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"model_ols_bayes"</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summary of the Bayesian regression model. To make the output more readable, each model parameter is labeled with a prefix before the variable name. The</w:t>
      </w:r>
      <w:r>
        <w:t xml:space="preserve"> </w:t>
      </w:r>
      <w:r>
        <w:rPr>
          <w:rStyle w:val="VerbatimChar"/>
        </w:rPr>
        <w:t xml:space="preserve">b_Intercept</w:t>
      </w:r>
      <w:r>
        <w:t xml:space="preserve"> </w:t>
      </w:r>
      <w:r>
        <w:t xml:space="preserve">value refers to the accuracy in the disfluent condition (because we dummy coded our variable). The Fluency coefficient (</w:t>
      </w:r>
      <w:r>
        <w:rPr>
          <w:rStyle w:val="VerbatimChar"/>
        </w:rPr>
        <w:t xml:space="preserve">b_FluencyFluent</w:t>
      </w:r>
      <w:r>
        <w:t xml:space="preserve">) highlights the difference between the fluent and disfluent conditions,</w:t>
      </w:r>
      <w:r>
        <w:t xml:space="preserve"> </w:t>
      </w:r>
      <w:r>
        <w:rPr>
          <w:i/>
          <w:iCs/>
        </w:rPr>
        <w:t xml:space="preserve">b</w:t>
      </w:r>
      <w:r>
        <w:t xml:space="preserve"> </w:t>
      </w:r>
      <w:r>
        <w:t xml:space="preserve">= 0.085, 95% Cr.I = [0.004,0.167], pd =1. Our results are very similar to the results reported by</w:t>
      </w:r>
      <w:r>
        <w:t xml:space="preserve"> </w:t>
      </w:r>
      <w:r>
        <w:t xml:space="preserve">Wilford et al. (</w:t>
      </w:r>
      <w:hyperlink w:anchor="ref-wilford2020">
        <w:r>
          <w:rPr>
            <w:rStyle w:val="Hyperlink"/>
          </w:rPr>
          <w:t xml:space="preserve">2020</w:t>
        </w:r>
      </w:hyperlink>
      <w:r>
        <w:t xml:space="preserve">)</w:t>
      </w:r>
      <w:r>
        <w:t xml:space="preserve"> </w:t>
      </w:r>
      <w:r>
        <w:t xml:space="preserve">:</w:t>
      </w:r>
      <w:r>
        <w:t xml:space="preserve"> </w:t>
      </w:r>
      <w:r>
        <w:rPr>
          <w:i/>
          <w:iCs/>
        </w:rPr>
        <w:t xml:space="preserve">t</w:t>
      </w:r>
      <w:r>
        <w:t xml:space="preserve">(94) = 2.00,</w:t>
      </w:r>
      <w:r>
        <w:t xml:space="preserve"> </w:t>
      </w:r>
      <w:r>
        <w:rPr>
          <w:i/>
          <w:iCs/>
        </w:rPr>
        <w:t xml:space="preserve">p = .048,</w:t>
      </w:r>
      <w:r>
        <w:t xml:space="preserve"> </w:t>
      </w:r>
      <w:r>
        <w:t xml:space="preserve">95% CI [0.06, 16.56].</w:t>
      </w:r>
    </w:p>
    <w:p>
      <w:pPr>
        <w:pStyle w:val="BodyText"/>
      </w:pPr>
      <w:r>
        <w:t xml:space="preserve">There are some notable differences between our Bayesian analysis and the frequenist analyses readers might be more sued to seeing, such as the absence of</w:t>
      </w:r>
      <w:r>
        <w:t xml:space="preserve"> </w:t>
      </w:r>
      <w:r>
        <w:rPr>
          <w:i/>
          <w:iCs/>
        </w:rPr>
        <w:t xml:space="preserve">t</w:t>
      </w:r>
      <w:r>
        <w:t xml:space="preserve">- and</w:t>
      </w:r>
      <w:r>
        <w:t xml:space="preserve"> </w:t>
      </w:r>
      <w:r>
        <w:rPr>
          <w:i/>
          <w:iCs/>
        </w:rPr>
        <w:t xml:space="preserve">p</w:t>
      </w:r>
      <w:r>
        <w:t xml:space="preserve">-values. There is a metric in the table that is included with models fit when using the</w:t>
      </w:r>
      <w:r>
        <w:t xml:space="preserve"> </w:t>
      </w:r>
      <w:r>
        <w:rPr>
          <w:rStyle w:val="VerbatimChar"/>
        </w:rPr>
        <w:t xml:space="preserve">bayestestr</w:t>
      </w:r>
      <w:r>
        <w:t xml:space="preserve"> </w:t>
      </w:r>
      <w:r>
        <w:t xml:space="preserve">(</w:t>
      </w:r>
      <w:hyperlink w:anchor="ref-makowski2019">
        <w:r>
          <w:rPr>
            <w:rStyle w:val="Hyperlink"/>
          </w:rPr>
          <w:t xml:space="preserve">Makowski, Ben-Shachar, &amp; Lüdecke, 2019</w:t>
        </w:r>
      </w:hyperlink>
      <w:r>
        <w:t xml:space="preserve">)</w:t>
      </w:r>
      <w:r>
        <w:t xml:space="preserve"> </w:t>
      </w:r>
      <w:r>
        <w:t xml:space="preserve">function from</w:t>
      </w:r>
      <w:r>
        <w:t xml:space="preserve"> </w:t>
      </w:r>
      <w:r>
        <w:rPr>
          <w:rStyle w:val="VerbatimChar"/>
        </w:rPr>
        <w:t xml:space="preserve">easystats</w:t>
      </w:r>
      <w:r>
        <w:t xml:space="preserve"> </w:t>
      </w:r>
      <w:r>
        <w:t xml:space="preserve">called probability of direction (pd) that gives an indication of how much of the posterior distribution estimate is in one direction (positive or negative). The pd measure appears to correlated with</w:t>
      </w:r>
      <w:r>
        <w:t xml:space="preserve"> </w:t>
      </w:r>
      <w:r>
        <w:rPr>
          <w:i/>
          <w:iCs/>
        </w:rPr>
        <w:t xml:space="preserve">p</w:t>
      </w:r>
      <w:r>
        <w:t xml:space="preserve">-values (see</w:t>
      </w:r>
      <w:r>
        <w:t xml:space="preserve"> </w:t>
      </w:r>
      <w:r>
        <w:t xml:space="preserve">(</w:t>
      </w:r>
      <w:hyperlink w:anchor="ref-makowski2019">
        <w:r>
          <w:rPr>
            <w:rStyle w:val="Hyperlink"/>
          </w:rPr>
          <w:t xml:space="preserve">Makowski, Ben-Shachar, &amp; Lüdecke, 2019</w:t>
        </w:r>
      </w:hyperlink>
      <w:r>
        <w:t xml:space="preserve">;</w:t>
      </w:r>
      <w:r>
        <w:t xml:space="preserve"> </w:t>
      </w:r>
      <w:hyperlink w:anchor="ref-makowski2019a">
        <w:r>
          <w:rPr>
            <w:rStyle w:val="Hyperlink"/>
          </w:rPr>
          <w:t xml:space="preserve">Makowski, Ben-Shachar, Chen, et al., 2019</w:t>
        </w:r>
      </w:hyperlink>
      <w:r>
        <w:t xml:space="preserve">)</w:t>
      </w:r>
      <w:r>
        <w:t xml:space="preserve">). A pd of 95%, 97.5%, 99.5% and 99.95% correspond approximately to two-sided p-value of respectively .1, .05, .01 and .001. In addition to the pd value, one can look at the 95% Cr.I (or the highest density interval) to see if it includes 0–if it does not then the effect can be said to be significant. In the table below, the 95% credible intervals are located in the 95% Cr.Is column. Throughout we focus on the mean estimates and 95% Cr.Is.</w:t>
      </w:r>
    </w:p>
    <w:bookmarkEnd w:id="69"/>
    <w:bookmarkStart w:id="104"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using a traditional GLM approach, observed that instructor fluency impacts actual learning. Keep in mind the traditional approach assumes normality of residuals and homoscadacity or constant variance. These assumptions are tricky to maintain when the continuous response approaches either the upper or lower boundary of the scale and are almost never true (see</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Using</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and the</w:t>
      </w:r>
      <w:r>
        <w:t xml:space="preserve"> </w:t>
      </w:r>
      <w:r>
        <w:rPr>
          <w:rStyle w:val="VerbatimChar"/>
        </w:rPr>
        <w:t xml:space="preserve">check_model()</w:t>
      </w:r>
      <w:r>
        <w:t xml:space="preserve"> </w:t>
      </w:r>
      <w:r>
        <w:t xml:space="preserve">function from the</w:t>
      </w:r>
      <w:r>
        <w:t xml:space="preserve"> </w:t>
      </w:r>
      <w:r>
        <w:rPr>
          <w:rStyle w:val="VerbatimChar"/>
        </w:rPr>
        <w:t xml:space="preserve">performance</w:t>
      </w:r>
      <w:r>
        <w:t xml:space="preserve"> </w:t>
      </w:r>
      <w:r>
        <w:t xml:space="preserve">package, we can easily check this. In</w:t>
      </w:r>
      <w:r>
        <w:t xml:space="preserve"> </w:t>
      </w:r>
      <w:hyperlink w:anchor="fig-ols-assump">
        <w:r>
          <w:rPr>
            <w:rStyle w:val="Hyperlink"/>
          </w:rPr>
          <w:t xml:space="preserve">Figure 4</w:t>
        </w:r>
      </w:hyperlink>
      <w:r>
        <w:t xml:space="preserve"> </w:t>
      </w:r>
      <w:r>
        <w:t xml:space="preserve">, we see some issues with our model. Specifically, there appears to be violations of normality constant variance (homogeneity).</w:t>
      </w:r>
    </w:p>
    <w:p>
      <w:pPr>
        <w:pStyle w:val="SourceCode"/>
      </w:pPr>
      <w:r>
        <w:rPr>
          <w:rStyle w:val="NormalTok"/>
        </w:rPr>
        <w:t xml:space="preserve">performance</w:t>
      </w:r>
      <w:r>
        <w:rPr>
          <w:rStyle w:val="SpecialCharTok"/>
        </w:rPr>
        <w:t xml:space="preserve">::</w:t>
      </w:r>
      <w:r>
        <w:rPr>
          <w:rStyle w:val="FunctionTok"/>
        </w:rPr>
        <w:t xml:space="preserve">check_model</w:t>
      </w:r>
      <w:r>
        <w:rPr>
          <w:rStyle w:val="NormalTok"/>
        </w:rPr>
        <w:t xml:space="preserve">(bayes_ols_model, </w:t>
      </w:r>
      <w:r>
        <w:rPr>
          <w:rStyle w:val="AttributeTok"/>
        </w:rPr>
        <w:t xml:space="preserve">check =</w:t>
      </w:r>
      <w:r>
        <w:rPr>
          <w:rStyle w:val="NormalTok"/>
        </w:rPr>
        <w:t xml:space="preserve"> </w:t>
      </w:r>
      <w:r>
        <w:rPr>
          <w:rStyle w:val="FunctionTok"/>
        </w:rPr>
        <w:t xml:space="preserve">c</w:t>
      </w:r>
      <w:r>
        <w:rPr>
          <w:rStyle w:val="NormalTok"/>
        </w:rPr>
        <w:t xml:space="preserve">(</w:t>
      </w:r>
      <w:r>
        <w:rPr>
          <w:rStyle w:val="StringTok"/>
        </w:rPr>
        <w:t xml:space="preserve">"homogeneity"</w:t>
      </w:r>
      <w:r>
        <w:rPr>
          <w:rStyle w:val="NormalTok"/>
        </w:rPr>
        <w:t xml:space="preserve">, </w:t>
      </w:r>
      <w:r>
        <w:rPr>
          <w:rStyle w:val="StringTok"/>
        </w:rPr>
        <w:t xml:space="preserve">"normality"</w:t>
      </w:r>
      <w:r>
        <w:rPr>
          <w:rStyle w:val="NormalTok"/>
        </w:rPr>
        <w:t xml:space="preserve">))</w:t>
      </w:r>
    </w:p>
    <w:bookmarkStart w:id="73" w:name="fig-ols-assump"/>
    <w:p>
      <w:pPr>
        <w:pStyle w:val="FigureTitle"/>
      </w:pPr>
      <w:r>
        <w:t xml:space="preserve">Figure 4</w:t>
      </w:r>
    </w:p>
    <w:p>
      <w:pPr>
        <w:pStyle w:val="Caption"/>
      </w:pPr>
      <w:r>
        <w:t xml:space="preserve">Two assumption checks for our OLS model: Normality (left) and Homogeneity (right)</w:t>
      </w:r>
    </w:p>
    <w:p>
      <w:pPr>
        <w:pStyle w:val="FigureWithoutNote"/>
      </w:pPr>
      <w:r>
        <w:drawing>
          <wp:inline>
            <wp:extent cx="5943600" cy="2971800"/>
            <wp:effectExtent b="0" l="0" r="0" t="0"/>
            <wp:docPr descr="" title="" id="71" name="Picture"/>
            <a:graphic>
              <a:graphicData uri="http://schemas.openxmlformats.org/drawingml/2006/picture">
                <pic:pic>
                  <pic:nvPicPr>
                    <pic:cNvPr descr="ms_files/figure-docx/fig-ols-assump-1.png" id="72" name="Picture"/>
                    <pic:cNvPicPr>
                      <a:picLocks noChangeArrowheads="1" noChangeAspect="1"/>
                    </pic:cNvPicPr>
                  </pic:nvPicPr>
                  <pic:blipFill>
                    <a:blip r:embed="rId70"/>
                    <a:stretch>
                      <a:fillRect/>
                    </a:stretch>
                  </pic:blipFill>
                  <pic:spPr bwMode="auto">
                    <a:xfrm>
                      <a:off x="0" y="0"/>
                      <a:ext cx="5943600" cy="2971800"/>
                    </a:xfrm>
                    <a:prstGeom prst="rect">
                      <a:avLst/>
                    </a:prstGeom>
                    <a:noFill/>
                    <a:ln w="9525">
                      <a:noFill/>
                      <a:headEnd/>
                      <a:tailEnd/>
                    </a:ln>
                  </pic:spPr>
                </pic:pic>
              </a:graphicData>
            </a:graphic>
          </wp:inline>
        </w:drawing>
      </w:r>
    </w:p>
    <w:bookmarkEnd w:id="73"/>
    <w:p>
      <w:pPr>
        <w:pStyle w:val="AfterWithoutNote"/>
      </w:pPr>
      <w:r>
        <w:t xml:space="preserve">We can also examine how well the data fits the model by performing a posterior predictive check. In</w:t>
      </w:r>
      <w:r>
        <w:t xml:space="preserve"> </w:t>
      </w:r>
      <w:hyperlink w:anchor="fig-ppcheck-normal">
        <w:r>
          <w:rPr>
            <w:rStyle w:val="Hyperlink"/>
          </w:rPr>
          <w:t xml:space="preserve">Figure 5</w:t>
        </w:r>
      </w:hyperlink>
      <w:r>
        <w:t xml:space="preserve">, multiple draws or repetitions from the posterior distribution are plotted (light blue lines) against the observed data. (dark green). Ideally, the predictive draws (the light blue lines) should show reasonable resemblance with the observed data (dark blue line). In our example, the model-predicted density is slightly too peaked and narrow compared to the data. In addition, some of the draws extend into negative accuracy values.</w:t>
      </w:r>
    </w:p>
    <w:bookmarkStart w:id="77" w:name="fig-ppcheck-normal"/>
    <w:p>
      <w:pPr>
        <w:pStyle w:val="FigureTitle"/>
      </w:pPr>
      <w:r>
        <w:t xml:space="preserve">Figure 5</w:t>
      </w:r>
    </w:p>
    <w:p>
      <w:pPr>
        <w:pStyle w:val="Caption"/>
      </w:pPr>
      <w:r>
        <w:t xml:space="preserve">Posterior predictive check</w:t>
      </w:r>
    </w:p>
    <w:p>
      <w:pPr>
        <w:pStyle w:val="FigureWithoutNote"/>
      </w:pPr>
      <w:r>
        <w:drawing>
          <wp:inline>
            <wp:extent cx="5943600" cy="2971800"/>
            <wp:effectExtent b="0" l="0" r="0" t="0"/>
            <wp:docPr descr="" title="" id="75" name="Picture"/>
            <a:graphic>
              <a:graphicData uri="http://schemas.openxmlformats.org/drawingml/2006/picture">
                <pic:pic>
                  <pic:nvPicPr>
                    <pic:cNvPr descr="ms_files/figure-docx/fig-ppcheck-normal-1.png" id="76" name="Picture"/>
                    <pic:cNvPicPr>
                      <a:picLocks noChangeArrowheads="1" noChangeAspect="1"/>
                    </pic:cNvPicPr>
                  </pic:nvPicPr>
                  <pic:blipFill>
                    <a:blip r:embed="rId74"/>
                    <a:stretch>
                      <a:fillRect/>
                    </a:stretch>
                  </pic:blipFill>
                  <pic:spPr bwMode="auto">
                    <a:xfrm>
                      <a:off x="0" y="0"/>
                      <a:ext cx="5943600" cy="2971800"/>
                    </a:xfrm>
                    <a:prstGeom prst="rect">
                      <a:avLst/>
                    </a:prstGeom>
                    <a:noFill/>
                    <a:ln w="9525">
                      <a:noFill/>
                      <a:headEnd/>
                      <a:tailEnd/>
                    </a:ln>
                  </pic:spPr>
                </pic:pic>
              </a:graphicData>
            </a:graphic>
          </wp:inline>
        </w:drawing>
      </w:r>
    </w:p>
    <w:bookmarkEnd w:id="77"/>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SourceCode"/>
      </w:pPr>
      <w:r>
        <w:rPr>
          <w:rStyle w:val="CommentTok"/>
        </w:rPr>
        <w:t xml:space="preserve"># fit model with mu and phi</w:t>
      </w:r>
      <w:r>
        <w:br/>
      </w:r>
      <w:r>
        <w:rPr>
          <w:rStyle w:val="NormalTok"/>
        </w:rPr>
        <w:t xml:space="preserve">model_beta_bayes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fit phi model</w:t>
      </w:r>
      <w:r>
        <w:br/>
      </w:r>
      <w:r>
        <w:rPr>
          <w:rStyle w:val="NormalTok"/>
        </w:rPr>
        <w:t xml:space="preserve">)</w:t>
      </w:r>
    </w:p>
    <w:p>
      <w:pPr>
        <w:pStyle w:val="FirstParagraph"/>
      </w:pPr>
      <w:r>
        <w:t xml:space="preserve">If we try to run</w:t>
      </w:r>
      <w:r>
        <w:t xml:space="preserve"> </w:t>
      </w:r>
      <w:r>
        <w:rPr>
          <w:rStyle w:val="VerbatimChar"/>
        </w:rPr>
        <w:t xml:space="preserve">beta_brms</w:t>
      </w:r>
      <w:r>
        <w:t xml:space="preserve">, however, we get an error:</w:t>
      </w:r>
      <w:r>
        <w:t xml:space="preserve"> </w:t>
      </w:r>
      <w:r>
        <w:rPr>
          <w:rStyle w:val="VerbatimChar"/>
        </w:rPr>
        <w:t xml:space="preserve">Error: Family 'beta' requires response greater than 0</w:t>
      </w:r>
      <w:r>
        <w:t xml:space="preserve">. This is by design. If your remember, the Beta distribution can only model responses in the interval [0-1], but not responses that are exactly 0 or 1. We need make sure there are no zeros and ones in our dataset.</w:t>
      </w:r>
    </w:p>
    <w:bookmarkStart w:id="78" w:name="tbl-01s"/>
    <w:p>
      <w:pPr>
        <w:pStyle w:val="FigureTitle"/>
      </w:pPr>
      <w:r>
        <w:t xml:space="preserve">Table 3</w:t>
      </w:r>
    </w:p>
    <w:p>
      <w:pPr>
        <w:pStyle w:val="Caption"/>
      </w:pPr>
      <w:r>
        <w:t xml:space="preserve">Number of zeros and ones in our dataset</w:t>
      </w:r>
    </w:p>
    <w:tbl>
      <w:tblPr>
        <w:tblStyle w:val="Table"/>
        <w:tblW w:type="pct" w:w="1319"/>
        <w:tblLayout w:type="fixed"/>
        <w:tblLook w:firstRow="1" w:lastRow="0" w:firstColumn="0" w:lastColumn="0" w:noHBand="0" w:noVBand="0" w:val="0020"/>
      </w:tblPr>
      <w:tblGrid>
        <w:gridCol w:w="1210"/>
        <w:gridCol w:w="880"/>
      </w:tblGrid>
      <w:tr>
        <w:trPr>
          <w:tblHeader w:val="on"/>
        </w:trPr>
        <w:tc>
          <w:tcPr/>
          <w:p>
            <w:pPr>
              <w:pStyle w:val="Compact"/>
            </w:pPr>
            <w:r>
              <w:t xml:space="preserve">Accuracy</w:t>
            </w:r>
          </w:p>
        </w:tc>
        <w:tc>
          <w:tcPr/>
          <w:p>
            <w:pPr>
              <w:pStyle w:val="Compact"/>
            </w:pPr>
            <w:r>
              <w:t xml:space="preserve">Count</w:t>
            </w:r>
          </w:p>
        </w:tc>
      </w:tr>
      <w:tr>
        <w:tc>
          <w:tcPr/>
          <w:p>
            <w:pPr>
              <w:pStyle w:val="Compact"/>
            </w:pPr>
            <w:r>
              <w:t xml:space="preserve">0</w:t>
            </w:r>
          </w:p>
        </w:tc>
        <w:tc>
          <w:tcPr/>
          <w:p>
            <w:pPr>
              <w:pStyle w:val="Compact"/>
            </w:pPr>
            <w:r>
              <w:t xml:space="preserve">9</w:t>
            </w:r>
          </w:p>
        </w:tc>
      </w:tr>
      <w:tr>
        <w:tc>
          <w:tcPr/>
          <w:p>
            <w:pPr>
              <w:pStyle w:val="Compact"/>
            </w:pPr>
            <w:r>
              <w:t xml:space="preserve">1</w:t>
            </w:r>
          </w:p>
        </w:tc>
        <w:tc>
          <w:tcPr/>
          <w:p>
            <w:pPr>
              <w:pStyle w:val="Compact"/>
            </w:pPr>
            <w:r>
              <w:t xml:space="preserve">1</w:t>
            </w:r>
          </w:p>
        </w:tc>
      </w:tr>
    </w:tbl>
    <w:bookmarkEnd w:id="78"/>
    <w:p>
      <w:pPr>
        <w:pStyle w:val="AfterWithoutNote"/>
      </w:pPr>
      <w:hyperlink w:anchor="tbl-01s">
        <w:r>
          <w:rPr>
            <w:rStyle w:val="Hyperlink"/>
          </w:rPr>
          <w:t xml:space="preserve">Table 3</w:t>
        </w:r>
      </w:hyperlink>
      <w:r>
        <w:t xml:space="preserve"> </w:t>
      </w:r>
      <w:r>
        <w:t xml:space="preserve">shows we have 9 rows with accuracy of 0, and 1 row with an accuracy of exactly 1. To run a Beta regression, a common hack is to nudge our 0s towards .01 and our 1s to .99 so they fall within the interval of [0-1]. The model</w:t>
      </w:r>
      <w:r>
        <w:t xml:space="preserve"> </w:t>
      </w:r>
      <w:r>
        <w:rPr>
          <w:rStyle w:val="VerbatimChar"/>
        </w:rPr>
        <w:t xml:space="preserve">beta_brms</w:t>
      </w:r>
      <w:r>
        <w:t xml:space="preserve"> </w:t>
      </w:r>
      <w:r>
        <w:t xml:space="preserve">uses data where 0s and 1s are changed to .01 and .99, respectively.</w:t>
      </w:r>
    </w:p>
    <w:p>
      <w:pPr>
        <w:pStyle w:val="BodyText"/>
      </w:pPr>
      <w:r>
        <w:t xml:space="preserve">We can rerun our model replacing</w:t>
      </w:r>
      <w:r>
        <w:t xml:space="preserve"> </w:t>
      </w:r>
      <w:r>
        <w:rPr>
          <w:rStyle w:val="VerbatimChar"/>
        </w:rPr>
        <w:t xml:space="preserve">fluency_data</w:t>
      </w:r>
      <w:r>
        <w:t xml:space="preserve"> </w:t>
      </w:r>
      <w:r>
        <w:t xml:space="preserve">with</w:t>
      </w:r>
      <w:r>
        <w:t xml:space="preserve"> </w:t>
      </w:r>
      <w:r>
        <w:rPr>
          <w:rStyle w:val="VerbatimChar"/>
        </w:rPr>
        <w:t xml:space="preserve">data_beta</w:t>
      </w:r>
      <w:r>
        <w:t xml:space="preserve"> </w:t>
      </w:r>
      <w:r>
        <w:t xml:space="preserve">in the below function call.</w:t>
      </w:r>
    </w:p>
    <w:p>
      <w:pPr>
        <w:pStyle w:val="BodyText"/>
      </w:pPr>
      <w:r>
        <w:t xml:space="preserve">No errors this time! We will perform the Beta regression using the nudged values of .01 and .99 values and report our results.</w:t>
      </w:r>
    </w:p>
    <w:p>
      <w:pPr>
        <w:pStyle w:val="Heading4"/>
        <w:rPr>
          <w:vanish/>
          <w:specVanish/>
        </w:rPr>
      </w:pPr>
      <w:r>
        <w:t>Model Parameters.</w:t>
      </w:r>
      <w:r>
        <w:t xml:space="preserve"> </w:t>
      </w:r>
    </w:p>
    <w:p>
      <w:pPr>
        <w:pStyle w:val="BodyText"/>
      </w:pPr>
      <w:hyperlink w:anchor="tbl-all">
        <w:r>
          <w:rPr>
            <w:rStyle w:val="Hyperlink"/>
          </w:rPr>
          <w:t xml:space="preserve">Table 2</w:t>
        </w:r>
      </w:hyperlink>
      <w:r>
        <w:t xml:space="preserve"> </w:t>
      </w:r>
      <w:r>
        <w:t xml:space="preserve">displays the summary from all out Bayesian implementation.</w:t>
      </w:r>
      <w:r>
        <w:t xml:space="preserve"> </w:t>
      </w:r>
      <w:r>
        <w:rPr>
          <w:rStyle w:val="FootnoteReference"/>
        </w:rPr>
        <w:footnoteReference w:id="79"/>
      </w:r>
      <w:r>
        <w:t xml:space="preserve"> </w:t>
      </w:r>
      <w:r>
        <w:t xml:space="preserve">The</w:t>
      </w:r>
      <w:r>
        <w:t xml:space="preserve"> </w:t>
      </w:r>
      <m:oMath>
        <m:r>
          <m:t>μ</m:t>
        </m:r>
      </m:oMath>
      <w:r>
        <w:t xml:space="preserve"> </w:t>
      </w:r>
      <w:r>
        <w:t xml:space="preserve">parameter estimates, which are labeled with an underscore</w:t>
      </w:r>
      <w:r>
        <w:t xml:space="preserve"> </w:t>
      </w:r>
      <w:r>
        <w:rPr>
          <w:rStyle w:val="VerbatimChar"/>
        </w:rPr>
        <w:t xml:space="preserve">b_</w:t>
      </w:r>
      <w:r>
        <w:t xml:space="preserve">while</w:t>
      </w:r>
      <w:r>
        <w:t xml:space="preserve"> </w:t>
      </w:r>
      <m:oMath>
        <m:r>
          <m:t>ϕ</m:t>
        </m:r>
      </m:oMath>
      <w:r>
        <w:t xml:space="preserve"> </w:t>
      </w:r>
      <w:r>
        <w:t xml:space="preserve">parameter coefficients are tagged with b</w:t>
      </w:r>
      <w:r>
        <w:rPr>
          <w:rStyle w:val="VerbatimChar"/>
        </w:rPr>
        <w:t xml:space="preserve">_phi</w:t>
      </w:r>
      <w:r>
        <w:t xml:space="preserve"> </w:t>
      </w:r>
      <w:r>
        <w:t xml:space="preserve">in the</w:t>
      </w:r>
      <w:r>
        <w:t xml:space="preserve"> </w:t>
      </w:r>
      <w:r>
        <w:rPr>
          <w:rStyle w:val="VerbatimChar"/>
        </w:rPr>
        <w:t xml:space="preserve">Parameter</w:t>
      </w:r>
      <w:r>
        <w:t xml:space="preserve"> </w:t>
      </w:r>
      <w:r>
        <w:t xml:space="preserve">column.</w:t>
      </w:r>
    </w:p>
    <w:bookmarkStart w:id="92" w:name="mean-mu"/>
    <w:p>
      <w:pPr>
        <w:pStyle w:val="Heading3"/>
      </w:pPr>
      <w:r>
        <w:t xml:space="preserve">Mean</w:t>
      </w:r>
      <w:r>
        <w:t xml:space="preserve"> </w:t>
      </w:r>
      <m:oMath>
        <m:r>
          <m:t>μ</m:t>
        </m:r>
      </m:oMath>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which is the mean of the beta distribution.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Heading4"/>
        <w:rPr>
          <w:vanish/>
          <w:specVanish/>
        </w:rPr>
      </w:pPr>
      <w:r>
        <w:t>Predicted Probabilities.</w:t>
      </w:r>
      <w:r>
        <w:t xml:space="preserve"> </w:t>
      </w:r>
    </w:p>
    <w:p>
      <w:pPr>
        <w:pStyle w:val="BodyText"/>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-0.918 + 0.24 = -0.678</w:t>
      </w:r>
      <w:r>
        <w:t xml:space="preserve">. We then use</w:t>
      </w:r>
      <w:r>
        <w:t xml:space="preserve"> </w:t>
      </w:r>
      <w:r>
        <w:rPr>
          <w:rStyle w:val="VerbatimChar"/>
        </w:rPr>
        <w:t xml:space="preserve">plogis()</w:t>
      </w:r>
      <w:r>
        <w:t xml:space="preserve"> </w:t>
      </w:r>
      <w:r>
        <w:t xml:space="preserve">to convert both log-odds values to probabilities (Fluent = 36%, Disfluency = 26%).</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w:t>
      </w:r>
      <w:r>
        <w:t xml:space="preserve"> </w:t>
      </w:r>
      <w:r>
        <w:rPr>
          <w:rStyle w:val="FootnoteReference"/>
        </w:rPr>
        <w:footnoteReference w:id="80"/>
      </w:r>
      <w:r>
        <w:t xml:space="preserve"> </w:t>
      </w:r>
      <w:r>
        <w:t xml:space="preserve">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p>
      <w:pPr>
        <w:pStyle w:val="SourceCode"/>
      </w:pPr>
      <w:r>
        <w:rPr>
          <w:rStyle w:val="CommentTok"/>
        </w:rPr>
        <w:t xml:space="preserve"># load marginaleffects package</w:t>
      </w:r>
      <w:r>
        <w:br/>
      </w:r>
      <w:r>
        <w:rPr>
          <w:rStyle w:val="FunctionTok"/>
        </w:rPr>
        <w:t xml:space="preserve">library</w:t>
      </w:r>
      <w:r>
        <w:rPr>
          <w:rStyle w:val="NormalTok"/>
        </w:rPr>
        <w:t xml:space="preserve">(marginaleffects)</w:t>
      </w:r>
    </w:p>
    <w:p>
      <w:pPr>
        <w:pStyle w:val="SourceCode"/>
      </w:pPr>
      <w:r>
        <w:rPr>
          <w:rStyle w:val="CommentTok"/>
        </w:rPr>
        <w:t xml:space="preserve"># use predictions to get predicted probs for each condition</w:t>
      </w:r>
      <w:r>
        <w:br/>
      </w:r>
      <w:r>
        <w:rPr>
          <w:rStyle w:val="FunctionTok"/>
        </w:rPr>
        <w:t xml:space="preserve">predictions</w:t>
      </w:r>
      <w:r>
        <w:rPr>
          <w:rStyle w:val="NormalTok"/>
        </w:rPr>
        <w:t xml:space="preserve">(</w:t>
      </w:r>
      <w:r>
        <w:br/>
      </w:r>
      <w:r>
        <w:rPr>
          <w:rStyle w:val="NormalTok"/>
        </w:rPr>
        <w:t xml:space="preserve">  beta_brms,</w:t>
      </w:r>
      <w:r>
        <w:br/>
      </w:r>
      <w:r>
        <w:rPr>
          <w:rStyle w:val="NormalTok"/>
        </w:rPr>
        <w:t xml:space="preserve">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Fluency =</w:t>
      </w:r>
      <w:r>
        <w:rPr>
          <w:rStyle w:val="NormalTok"/>
        </w:rPr>
        <w:t xml:space="preserve"> </w:t>
      </w:r>
      <w:r>
        <w:rPr>
          <w:rStyle w:val="FunctionTok"/>
        </w:rPr>
        <w:t xml:space="preserve">c</w:t>
      </w:r>
      <w:r>
        <w:rPr>
          <w:rStyle w:val="NormalTok"/>
        </w:rPr>
        <w:t xml:space="preserve">(</w:t>
      </w:r>
      <w:r>
        <w:rPr>
          <w:rStyle w:val="StringTok"/>
        </w:rPr>
        <w:t xml:space="preserve">"Disfluent"</w:t>
      </w:r>
      <w:r>
        <w:rPr>
          <w:rStyle w:val="NormalTok"/>
        </w:rPr>
        <w:t xml:space="preserve">, </w:t>
      </w:r>
      <w:r>
        <w:rPr>
          <w:rStyle w:val="StringTok"/>
        </w:rPr>
        <w:t xml:space="preserve">"Fluent"</w:t>
      </w:r>
      <w:r>
        <w:rPr>
          <w:rStyle w:val="NormalTok"/>
        </w:rPr>
        <w:t xml:space="preserve">)) </w:t>
      </w:r>
      <w:r>
        <w:rPr>
          <w:rStyle w:val="CommentTok"/>
        </w:rPr>
        <w:t xml:space="preserve"># need to specify the levels of the categorical predictor</w:t>
      </w:r>
      <w:r>
        <w:br/>
      </w:r>
      <w:r>
        <w:rPr>
          <w:rStyle w:val="NormalTok"/>
        </w:rPr>
        <w:t xml:space="preserve">)</w:t>
      </w:r>
    </w:p>
    <w:bookmarkStart w:id="81"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0.263</w:t>
            </w:r>
          </w:p>
        </w:tc>
        <w:tc>
          <w:tcPr/>
          <w:p>
            <w:pPr>
              <w:pStyle w:val="Compact"/>
            </w:pPr>
            <w:r>
              <w:t xml:space="preserve">[0.212, 0.32]</w:t>
            </w:r>
          </w:p>
        </w:tc>
      </w:tr>
      <w:tr>
        <w:tc>
          <w:tcPr/>
          <w:p>
            <w:pPr>
              <w:pStyle w:val="Compact"/>
            </w:pPr>
            <w:r>
              <w:t xml:space="preserve">Fluent</w:t>
            </w:r>
          </w:p>
        </w:tc>
        <w:tc>
          <w:tcPr/>
          <w:p>
            <w:pPr>
              <w:pStyle w:val="Compact"/>
            </w:pPr>
            <w:r>
              <w:t xml:space="preserve">0.358</w:t>
            </w:r>
          </w:p>
        </w:tc>
        <w:tc>
          <w:tcPr/>
          <w:p>
            <w:pPr>
              <w:pStyle w:val="Compact"/>
            </w:pPr>
            <w:r>
              <w:t xml:space="preserve">[0.291, 0.426]</w:t>
            </w:r>
          </w:p>
        </w:tc>
      </w:tr>
    </w:tbl>
    <w:bookmarkEnd w:id="81"/>
    <w:p>
      <w:pPr>
        <w:pStyle w:val="AfterWithoutNote"/>
      </w:pPr>
      <w:r>
        <w:t xml:space="preserve">For the</w:t>
      </w:r>
      <w:r>
        <w:t xml:space="preserve"> </w:t>
      </w:r>
      <w:r>
        <w:rPr>
          <w:rStyle w:val="VerbatimChar"/>
        </w:rPr>
        <w:t xml:space="preserve">Fluency</w:t>
      </w:r>
      <w:r>
        <w:t xml:space="preserve"> </w:t>
      </w:r>
      <w:r>
        <w:t xml:space="preserve">factor, we can interpret the</w:t>
      </w:r>
      <w:r>
        <w:t xml:space="preserve"> </w:t>
      </w:r>
      <w:r>
        <w:rPr>
          <w:rStyle w:val="VerbatimChar"/>
        </w:rPr>
        <w:t xml:space="preserve">Mean</w:t>
      </w:r>
      <w:r>
        <w:t xml:space="preserve"> </w:t>
      </w:r>
      <w:r>
        <w:t xml:space="preserve">column in terms of proportions or percentages. That is, participants who watched the fluent instructor scored on average 36% on the final exam compared to 26% for those who watched the disfluent instructor.</w:t>
      </w:r>
    </w:p>
    <w:p>
      <w:pPr>
        <w:pStyle w:val="BodyText"/>
      </w:pPr>
      <w:r>
        <w:t xml:space="preserve">We can also easily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After using this function, the proportions are visualized in</w:t>
      </w:r>
      <w:r>
        <w:t xml:space="preserve"> </w:t>
      </w:r>
      <w:hyperlink w:anchor="fig-plot-pre">
        <w:r>
          <w:rPr>
            <w:rStyle w:val="Hyperlink"/>
          </w:rPr>
          <w:t xml:space="preserve">Figure 6</w:t>
        </w:r>
      </w:hyperlink>
      <w:r>
        <w:t xml:space="preserve">.</w:t>
      </w:r>
    </w:p>
    <w:p>
      <w:pPr>
        <w:pStyle w:val="SourceCode"/>
      </w:pPr>
      <w:r>
        <w:rPr>
          <w:rStyle w:val="NormalTok"/>
        </w:rPr>
        <w:t xml:space="preserve">beta_plot </w:t>
      </w:r>
      <w:r>
        <w:rPr>
          <w:rStyle w:val="OtherTok"/>
        </w:rPr>
        <w:t xml:space="preserve">&lt;-</w:t>
      </w:r>
      <w:r>
        <w:rPr>
          <w:rStyle w:val="NormalTok"/>
        </w:rPr>
        <w:t xml:space="preserve"> </w:t>
      </w:r>
      <w:r>
        <w:rPr>
          <w:rStyle w:val="FunctionTok"/>
        </w:rPr>
        <w:t xml:space="preserve">plot_predictions</w:t>
      </w:r>
      <w:r>
        <w:rPr>
          <w:rStyle w:val="NormalTok"/>
        </w:rPr>
        <w:t xml:space="preserve">(beta_brms, </w:t>
      </w:r>
      <w:r>
        <w:rPr>
          <w:rStyle w:val="AttributeTok"/>
        </w:rPr>
        <w:t xml:space="preserve">condition =</w:t>
      </w:r>
      <w:r>
        <w:rPr>
          <w:rStyle w:val="NormalTok"/>
        </w:rPr>
        <w:t xml:space="preserve"> </w:t>
      </w:r>
      <w:r>
        <w:rPr>
          <w:rStyle w:val="StringTok"/>
        </w:rPr>
        <w:t xml:space="preserve">"Fluency"</w:t>
      </w:r>
      <w:r>
        <w:rPr>
          <w:rStyle w:val="NormalTok"/>
        </w:rPr>
        <w:t xml:space="preserve">)</w:t>
      </w:r>
    </w:p>
    <w:bookmarkStart w:id="85" w:name="fig-plot-pre"/>
    <w:p>
      <w:pPr>
        <w:pStyle w:val="FigureTitle"/>
      </w:pPr>
      <w:r>
        <w:t xml:space="preserve">Figure 6</w:t>
      </w:r>
    </w:p>
    <w:p>
      <w:pPr>
        <w:pStyle w:val="Caption"/>
      </w:pPr>
      <w:r>
        <w:t xml:space="preserve">Predicted probablities for fluency factor</w:t>
      </w:r>
    </w:p>
    <w:p>
      <w:pPr>
        <w:pStyle w:val="FigureWithoutNote"/>
      </w:pPr>
      <w:r>
        <w:drawing>
          <wp:inline>
            <wp:extent cx="5943600" cy="2971800"/>
            <wp:effectExtent b="0" l="0" r="0" t="0"/>
            <wp:docPr descr="" title="" id="83" name="Picture"/>
            <a:graphic>
              <a:graphicData uri="http://schemas.openxmlformats.org/drawingml/2006/picture">
                <pic:pic>
                  <pic:nvPicPr>
                    <pic:cNvPr descr="ms_files/figure-docx/fig-plot-pre-1.png" id="84" name="Picture"/>
                    <pic:cNvPicPr>
                      <a:picLocks noChangeArrowheads="1" noChangeAspect="1"/>
                    </pic:cNvPicPr>
                  </pic:nvPicPr>
                  <pic:blipFill>
                    <a:blip r:embed="rId82"/>
                    <a:stretch>
                      <a:fillRect/>
                    </a:stretch>
                  </pic:blipFill>
                  <pic:spPr bwMode="auto">
                    <a:xfrm>
                      <a:off x="0" y="0"/>
                      <a:ext cx="5943600" cy="2971800"/>
                    </a:xfrm>
                    <a:prstGeom prst="rect">
                      <a:avLst/>
                    </a:prstGeom>
                    <a:noFill/>
                    <a:ln w="9525">
                      <a:noFill/>
                      <a:headEnd/>
                      <a:tailEnd/>
                    </a:ln>
                  </pic:spPr>
                </pic:pic>
              </a:graphicData>
            </a:graphic>
          </wp:inline>
        </w:drawing>
      </w:r>
    </w:p>
    <w:bookmarkEnd w:id="85"/>
    <w:p>
      <w:pPr>
        <w:pStyle w:val="AfterWithoutNote"/>
      </w:pPr>
      <w:r>
        <w:t xml:space="preserve">Readers might notice that</w:t>
      </w:r>
      <w:r>
        <w:t xml:space="preserve"> </w:t>
      </w:r>
      <w:hyperlink w:anchor="fig-plot-pre">
        <w:r>
          <w:rPr>
            <w:rStyle w:val="Hyperlink"/>
          </w:rPr>
          <w:t xml:space="preserve">Figure 6</w:t>
        </w:r>
      </w:hyperlink>
      <w:r>
        <w:t xml:space="preserve"> </w:t>
      </w:r>
      <w:r>
        <w:t xml:space="preserve">displays a single point estimate along with its 95% Cr.I.. In Bayesian data analysis, MCMC sampling generates a distribution for each parameter of interest. This approach allows us to visualize the uncertainty surrounding our estimates.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bookmarkStart w:id="89"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943600" cy="2971800"/>
            <wp:effectExtent b="0" l="0" r="0" t="0"/>
            <wp:docPr descr="" title="" id="87" name="Picture"/>
            <a:graphic>
              <a:graphicData uri="http://schemas.openxmlformats.org/drawingml/2006/picture">
                <pic:pic>
                  <pic:nvPicPr>
                    <pic:cNvPr descr="ms_files/figure-docx/fig-draws-fluency-1.png" id="88" name="Picture"/>
                    <pic:cNvPicPr>
                      <a:picLocks noChangeArrowheads="1" noChangeAspect="1"/>
                    </pic:cNvPicPr>
                  </pic:nvPicPr>
                  <pic:blipFill>
                    <a:blip r:embed="rId86"/>
                    <a:stretch>
                      <a:fillRect/>
                    </a:stretch>
                  </pic:blipFill>
                  <pic:spPr bwMode="auto">
                    <a:xfrm>
                      <a:off x="0" y="0"/>
                      <a:ext cx="5943600" cy="2971800"/>
                    </a:xfrm>
                    <a:prstGeom prst="rect">
                      <a:avLst/>
                    </a:prstGeom>
                    <a:noFill/>
                    <a:ln w="9525">
                      <a:noFill/>
                      <a:headEnd/>
                      <a:tailEnd/>
                    </a:ln>
                  </pic:spPr>
                </pic:pic>
              </a:graphicData>
            </a:graphic>
          </wp:inline>
        </w:drawing>
      </w:r>
    </w:p>
    <w:bookmarkEnd w:id="89"/>
    <w:p>
      <w:pPr>
        <w:pStyle w:val="Heading4"/>
        <w:rPr>
          <w:vanish/>
          <w:specVanish/>
        </w:rPr>
      </w:pPr>
      <w:r>
        <w:t>Marginal Effects.</w:t>
      </w:r>
      <w:r>
        <w:t xml:space="preserve"> </w:t>
      </w:r>
    </w:p>
    <w:p>
      <w:pPr>
        <w:pStyle w:val="BodyText"/>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 [] computes marginal effects by holding all predictors at their means. In this tutorial, we will use the</w:t>
      </w:r>
      <w:r>
        <w:t xml:space="preserve"> </w:t>
      </w:r>
      <w:r>
        <w:rPr>
          <w:rStyle w:val="VerbatimChar"/>
        </w:rPr>
        <w:t xml:space="preserve">marginaleffects</w:t>
      </w:r>
      <w:r>
        <w:t xml:space="preserve"> </w:t>
      </w:r>
      <w:r>
        <w:t xml:space="preserve">package,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risk difference for categorical variables. The risk difference represents the difference in average outcomes between two groups or conditions.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we can compute this metric directly. By default, the function calculates the discrete difference between groups. It can also compute other effect size metrics, such as odds ratios and isk ratios, depending on the research question (see</w:t>
      </w:r>
      <w:r>
        <w:t xml:space="preserve"> </w:t>
      </w:r>
      <w:hyperlink w:anchor="tbl-or">
        <w:r>
          <w:rPr>
            <w:rStyle w:val="Hyperlink"/>
          </w:rPr>
          <w:t xml:space="preserve">Table 6</w:t>
        </w:r>
      </w:hyperlink>
      <w:r>
        <w:t xml:space="preserve"> </w:t>
      </w:r>
      <w:r>
        <w:t xml:space="preserve">for more details). This flexibility makes it a powerful tool for interpreting regression results in a meaningful way.</w:t>
      </w:r>
    </w:p>
    <w:p>
      <w:pPr>
        <w:pStyle w:val="SourceCode"/>
      </w:pPr>
      <w:r>
        <w:rPr>
          <w:rStyle w:val="CommentTok"/>
        </w:rPr>
        <w:t xml:space="preserve"># get risk difference by default</w:t>
      </w:r>
      <w:r>
        <w:br/>
      </w:r>
      <w:r>
        <w:rPr>
          <w:rStyle w:val="NormalTok"/>
        </w:rPr>
        <w:t xml:space="preserve">beta_avg_comp </w:t>
      </w:r>
      <w:r>
        <w:rPr>
          <w:rStyle w:val="OtherTok"/>
        </w:rPr>
        <w:t xml:space="preserve">&lt;-</w:t>
      </w:r>
      <w:r>
        <w:rPr>
          <w:rStyle w:val="NormalTok"/>
        </w:rPr>
        <w:t xml:space="preserve"> </w:t>
      </w:r>
      <w:r>
        <w:rPr>
          <w:rStyle w:val="FunctionTok"/>
        </w:rPr>
        <w:t xml:space="preserve">avg_comparisons</w:t>
      </w:r>
      <w:r>
        <w:rPr>
          <w:rStyle w:val="NormalTok"/>
        </w:rPr>
        <w:t xml:space="preserve">(beta_brms)</w:t>
      </w:r>
    </w:p>
    <w:bookmarkStart w:id="90" w:name="tbl-ame1"/>
    <w:p>
      <w:pPr>
        <w:pStyle w:val="FigureTitle"/>
      </w:pPr>
      <w:r>
        <w:t xml:space="preserve">Table 5</w:t>
      </w:r>
    </w:p>
    <w:p>
      <w:pPr>
        <w:pStyle w:val="Caption"/>
      </w:pPr>
      <w:r>
        <w:t xml:space="preserve">Risk difference for instructor fluency</w:t>
      </w:r>
    </w:p>
    <w:tbl>
      <w:tblPr>
        <w:tblStyle w:val="Table"/>
        <w:tblW w:type="pct" w:w="3819"/>
        <w:tblLayout w:type="fixed"/>
        <w:tblLook w:firstRow="1" w:lastRow="0" w:firstColumn="0" w:lastColumn="0" w:noHBand="0" w:noVBand="0" w:val="0020"/>
      </w:tblPr>
      <w:tblGrid>
        <w:gridCol w:w="1100"/>
        <w:gridCol w:w="2310"/>
        <w:gridCol w:w="880"/>
        <w:gridCol w:w="176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0.095</w:t>
            </w:r>
          </w:p>
        </w:tc>
        <w:tc>
          <w:tcPr/>
          <w:p>
            <w:pPr>
              <w:pStyle w:val="Compact"/>
            </w:pPr>
            <w:r>
              <w:t xml:space="preserve">[0.01, 0.175]</w:t>
            </w:r>
          </w:p>
        </w:tc>
      </w:tr>
    </w:tbl>
    <w:bookmarkEnd w:id="90"/>
    <w:p>
      <w:pPr>
        <w:pStyle w:val="AfterWithoutNote"/>
      </w:pPr>
      <w:hyperlink w:anchor="tbl-ame1">
        <w:r>
          <w:rPr>
            <w:rStyle w:val="Hyperlink"/>
          </w:rPr>
          <w:t xml:space="preserve">Table 5</w:t>
        </w:r>
      </w:hyperlink>
      <w:r>
        <w:t xml:space="preserve"> </w:t>
      </w:r>
      <w:r>
        <w:t xml:space="preserve">displays the risk difference for the fluency factor (</w:t>
      </w:r>
      <w:r>
        <w:rPr>
          <w:rStyle w:val="VerbatimChar"/>
        </w:rPr>
        <w:t xml:space="preserve">estimate</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shows that zero is not among the 95% most credible values.</w:t>
      </w:r>
    </w:p>
    <w:p>
      <w:pPr>
        <w:pStyle w:val="BodyText"/>
      </w:pPr>
      <w:r>
        <w:t xml:space="preserve">We can also get the odds ratio with</w:t>
      </w:r>
      <w:r>
        <w:t xml:space="preserve"> </w:t>
      </w:r>
      <w:r>
        <w:rPr>
          <w:rStyle w:val="VerbatimChar"/>
        </w:rPr>
        <w:t xml:space="preserve">avg_comparisons</w:t>
      </w:r>
      <w:r>
        <w:t xml:space="preserve"> </w:t>
      </w:r>
      <w:r>
        <w:t xml:space="preserve">(see</w:t>
      </w:r>
      <w:r>
        <w:t xml:space="preserve"> </w:t>
      </w:r>
      <w:hyperlink w:anchor="tbl-or">
        <w:r>
          <w:rPr>
            <w:rStyle w:val="Hyperlink"/>
          </w:rPr>
          <w:t xml:space="preserve">Table 6</w:t>
        </w:r>
      </w:hyperlink>
      <w:r>
        <w:t xml:space="preserve">).</w:t>
      </w:r>
    </w:p>
    <w:bookmarkStart w:id="91"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1.562</w:t>
            </w:r>
          </w:p>
        </w:tc>
        <w:tc>
          <w:tcPr/>
          <w:p>
            <w:pPr>
              <w:pStyle w:val="Compact"/>
            </w:pPr>
            <w:r>
              <w:t xml:space="preserve">[1.049, 2.299]</w:t>
            </w:r>
          </w:p>
        </w:tc>
      </w:tr>
    </w:tbl>
    <w:bookmarkEnd w:id="91"/>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Cr.Is around it.</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p>
      <w:pPr>
        <w:pStyle w:val="FirstParagraph"/>
      </w:pPr>
      <w:r>
        <w:t xml:space="preserve">Using this metric we see the effect size is small (0.17), 95% Cr.I [-0.002, 0.361].</w:t>
      </w:r>
    </w:p>
    <w:bookmarkEnd w:id="92"/>
    <w:bookmarkStart w:id="98" w:name="precision-phi-component"/>
    <w:p>
      <w:pPr>
        <w:pStyle w:val="Heading3"/>
      </w:pPr>
      <w:r>
        <w:t xml:space="preserve">Precision (</w:t>
      </w:r>
      <m:oMath>
        <m:r>
          <m:t>ϕ</m:t>
        </m:r>
      </m:oMath>
      <w:r>
        <w:t xml:space="preserve">) Component</w:t>
      </w:r>
    </w:p>
    <w:p>
      <w:pPr>
        <w:pStyle w:val="FirstParagraph"/>
      </w:pPr>
      <w:r>
        <w:t xml:space="preserve">The other component we need to pay attention to is the dispersion or precision parameter coefficients labeled as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w:t>
      </w:r>
    </w:p>
    <w:p>
      <w:pPr>
        <w:pStyle w:val="BodyText"/>
      </w:pPr>
      <w:r>
        <w:t xml:space="preserve">The intercept under the precision heading is not that interesting. It represents the overall dispersion in the model. We can model the dispersion of the</w:t>
      </w:r>
      <w:r>
        <w:t xml:space="preserve"> </w:t>
      </w:r>
      <w:r>
        <w:rPr>
          <w:rStyle w:val="VerbatimChar"/>
        </w:rPr>
        <w:t xml:space="preserve">Fluency</w:t>
      </w:r>
      <w:r>
        <w:t xml:space="preserve"> </w:t>
      </w:r>
      <w:r>
        <w:t xml:space="preserve">factor—this allows dispersion to differ between the fluent and disfluent conditions. To do this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w:t>
      </w:r>
    </w:p>
    <w:p>
      <w:pPr>
        <w:pStyle w:val="SourceCode"/>
      </w:pPr>
      <w:r>
        <w:rPr>
          <w:rStyle w:val="NormalTok"/>
        </w:rPr>
        <w:t xml:space="preserve">model_beta_bayes_disp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Fluency </w:t>
      </w:r>
      <w:r>
        <w:rPr>
          <w:rStyle w:val="CommentTok"/>
        </w:rPr>
        <w:t xml:space="preserve"># fit phi model with fluency</w:t>
      </w:r>
      <w:r>
        <w:br/>
      </w:r>
      <w:r>
        <w:rPr>
          <w:rStyle w:val="NormalTok"/>
        </w:rPr>
        <w:t xml:space="preserve">)</w:t>
      </w:r>
    </w:p>
    <w:p>
      <w:pPr>
        <w:pStyle w:val="SourceCode"/>
      </w:pPr>
      <w:r>
        <w:rPr>
          <w:rStyle w:val="NormalTok"/>
        </w:rPr>
        <w:t xml:space="preserve">beta_brms_dis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model_beta_bayes_disp,</w:t>
      </w:r>
      <w:r>
        <w:br/>
      </w:r>
      <w:r>
        <w:rPr>
          <w:rStyle w:val="NormalTok"/>
        </w:rPr>
        <w:t xml:space="preserve">  </w:t>
      </w:r>
      <w:r>
        <w:rPr>
          <w:rStyle w:val="AttributeTok"/>
        </w:rPr>
        <w:t xml:space="preserve">data =</w:t>
      </w:r>
      <w:r>
        <w:rPr>
          <w:rStyle w:val="NormalTok"/>
        </w:rPr>
        <w:t xml:space="preserve"> data_beta,</w:t>
      </w:r>
      <w:r>
        <w:br/>
      </w:r>
      <w:r>
        <w:rPr>
          <w:rStyle w:val="NormalTok"/>
        </w:rPr>
        <w:t xml:space="preserve">  </w:t>
      </w:r>
      <w:r>
        <w:rPr>
          <w:rStyle w:val="AttributeTok"/>
        </w:rPr>
        <w:t xml:space="preserve">family =</w:t>
      </w:r>
      <w:r>
        <w:rPr>
          <w:rStyle w:val="NormalTok"/>
        </w:rPr>
        <w:t xml:space="preserve"> </w:t>
      </w:r>
      <w:r>
        <w:rPr>
          <w:rStyle w:val="FunctionTok"/>
        </w:rPr>
        <w:t xml:space="preserve">Beta</w:t>
      </w:r>
      <w:r>
        <w:rPr>
          <w:rStyle w:val="NormalTok"/>
        </w:rPr>
        <w:t xml:space="preserve">(),</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"model_beta_bayes_dis_run"</w:t>
      </w:r>
      <w:r>
        <w:rPr>
          <w:rStyle w:val="NormalTok"/>
        </w:rPr>
        <w:t xml:space="preserve"> </w:t>
      </w:r>
      <w:r>
        <w:rPr>
          <w:rStyle w:val="CommentTok"/>
        </w:rPr>
        <w:t xml:space="preserve"># Save this so it doesn't have to always rerun</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93" w:name="tbl-phi-beta-exp"/>
    <w:p>
      <w:pPr>
        <w:pStyle w:val="FigureTitle"/>
      </w:pPr>
      <w:r>
        <w:t xml:space="preserve">Table 7</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2.41</w:t>
            </w:r>
          </w:p>
        </w:tc>
        <w:tc>
          <w:tcPr/>
          <w:p>
            <w:pPr>
              <w:pStyle w:val="Compact"/>
            </w:pPr>
            <w:r>
              <w:t xml:space="preserve">[1.679, 3.406]</w:t>
            </w:r>
          </w:p>
        </w:tc>
        <w:tc>
          <w:tcPr/>
          <w:p>
            <w:pPr>
              <w:pStyle w:val="Compact"/>
            </w:pPr>
            <w:r>
              <w:t xml:space="preserve">1</w:t>
            </w:r>
          </w:p>
        </w:tc>
      </w:tr>
      <w:tr>
        <w:tc>
          <w:tcPr/>
          <w:p>
            <w:pPr>
              <w:pStyle w:val="Compact"/>
            </w:pPr>
            <w:r>
              <w:t xml:space="preserve">b_phi_FluencyFluent</w:t>
            </w:r>
          </w:p>
        </w:tc>
        <w:tc>
          <w:tcPr/>
          <w:p>
            <w:pPr>
              <w:pStyle w:val="Compact"/>
            </w:pPr>
            <w:r>
              <w:t xml:space="preserve">2.52</w:t>
            </w:r>
          </w:p>
        </w:tc>
        <w:tc>
          <w:tcPr/>
          <w:p>
            <w:pPr>
              <w:pStyle w:val="Compact"/>
            </w:pPr>
            <w:r>
              <w:t xml:space="preserve">[1.453, 4.303]</w:t>
            </w:r>
          </w:p>
        </w:tc>
        <w:tc>
          <w:tcPr/>
          <w:p>
            <w:pPr>
              <w:pStyle w:val="Compact"/>
            </w:pPr>
            <w:r>
              <w:t xml:space="preserve">0.999</w:t>
            </w:r>
          </w:p>
        </w:tc>
      </w:tr>
    </w:tbl>
    <w:bookmarkEnd w:id="93"/>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Cr.I [.235, .684] do not include 0 so our results are statistically significant.</w:t>
      </w:r>
    </w:p>
    <w:p>
      <w:pPr>
        <w:pStyle w:val="BodyText"/>
      </w:pPr>
      <w:r>
        <w:t xml:space="preserve">It is important to note that these estimates are not the same as the marginal effects we discussed earlier. Changes in dispersion will change the shape of the distribution but not necessarily the average value of the response. This makes dispersion most interesting for research questions that focus on other features of the distribution besides the mean, such as the level of polarization in an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8</w:t>
        </w:r>
      </w:hyperlink>
      <w:r>
        <w:t xml:space="preserve">)–our Cr.I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We advise conducting very simple model comparisons like leave one out (loo) cross validation to examine if a dispersion parameter should be considered in our model.</w:t>
      </w:r>
    </w:p>
    <w:bookmarkStart w:id="97" w:name="fig-plt-diff"/>
    <w:p>
      <w:pPr>
        <w:pStyle w:val="FigureTitle"/>
      </w:pPr>
      <w:r>
        <w:t xml:space="preserve">Figure 8</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943600" cy="2971800"/>
            <wp:effectExtent b="0" l="0" r="0" t="0"/>
            <wp:docPr descr="" title="" id="95" name="Picture"/>
            <a:graphic>
              <a:graphicData uri="http://schemas.openxmlformats.org/drawingml/2006/picture">
                <pic:pic>
                  <pic:nvPicPr>
                    <pic:cNvPr descr="ms_files/figure-docx/fig-plt-diff-1.png" id="96" name="Picture"/>
                    <pic:cNvPicPr>
                      <a:picLocks noChangeArrowheads="1" noChangeAspect="1"/>
                    </pic:cNvPicPr>
                  </pic:nvPicPr>
                  <pic:blipFill>
                    <a:blip r:embed="rId94"/>
                    <a:stretch>
                      <a:fillRect/>
                    </a:stretch>
                  </pic:blipFill>
                  <pic:spPr bwMode="auto">
                    <a:xfrm>
                      <a:off x="0" y="0"/>
                      <a:ext cx="5943600" cy="2971800"/>
                    </a:xfrm>
                    <a:prstGeom prst="rect">
                      <a:avLst/>
                    </a:prstGeom>
                    <a:noFill/>
                    <a:ln w="9525">
                      <a:noFill/>
                      <a:headEnd/>
                      <a:tailEnd/>
                    </a:ln>
                  </pic:spPr>
                </pic:pic>
              </a:graphicData>
            </a:graphic>
          </wp:inline>
        </w:drawing>
      </w:r>
    </w:p>
    <w:bookmarkEnd w:id="97"/>
    <w:bookmarkEnd w:id="98"/>
    <w:bookmarkStart w:id="103" w:name="posterior-predictive-check"/>
    <w:p>
      <w:pPr>
        <w:pStyle w:val="Heading3"/>
      </w:pPr>
      <w:r>
        <w:t xml:space="preserve">Posterior Predictive Check</w:t>
      </w:r>
    </w:p>
    <w:p>
      <w:pPr>
        <w:pStyle w:val="FirstParagraph"/>
      </w:pPr>
      <w:r>
        <w:t xml:space="preserve">It is a always a good idea to check how well your data fits the model. The</w:t>
      </w:r>
      <w:r>
        <w:t xml:space="preserve"> </w:t>
      </w:r>
      <w:r>
        <w:rPr>
          <w:rStyle w:val="VerbatimChar"/>
        </w:rPr>
        <w:t xml:space="preserve">pp_check()</w:t>
      </w:r>
      <w:r>
        <w:t xml:space="preserve"> </w:t>
      </w:r>
      <w:r>
        <w:t xml:space="preserve">function allows us to examine the fit between our data and the model. In</w:t>
      </w:r>
      <w:r>
        <w:t xml:space="preserve"> </w:t>
      </w:r>
      <w:hyperlink w:anchor="fig-post-pred">
        <w:r>
          <w:rPr>
            <w:rStyle w:val="Hyperlink"/>
          </w:rPr>
          <w:t xml:space="preserve">Figure 9</w:t>
        </w:r>
      </w:hyperlink>
      <w:r>
        <w:t xml:space="preserve">, multiple draws or repetitions from the posterior distribution are plotted (light blue lines) against the observed data. (dark blue). Ideally, the predictive draws (the light blue lines) should show reasonable resemblance with the observed data (dark blue line). We see it does a pretty good job capturing the data. Ideally, the predictive draws (the light blue lines) should show reasonable resemblance with the observed data (dark blue line). We see it does a pretty good job capturing the data.</w:t>
      </w:r>
    </w:p>
    <w:bookmarkStart w:id="102" w:name="fig-post-pred"/>
    <w:p>
      <w:pPr>
        <w:pStyle w:val="FigureTitle"/>
      </w:pPr>
      <w:r>
        <w:t xml:space="preserve">Figure 9</w:t>
      </w:r>
    </w:p>
    <w:p>
      <w:pPr>
        <w:pStyle w:val="Caption"/>
      </w:pPr>
      <w:r>
        <w:t xml:space="preserve">Posterior predictive check for our Beta model</w:t>
      </w:r>
    </w:p>
    <w:p>
      <w:pPr>
        <w:pStyle w:val="FigureWithoutNote"/>
      </w:pPr>
      <w:r>
        <w:drawing>
          <wp:inline>
            <wp:extent cx="5943600" cy="2971800"/>
            <wp:effectExtent b="0" l="0" r="0" t="0"/>
            <wp:docPr descr="" title="" id="100" name="Picture"/>
            <a:graphic>
              <a:graphicData uri="http://schemas.openxmlformats.org/drawingml/2006/picture">
                <pic:pic>
                  <pic:nvPicPr>
                    <pic:cNvPr descr="ms_files/figure-docx/fig-post-pred-1.png" id="101" name="Picture"/>
                    <pic:cNvPicPr>
                      <a:picLocks noChangeArrowheads="1" noChangeAspect="1"/>
                    </pic:cNvPicPr>
                  </pic:nvPicPr>
                  <pic:blipFill>
                    <a:blip r:embed="rId99"/>
                    <a:stretch>
                      <a:fillRect/>
                    </a:stretch>
                  </pic:blipFill>
                  <pic:spPr bwMode="auto">
                    <a:xfrm>
                      <a:off x="0" y="0"/>
                      <a:ext cx="5943600" cy="2971800"/>
                    </a:xfrm>
                    <a:prstGeom prst="rect">
                      <a:avLst/>
                    </a:prstGeom>
                    <a:noFill/>
                    <a:ln w="9525">
                      <a:noFill/>
                      <a:headEnd/>
                      <a:tailEnd/>
                    </a:ln>
                  </pic:spPr>
                </pic:pic>
              </a:graphicData>
            </a:graphic>
          </wp:inline>
        </w:drawing>
      </w:r>
    </w:p>
    <w:bookmarkEnd w:id="102"/>
    <w:bookmarkEnd w:id="103"/>
    <w:bookmarkEnd w:id="104"/>
    <w:bookmarkStart w:id="118" w:name="zero-inflated-beta-zib-regression"/>
    <w:p>
      <w:pPr>
        <w:pStyle w:val="Heading2"/>
      </w:pPr>
      <w:r>
        <w:t xml:space="preserve">Zero-Inflated Beta (ZIB) Regression</w:t>
      </w:r>
    </w:p>
    <w:p>
      <w:pPr>
        <w:pStyle w:val="FirstParagraph"/>
      </w:pPr>
      <w:r>
        <w:t xml:space="preserve">A limitation of the beta regression model is it can can only model values between 0 and 1, but not exactly 0 or 1. In our dataset we have 9 rows with</w:t>
      </w:r>
      <w:r>
        <w:t xml:space="preserve"> </w:t>
      </w:r>
      <w:r>
        <w:rPr>
          <w:rStyle w:val="VerbatimChar"/>
        </w:rPr>
        <w:t xml:space="preserve">Accuracy</w:t>
      </w:r>
      <w:r>
        <w:t xml:space="preserve"> </w:t>
      </w:r>
      <w:r>
        <w:t xml:space="preserve">equal to zero.</w:t>
      </w:r>
    </w:p>
    <w:p>
      <w:pPr>
        <w:pStyle w:val="BodyText"/>
      </w:pPr>
      <w:r>
        <w:t xml:space="preserve">To use the Beta distribution we nudged our zeros to 0.01–which is never a good idea in practice. In our case it might be important to model the structural zeros in our data, as fluency of instructor might be an important factor in predicting the zeros in our model. There is a model called the zero-inflated beta (ZIB) model that takes into account the structural 0s in our data. We’ll still model the</w:t>
      </w:r>
      <w:r>
        <w:t xml:space="preserve"> </w:t>
      </w:r>
      <m:oMath>
        <m:r>
          <m:t>μ</m:t>
        </m:r>
      </m:oMath>
      <w:r>
        <w:t xml:space="preserve"> </w:t>
      </w:r>
      <w:r>
        <w:t xml:space="preserve">and</w:t>
      </w:r>
      <w:r>
        <w:t xml:space="preserve"> </w:t>
      </w:r>
      <m:oMath>
        <m:r>
          <m:t>ϕ</m:t>
        </m:r>
      </m:oMath>
      <w:r>
        <w:t xml:space="preserve"> </w:t>
      </w:r>
      <w:r>
        <w:t xml:space="preserve">(or mean and precision) of the Beta distribution, but now we’ll also add one new special parameter:</w:t>
      </w:r>
      <w:r>
        <w:t xml:space="preserve"> </w:t>
      </w:r>
      <m:oMath>
        <m:r>
          <m:t>α</m:t>
        </m:r>
      </m:oMath>
      <w:r>
        <w:t xml:space="preserve">.</w:t>
      </w:r>
    </w:p>
    <w:p>
      <w:pPr>
        <w:pStyle w:val="BodyText"/>
      </w:pPr>
      <w:r>
        <w:t xml:space="preserve">With zero-inflated regression, we’re actually modelling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w:t>
      </w:r>
    </w:p>
    <w:p>
      <w:pPr>
        <w:pStyle w:val="SourceCode"/>
      </w:pPr>
      <w:r>
        <w:rPr>
          <w:rStyle w:val="CommentTok"/>
        </w:rPr>
        <w:t xml:space="preserve">#|</w:t>
      </w:r>
      <w:r>
        <w:br/>
      </w:r>
      <w:r>
        <w:rPr>
          <w:rStyle w:val="CommentTok"/>
        </w:rPr>
        <w:t xml:space="preserve"># fit zero-inflated beta in brms</w:t>
      </w:r>
      <w:r>
        <w:br/>
      </w:r>
      <w:r>
        <w:rPr>
          <w:rStyle w:val="NormalTok"/>
        </w:rPr>
        <w:t xml:space="preserve">zib_model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w:t>
      </w:r>
      <w:r>
        <w:rPr>
          <w:rStyle w:val="AttributeTok"/>
        </w:rPr>
        <w:t xml:space="preserve">family =</w:t>
      </w:r>
      <w:r>
        <w:rPr>
          <w:rStyle w:val="NormalTok"/>
        </w:rPr>
        <w:t xml:space="preserve"> </w:t>
      </w:r>
      <w:r>
        <w:rPr>
          <w:rStyle w:val="FunctionTok"/>
        </w:rPr>
        <w:t xml:space="preserve">zero_inflated_beta</w:t>
      </w:r>
      <w:r>
        <w:rPr>
          <w:rStyle w:val="NormalTok"/>
        </w:rPr>
        <w:t xml:space="preserve">()</w:t>
      </w:r>
      <w:r>
        <w:br/>
      </w:r>
      <w:r>
        <w:rPr>
          <w:rStyle w:val="NormalTok"/>
        </w:rPr>
        <w:t xml:space="preserve">)</w:t>
      </w:r>
    </w:p>
    <w:p>
      <w:pPr>
        <w:pStyle w:val="FirstParagraph"/>
      </w:pPr>
      <w:r>
        <w:t xml:space="preserve">Below we pass</w:t>
      </w:r>
      <w:r>
        <w:t xml:space="preserve"> </w:t>
      </w:r>
      <w:r>
        <w:rPr>
          <w:rStyle w:val="VerbatimChar"/>
        </w:rPr>
        <w:t xml:space="preserve">zib_model</w:t>
      </w:r>
      <w:r>
        <w:t xml:space="preserve"> </w:t>
      </w:r>
      <w:r>
        <w:t xml:space="preserve">to the</w:t>
      </w:r>
      <w:r>
        <w:t xml:space="preserve"> </w:t>
      </w:r>
      <w:r>
        <w:rPr>
          <w:rStyle w:val="VerbatimChar"/>
        </w:rPr>
        <w:t xml:space="preserve">brm</w:t>
      </w:r>
      <w:r>
        <w:t xml:space="preserve"> </w:t>
      </w:r>
      <w:r>
        <w:t xml:space="preserve">function.</w:t>
      </w:r>
    </w:p>
    <w:p>
      <w:pPr>
        <w:pStyle w:val="SourceCode"/>
      </w:pPr>
      <w:r>
        <w:rPr>
          <w:rStyle w:val="NormalTok"/>
        </w:rPr>
        <w:t xml:space="preserve">fit_zi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zib_model,</w:t>
      </w:r>
      <w:r>
        <w:br/>
      </w:r>
      <w:r>
        <w:rPr>
          <w:rStyle w:val="NormalTok"/>
        </w:rPr>
        <w:t xml:space="preserve">  </w:t>
      </w:r>
      <w:r>
        <w:rPr>
          <w:rStyle w:val="AttributeTok"/>
        </w:rPr>
        <w:t xml:space="preserve">data =</w:t>
      </w:r>
      <w:r>
        <w:rPr>
          <w:rStyle w:val="NormalTok"/>
        </w:rPr>
        <w:t xml:space="preserve"> data_beta_0,</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"model_beta_bayes_zib"</w:t>
      </w:r>
      <w:r>
        <w:br/>
      </w:r>
      <w:r>
        <w:rPr>
          <w:rStyle w:val="NormalTok"/>
        </w:rPr>
        <w:t xml:space="preserve">)</w:t>
      </w:r>
    </w:p>
    <w:bookmarkStart w:id="109"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zib">
        <w:r>
          <w:rPr>
            <w:rStyle w:val="Hyperlink"/>
          </w:rPr>
          <w:t xml:space="preserve">Figure 10</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zeros (or near-zero values) via its inflation component, allowing it to better account for features in the data that a standard Beta distribution cannot accommodate.</w:t>
      </w:r>
    </w:p>
    <w:bookmarkStart w:id="108" w:name="fig-ppcheckzib"/>
    <w:p>
      <w:pPr>
        <w:pStyle w:val="FigureTitle"/>
      </w:pPr>
      <w:r>
        <w:t xml:space="preserve">Figure 10</w:t>
      </w:r>
    </w:p>
    <w:p>
      <w:pPr>
        <w:pStyle w:val="Caption"/>
      </w:pPr>
      <w:r>
        <w:t xml:space="preserve">Posterior predictive check for the zib model</w:t>
      </w:r>
    </w:p>
    <w:p>
      <w:pPr>
        <w:pStyle w:val="FigureWithoutNote"/>
      </w:pPr>
      <w:r>
        <w:drawing>
          <wp:inline>
            <wp:extent cx="5943600" cy="2971800"/>
            <wp:effectExtent b="0" l="0" r="0" t="0"/>
            <wp:docPr descr="" title="" id="106" name="Picture"/>
            <a:graphic>
              <a:graphicData uri="http://schemas.openxmlformats.org/drawingml/2006/picture">
                <pic:pic>
                  <pic:nvPicPr>
                    <pic:cNvPr descr="ms_files/figure-docx/fig-ppcheckzib-1.png" id="107" name="Picture"/>
                    <pic:cNvPicPr>
                      <a:picLocks noChangeArrowheads="1" noChangeAspect="1"/>
                    </pic:cNvPicPr>
                  </pic:nvPicPr>
                  <pic:blipFill>
                    <a:blip r:embed="rId105"/>
                    <a:stretch>
                      <a:fillRect/>
                    </a:stretch>
                  </pic:blipFill>
                  <pic:spPr bwMode="auto">
                    <a:xfrm>
                      <a:off x="0" y="0"/>
                      <a:ext cx="5943600" cy="2971800"/>
                    </a:xfrm>
                    <a:prstGeom prst="rect">
                      <a:avLst/>
                    </a:prstGeom>
                    <a:noFill/>
                    <a:ln w="9525">
                      <a:noFill/>
                      <a:headEnd/>
                      <a:tailEnd/>
                    </a:ln>
                  </pic:spPr>
                </pic:pic>
              </a:graphicData>
            </a:graphic>
          </wp:inline>
        </w:drawing>
      </w:r>
    </w:p>
    <w:bookmarkEnd w:id="108"/>
    <w:bookmarkEnd w:id="109"/>
    <w:bookmarkStart w:id="112"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risk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 (\mu).</w:t>
      </w:r>
      <w:r>
        <w:t xml:space="preserve"> </w:t>
      </w:r>
    </w:p>
    <w:p>
      <w:pPr>
        <w:pStyle w:val="BodyText"/>
      </w:pPr>
      <w:r>
        <w:t xml:space="preserve">As shown in</w:t>
      </w:r>
      <w:r>
        <w:t xml:space="preserve"> </w:t>
      </w:r>
      <w:hyperlink w:anchor="tbl-marg-mu-brms">
        <w:r>
          <w:rPr>
            <w:rStyle w:val="Hyperlink"/>
          </w:rPr>
          <w:t xml:space="preserve">Table 8</w:t>
        </w:r>
      </w:hyperlink>
      <w:r>
        <w:t xml:space="preserve">, there is little evidence for an effect of Fluency — the 95% Cr.I includes zero, suggesting substantial uncertainty about the direction and magnitude of the effect.</w:t>
      </w:r>
    </w:p>
    <w:bookmarkStart w:id="110" w:name="tbl-marg-mu-brms"/>
    <w:p>
      <w:pPr>
        <w:pStyle w:val="FigureTitle"/>
      </w:pPr>
      <w:r>
        <w:t xml:space="preserve">Table 8</w:t>
      </w:r>
    </w:p>
    <w:p>
      <w:pPr>
        <w:pStyle w:val="Caption"/>
      </w:pPr>
      <w:r>
        <w:t xml:space="preserve">Risk difference (</w:t>
      </w:r>
      <m:oMath>
        <m:r>
          <m:t>μ</m:t>
        </m:r>
      </m:oMath>
      <w:r>
        <w:t xml:space="preserve">) for fluency factor</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0.006</w:t>
            </w:r>
          </w:p>
        </w:tc>
        <w:tc>
          <w:tcPr/>
          <w:p>
            <w:pPr>
              <w:pStyle w:val="Compact"/>
            </w:pPr>
            <w:r>
              <w:t xml:space="preserve">[-0.08, 0.087]</w:t>
            </w:r>
          </w:p>
        </w:tc>
      </w:tr>
    </w:tbl>
    <w:bookmarkEnd w:id="110"/>
    <w:p>
      <w:pPr>
        <w:pStyle w:val="Heading4"/>
        <w:rPr>
          <w:vanish/>
          <w:specVanish/>
        </w:rPr>
      </w:pPr>
      <w:r>
        <w:t>Dispersion (\phi).</w:t>
      </w:r>
      <w:r>
        <w:t xml:space="preserve"> </w:t>
      </w:r>
    </w:p>
    <w:p>
      <w:pPr>
        <w:pStyle w:val="BodyText"/>
      </w:pPr>
      <w:r>
        <w:t xml:space="preserve">As shown in</w:t>
      </w:r>
      <w:r>
        <w:t xml:space="preserve"> </w:t>
      </w:r>
      <w:hyperlink w:anchor="tbl-marg-phi-brms">
        <w:r>
          <w:rPr>
            <w:rStyle w:val="Hyperlink"/>
          </w:rPr>
          <w:t xml:space="preserve">Table 9</w:t>
        </w:r>
      </w:hyperlink>
      <w:r>
        <w:t xml:space="preserve">, the posterior estimates suggest a credible effect of Fluency on dispersion (ϕ), with disfluent responses showing greater variability. The 95% Cr.I for the fluency contrast does not include zero, indicating meaningful differences in precision.</w:t>
      </w:r>
    </w:p>
    <w:bookmarkStart w:id="111" w:name="tbl-marg-phi-brms"/>
    <w:p>
      <w:pPr>
        <w:pStyle w:val="FigureTitle"/>
      </w:pPr>
      <w:r>
        <w:t xml:space="preserve">Table 9</w:t>
      </w:r>
    </w:p>
    <w:p>
      <w:pPr>
        <w:pStyle w:val="Caption"/>
      </w:pPr>
      <w:r>
        <w:t xml:space="preserve">Risk difference (</w:t>
      </w:r>
      <m:oMath>
        <m:r>
          <m:t>ϕ</m:t>
        </m:r>
      </m:oMath>
      <w:r>
        <w:t xml:space="preserve">) for fluency factor</w:t>
      </w:r>
    </w:p>
    <w:tbl>
      <w:tblPr>
        <w:tblStyle w:val="Table"/>
        <w:tblW w:type="pct" w:w="3750"/>
        <w:tblLayout w:type="fixed"/>
        <w:tblLook w:firstRow="1" w:lastRow="0" w:firstColumn="0" w:lastColumn="0" w:noHBand="0" w:noVBand="0" w:val="0020"/>
      </w:tblPr>
      <w:tblGrid>
        <w:gridCol w:w="1100"/>
        <w:gridCol w:w="2310"/>
        <w:gridCol w:w="770"/>
        <w:gridCol w:w="176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4.42</w:t>
            </w:r>
          </w:p>
        </w:tc>
        <w:tc>
          <w:tcPr/>
          <w:p>
            <w:pPr>
              <w:pStyle w:val="Compact"/>
            </w:pPr>
            <w:r>
              <w:t xml:space="preserve">[1.314, 8.11]</w:t>
            </w:r>
          </w:p>
        </w:tc>
      </w:tr>
    </w:tbl>
    <w:bookmarkEnd w:id="111"/>
    <w:bookmarkEnd w:id="112"/>
    <w:bookmarkStart w:id="117" w:name="zero-inflated-alpha"/>
    <w:p>
      <w:pPr>
        <w:pStyle w:val="Heading3"/>
      </w:pPr>
      <w:r>
        <w:t xml:space="preserve">Zero-Inflated (</w:t>
      </w:r>
      <m:oMath>
        <m:r>
          <m:t>α</m:t>
        </m:r>
      </m:oMath>
      <w:r>
        <w:t xml:space="preserve">)</w:t>
      </w:r>
    </w:p>
    <w:p>
      <w:pPr>
        <w:pStyle w:val="FirstParagraph"/>
      </w:pPr>
      <w:r>
        <w:t xml:space="preserve">In</w:t>
      </w:r>
      <w:r>
        <w:t xml:space="preserve"> </w:t>
      </w:r>
      <w:hyperlink w:anchor="tbl-marg-zib-brms">
        <w:r>
          <w:rPr>
            <w:rStyle w:val="Hyperlink"/>
          </w:rPr>
          <w:t xml:space="preserve">Table 10</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w:t>
      </w:r>
    </w:p>
    <w:p>
      <w:pPr>
        <w:pStyle w:val="BodyText"/>
      </w:pPr>
      <w:r>
        <w:t xml:space="preserve">We can easily visualize the zero-inflated part of the model with</w:t>
      </w:r>
      <w:r>
        <w:t xml:space="preserve"> </w:t>
      </w:r>
      <w:r>
        <w:rPr>
          <w:rStyle w:val="VerbatimChar"/>
        </w:rPr>
        <w:t xml:space="preserve">plot_predictions()</w:t>
      </w:r>
      <w:r>
        <w:t xml:space="preserve"> </w:t>
      </w:r>
      <w:r>
        <w:t xml:space="preserve">(see</w:t>
      </w:r>
      <w:r>
        <w:t xml:space="preserve"> </w:t>
      </w:r>
      <w:hyperlink w:anchor="fig-zi-plot">
        <w:r>
          <w:rPr>
            <w:rStyle w:val="Hyperlink"/>
          </w:rPr>
          <w:t xml:space="preserve">Figure 11</w:t>
        </w:r>
      </w:hyperlink>
      <w:r>
        <w:t xml:space="preserve">).</w:t>
      </w:r>
    </w:p>
    <w:bookmarkStart w:id="116" w:name="fig-zi-plot"/>
    <w:p>
      <w:pPr>
        <w:pStyle w:val="FigureTitle"/>
      </w:pPr>
      <w:r>
        <w:t xml:space="preserve">Figure 11</w:t>
      </w:r>
    </w:p>
    <w:p>
      <w:pPr>
        <w:pStyle w:val="Caption"/>
      </w:pPr>
      <w:r>
        <w:t xml:space="preserve">Visualization of predicted probablites for zero-inflated part of model</w:t>
      </w:r>
    </w:p>
    <w:p>
      <w:pPr>
        <w:pStyle w:val="FigureWithoutNote"/>
      </w:pPr>
      <w:r>
        <w:drawing>
          <wp:inline>
            <wp:extent cx="5943600" cy="2971800"/>
            <wp:effectExtent b="0" l="0" r="0" t="0"/>
            <wp:docPr descr="" title="" id="114" name="Picture"/>
            <a:graphic>
              <a:graphicData uri="http://schemas.openxmlformats.org/drawingml/2006/picture">
                <pic:pic>
                  <pic:nvPicPr>
                    <pic:cNvPr descr="ms_files/figure-docx/fig-zi-plot-1.png" id="115" name="Picture"/>
                    <pic:cNvPicPr>
                      <a:picLocks noChangeArrowheads="1" noChangeAspect="1"/>
                    </pic:cNvPicPr>
                  </pic:nvPicPr>
                  <pic:blipFill>
                    <a:blip r:embed="rId113"/>
                    <a:stretch>
                      <a:fillRect/>
                    </a:stretch>
                  </pic:blipFill>
                  <pic:spPr bwMode="auto">
                    <a:xfrm>
                      <a:off x="0" y="0"/>
                      <a:ext cx="5943600" cy="2971800"/>
                    </a:xfrm>
                    <a:prstGeom prst="rect">
                      <a:avLst/>
                    </a:prstGeom>
                    <a:noFill/>
                    <a:ln w="9525">
                      <a:noFill/>
                      <a:headEnd/>
                      <a:tailEnd/>
                    </a:ln>
                  </pic:spPr>
                </pic:pic>
              </a:graphicData>
            </a:graphic>
          </wp:inline>
        </w:drawing>
      </w:r>
    </w:p>
    <w:bookmarkEnd w:id="116"/>
    <w:bookmarkEnd w:id="117"/>
    <w:bookmarkEnd w:id="118"/>
    <w:bookmarkStart w:id="128"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9"/>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In our data, we have exactly one value equal to 1</w:t>
      </w:r>
      <w:r>
        <w:rPr>
          <w:rStyle w:val="FootnoteReference"/>
        </w:rPr>
        <w:footnoteReference w:id="120"/>
      </w:r>
      <w:r>
        <w:t xml:space="preserve">. While probably not significant to alter our findings, we can model ones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12</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4" w:name="fig-zoib"/>
    <w:p>
      <w:pPr>
        <w:pStyle w:val="FigureTitle"/>
      </w:pPr>
      <w:r>
        <w:t xml:space="preserve">Figure 12</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5943600"/>
            <wp:effectExtent b="0" l="0" r="0" t="0"/>
            <wp:docPr descr="" title="" id="122" name="Picture"/>
            <a:graphic>
              <a:graphicData uri="http://schemas.openxmlformats.org/drawingml/2006/picture">
                <pic:pic>
                  <pic:nvPicPr>
                    <pic:cNvPr descr="ms_files/figure-docx/fig-zoib-1.png" id="123" name="Picture"/>
                    <pic:cNvPicPr>
                      <a:picLocks noChangeArrowheads="1" noChangeAspect="1"/>
                    </pic:cNvPicPr>
                  </pic:nvPicPr>
                  <pic:blipFill>
                    <a:blip r:embed="rId121"/>
                    <a:stretch>
                      <a:fillRect/>
                    </a:stretch>
                  </pic:blipFill>
                  <pic:spPr bwMode="auto">
                    <a:xfrm>
                      <a:off x="0" y="0"/>
                      <a:ext cx="5943600" cy="5943600"/>
                    </a:xfrm>
                    <a:prstGeom prst="rect">
                      <a:avLst/>
                    </a:prstGeom>
                    <a:noFill/>
                    <a:ln w="9525">
                      <a:noFill/>
                      <a:headEnd/>
                      <a:tailEnd/>
                    </a:ln>
                  </pic:spPr>
                </pic:pic>
              </a:graphicData>
            </a:graphic>
          </wp:inline>
        </w:drawing>
      </w:r>
    </w:p>
    <w:bookmarkEnd w:id="124"/>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w:t>
      </w:r>
    </w:p>
    <w:p>
      <w:pPr>
        <w:pStyle w:val="SourceCode"/>
      </w:pPr>
      <w:r>
        <w:rPr>
          <w:rStyle w:val="CommentTok"/>
        </w:rPr>
        <w:t xml:space="preserve"># fit the zoib model</w:t>
      </w:r>
      <w:r>
        <w:br/>
      </w:r>
      <w:r>
        <w:br/>
      </w:r>
      <w:r>
        <w:rPr>
          <w:rStyle w:val="NormalTok"/>
        </w:rPr>
        <w:t xml:space="preserve">zoib_model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zoi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coi </w:t>
      </w:r>
      <w:r>
        <w:rPr>
          <w:rStyle w:val="SpecialCharTok"/>
        </w:rPr>
        <w:t xml:space="preserve">~</w:t>
      </w:r>
      <w:r>
        <w:rPr>
          <w:rStyle w:val="NormalTok"/>
        </w:rPr>
        <w:t xml:space="preserve"> Fluency, </w:t>
      </w:r>
      <w:r>
        <w:rPr>
          <w:rStyle w:val="CommentTok"/>
        </w:rPr>
        <w:t xml:space="preserve"># The one-inflated part, conditional on the 0s, or gamma</w:t>
      </w:r>
      <w:r>
        <w:br/>
      </w:r>
      <w:r>
        <w:rPr>
          <w:rStyle w:val="NormalTok"/>
        </w:rPr>
        <w:t xml:space="preserve">  </w:t>
      </w:r>
      <w:r>
        <w:rPr>
          <w:rStyle w:val="AttributeTok"/>
        </w:rPr>
        <w:t xml:space="preserve">family =</w:t>
      </w:r>
      <w:r>
        <w:rPr>
          <w:rStyle w:val="NormalTok"/>
        </w:rPr>
        <w:t xml:space="preserve"> </w:t>
      </w:r>
      <w:r>
        <w:rPr>
          <w:rStyle w:val="FunctionTok"/>
        </w:rPr>
        <w:t xml:space="preserve">zero_one_inflated_beta</w:t>
      </w:r>
      <w:r>
        <w:rPr>
          <w:rStyle w:val="NormalTok"/>
        </w:rPr>
        <w:t xml:space="preserve">()</w:t>
      </w:r>
      <w:r>
        <w:br/>
      </w:r>
      <w:r>
        <w:rPr>
          <w:rStyle w:val="NormalTok"/>
        </w:rPr>
        <w:t xml:space="preserve">)</w:t>
      </w:r>
    </w:p>
    <w:p>
      <w:pPr>
        <w:pStyle w:val="FirstParagraph"/>
      </w:pPr>
      <w:r>
        <w:t xml:space="preserve">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p>
      <w:pPr>
        <w:pStyle w:val="SourceCode"/>
      </w:pPr>
      <w:r>
        <w:rPr>
          <w:rStyle w:val="CommentTok"/>
        </w:rPr>
        <w:t xml:space="preserve"># run the zoib mode using brm</w:t>
      </w:r>
      <w:r>
        <w:br/>
      </w:r>
      <w:r>
        <w:br/>
      </w:r>
      <w:r>
        <w:rPr>
          <w:rStyle w:val="NormalTok"/>
        </w:rPr>
        <w:t xml:space="preserve">fit_zoib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zoib_model,</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"model_beta_zoib_1"</w:t>
      </w:r>
      <w:r>
        <w:br/>
      </w:r>
      <w:r>
        <w:rPr>
          <w:rStyle w:val="NormalTok"/>
        </w:rPr>
        <w:t xml:space="preserve">)</w:t>
      </w:r>
    </w:p>
    <w:bookmarkStart w:id="125"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5"/>
    <w:bookmarkStart w:id="126"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r>
        <w:t xml:space="preserve"> </w:t>
      </w:r>
      <w:r>
        <w:t xml:space="preserve">.</w:t>
      </w:r>
    </w:p>
    <w:bookmarkEnd w:id="126"/>
    <w:bookmarkStart w:id="127" w:name="gamma"/>
    <w:p>
      <w:pPr>
        <w:pStyle w:val="Heading3"/>
      </w:pPr>
      <m:oMath>
        <m:r>
          <m:t>γ</m:t>
        </m:r>
      </m:oMath>
    </w:p>
    <w:bookmarkEnd w:id="127"/>
    <w:bookmarkEnd w:id="128"/>
    <w:bookmarkStart w:id="131"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 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usage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0"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w:t>
      </w:r>
    </w:p>
    <w:p>
      <w:pPr>
        <w:pStyle w:val="BodyText"/>
      </w:pPr>
      <w:r>
        <w:t xml:space="preserve">We first load the</w:t>
      </w:r>
      <w:r>
        <w:t xml:space="preserve"> </w:t>
      </w:r>
      <w:r>
        <w:rPr>
          <w:rStyle w:val="VerbatimChar"/>
        </w:rPr>
        <w:t xml:space="preserve">ordbetareg</w:t>
      </w:r>
      <w:r>
        <w:t xml:space="preserve"> </w:t>
      </w:r>
      <w:r>
        <w:t xml:space="preserve">package. You can download it from CRAN or from here:</w:t>
      </w:r>
      <w:r>
        <w:t xml:space="preserve"> </w:t>
      </w:r>
      <w:hyperlink r:id="rId129">
        <w:r>
          <w:rPr>
            <w:rStyle w:val="Hyperlink"/>
          </w:rPr>
          <w:t xml:space="preserve">https://github.com/saudiwin/ordbetareg_pack</w:t>
        </w:r>
      </w:hyperlink>
      <w:r>
        <w:t xml:space="preserve">.</w:t>
      </w:r>
    </w:p>
    <w:p>
      <w:pPr>
        <w:pStyle w:val="SourceCode"/>
      </w:pPr>
      <w:r>
        <w:rPr>
          <w:rStyle w:val="CommentTok"/>
        </w:rPr>
        <w:t xml:space="preserve"># load ordbetareg package need to have it installed</w:t>
      </w:r>
      <w:r>
        <w:br/>
      </w:r>
      <w:r>
        <w:rPr>
          <w:rStyle w:val="FunctionTok"/>
        </w:rPr>
        <w:t xml:space="preserve">library</w:t>
      </w:r>
      <w:r>
        <w:rPr>
          <w:rStyle w:val="NormalTok"/>
        </w:rPr>
        <w:t xml:space="preserve">(ordbetareg)</w:t>
      </w:r>
    </w:p>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w:t>
      </w:r>
    </w:p>
    <w:p>
      <w:pPr>
        <w:pStyle w:val="BodyText"/>
      </w:pPr>
      <w:r>
        <w:t xml:space="preserve">To fit a model where dispersion does not vary as a function of fluency we can use the below code.</w:t>
      </w:r>
    </w:p>
    <w:p>
      <w:pPr>
        <w:pStyle w:val="SourceCode"/>
      </w:pPr>
      <w:r>
        <w:rPr>
          <w:rStyle w:val="CommentTok"/>
        </w:rPr>
        <w:t xml:space="preserve"># use ordbetareg to fit model</w:t>
      </w:r>
      <w:r>
        <w:br/>
      </w:r>
      <w:r>
        <w:rPr>
          <w:rStyle w:val="NormalTok"/>
        </w:rPr>
        <w:t xml:space="preserve">ord_fit_brms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w:t>
      </w:r>
      <w:r>
        <w:br/>
      </w:r>
      <w:r>
        <w:rPr>
          <w:rStyle w:val="NormalTok"/>
        </w:rPr>
        <w:t xml:space="preserve">)</w:t>
      </w:r>
    </w:p>
    <w:p>
      <w:pPr>
        <w:pStyle w:val="FirstParagraph"/>
      </w:pPr>
      <w:r>
        <w:t xml:space="preserve">However, if we want dispersion to vary as a function of fluency we can easily do that.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r>
        <w:t xml:space="preserve">.</w:t>
      </w:r>
    </w:p>
    <w:p>
      <w:pPr>
        <w:pStyle w:val="SourceCode"/>
      </w:pPr>
      <w:r>
        <w:rPr>
          <w:rStyle w:val="NormalTok"/>
        </w:rPr>
        <w:t xml:space="preserve">ord_beta_phi </w:t>
      </w:r>
      <w:r>
        <w:rPr>
          <w:rStyle w:val="OtherTok"/>
        </w:rPr>
        <w:t xml:space="preserve">&lt;-</w:t>
      </w:r>
      <w:r>
        <w:rPr>
          <w:rStyle w:val="NormalTok"/>
        </w:rPr>
        <w:t xml:space="preserve"> </w:t>
      </w:r>
      <w:r>
        <w:rPr>
          <w:rStyle w:val="FunctionTok"/>
        </w:rPr>
        <w:t xml:space="preserve">bf</w:t>
      </w:r>
      <w:r>
        <w:rPr>
          <w:rStyle w:val="NormalTok"/>
        </w:rPr>
        <w:t xml:space="preserve">(Accuracy </w:t>
      </w:r>
      <w:r>
        <w:rPr>
          <w:rStyle w:val="SpecialCharTok"/>
        </w:rPr>
        <w:t xml:space="preserve">~</w:t>
      </w:r>
      <w:r>
        <w:rPr>
          <w:rStyle w:val="NormalTok"/>
        </w:rPr>
        <w:t xml:space="preserve"> Fluency, phi </w:t>
      </w:r>
      <w:r>
        <w:rPr>
          <w:rStyle w:val="SpecialCharTok"/>
        </w:rPr>
        <w:t xml:space="preserve">~</w:t>
      </w:r>
      <w:r>
        <w:rPr>
          <w:rStyle w:val="NormalTok"/>
        </w:rPr>
        <w:t xml:space="preserve"> Fluency)</w:t>
      </w:r>
    </w:p>
    <w:p>
      <w:pPr>
        <w:pStyle w:val="SourceCode"/>
      </w:pPr>
      <w:r>
        <w:rPr>
          <w:rStyle w:val="NormalTok"/>
        </w:rPr>
        <w:t xml:space="preserve">m.phi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ord_beta_phi,</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"model_beta_ordbeta_phi"</w:t>
      </w:r>
      <w:r>
        <w:rPr>
          <w:rStyle w:val="NormalTok"/>
        </w:rPr>
        <w:t xml:space="preserve">,</w:t>
      </w:r>
      <w:r>
        <w:br/>
      </w:r>
      <w:r>
        <w:rPr>
          <w:rStyle w:val="NormalTok"/>
        </w:rPr>
        <w:t xml:space="preserve">  </w:t>
      </w:r>
      <w:r>
        <w:rPr>
          <w:rStyle w:val="AttributeTok"/>
        </w:rPr>
        <w:t xml:space="preserve">phi_reg =</w:t>
      </w:r>
      <w:r>
        <w:rPr>
          <w:rStyle w:val="NormalTok"/>
        </w:rPr>
        <w:t xml:space="preserve"> </w:t>
      </w:r>
      <w:r>
        <w:rPr>
          <w:rStyle w:val="StringTok"/>
        </w:rPr>
        <w:t xml:space="preserve">'both'</w:t>
      </w:r>
      <w:r>
        <w:rPr>
          <w:rStyle w:val="NormalTok"/>
        </w:rPr>
        <w:t xml:space="preserve"> </w:t>
      </w:r>
      <w:r>
        <w:rPr>
          <w:rStyle w:val="CommentTok"/>
        </w:rPr>
        <w:t xml:space="preserve"># log phi</w:t>
      </w:r>
      <w:r>
        <w:br/>
      </w:r>
      <w:r>
        <w:rPr>
          <w:rStyle w:val="NormalTok"/>
        </w:rPr>
        <w:t xml:space="preserve">)</w:t>
      </w:r>
    </w:p>
    <w:bookmarkEnd w:id="130"/>
    <w:bookmarkEnd w:id="131"/>
    <w:bookmarkStart w:id="145"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2" w:name="tbl-ordbeta"/>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32"/>
    <w:p>
      <w:pPr>
        <w:pStyle w:val="AfterWithoutNote"/>
      </w:pPr>
      <w:r>
        <w:t xml:space="preserve">In</w:t>
      </w:r>
      <w:r>
        <w:t xml:space="preserve"> </w:t>
      </w:r>
      <w:r>
        <w:rPr>
          <w:b/>
          <w:bCs/>
        </w:rPr>
        <w:t xml:space="preserve">?@tbl-ordbeta</w:t>
      </w:r>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4"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3"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33"/>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4"/>
    <w:bookmarkStart w:id="143" w:name="ordered-beta-regression-model-fit"/>
    <w:p>
      <w:pPr>
        <w:pStyle w:val="Heading3"/>
      </w:pPr>
      <w:r>
        <w:t xml:space="preserve">Ordered Beta Regression 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13</w:t>
        </w:r>
      </w:hyperlink>
      <w:r>
        <w:t xml:space="preserve">).</w:t>
      </w:r>
    </w:p>
    <w:bookmarkStart w:id="138" w:name="fig-ppcheckord"/>
    <w:p>
      <w:pPr>
        <w:pStyle w:val="FigureTitle"/>
      </w:pPr>
      <w:r>
        <w:t xml:space="preserve">Figure 13</w:t>
      </w:r>
    </w:p>
    <w:p>
      <w:pPr>
        <w:pStyle w:val="Caption"/>
      </w:pPr>
      <w:r>
        <w:t xml:space="preserve">Posterior predictive check for ordered beta regression model. A. Discrete posterior check. B. Continuous posterior check.</w:t>
      </w:r>
    </w:p>
    <w:p>
      <w:pPr>
        <w:pStyle w:val="FigureWithoutNote"/>
      </w:pPr>
      <w:r>
        <w:drawing>
          <wp:inline>
            <wp:extent cx="5943600" cy="3962400"/>
            <wp:effectExtent b="0" l="0" r="0" t="0"/>
            <wp:docPr descr="" title="" id="136" name="Picture"/>
            <a:graphic>
              <a:graphicData uri="http://schemas.openxmlformats.org/drawingml/2006/picture">
                <pic:pic>
                  <pic:nvPicPr>
                    <pic:cNvPr descr="ms_files/figure-docx/fig-ppcheckord-1.png" id="137" name="Picture"/>
                    <pic:cNvPicPr>
                      <a:picLocks noChangeArrowheads="1" noChangeAspect="1"/>
                    </pic:cNvPicPr>
                  </pic:nvPicPr>
                  <pic:blipFill>
                    <a:blip r:embed="rId135"/>
                    <a:stretch>
                      <a:fillRect/>
                    </a:stretch>
                  </pic:blipFill>
                  <pic:spPr bwMode="auto">
                    <a:xfrm>
                      <a:off x="0" y="0"/>
                      <a:ext cx="5943600" cy="3962400"/>
                    </a:xfrm>
                    <a:prstGeom prst="rect">
                      <a:avLst/>
                    </a:prstGeom>
                    <a:noFill/>
                    <a:ln w="9525">
                      <a:noFill/>
                      <a:headEnd/>
                      <a:tailEnd/>
                    </a:ln>
                  </pic:spPr>
                </pic:pic>
              </a:graphicData>
            </a:graphic>
          </wp:inline>
        </w:drawing>
      </w:r>
    </w:p>
    <w:bookmarkEnd w:id="138"/>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14</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2" w:name="fig-heiss"/>
    <w:p>
      <w:pPr>
        <w:pStyle w:val="FigureTitle"/>
      </w:pPr>
      <w:r>
        <w:t xml:space="preserve">Figure 14</w:t>
      </w:r>
    </w:p>
    <w:p>
      <w:pPr>
        <w:pStyle w:val="Caption"/>
      </w:pPr>
      <w:r>
        <w:t xml:space="preserve">Heiss Plot of Predicted Probablities across the scale (0-100)</w:t>
      </w:r>
    </w:p>
    <w:p>
      <w:pPr>
        <w:pStyle w:val="FigureWithoutNote"/>
      </w:pPr>
      <w:r>
        <w:drawing>
          <wp:inline>
            <wp:extent cx="5943600" cy="2971800"/>
            <wp:effectExtent b="0" l="0" r="0" t="0"/>
            <wp:docPr descr="" title="" id="140" name="Picture"/>
            <a:graphic>
              <a:graphicData uri="http://schemas.openxmlformats.org/drawingml/2006/picture">
                <pic:pic>
                  <pic:nvPicPr>
                    <pic:cNvPr descr="ms_files/figure-docx/fig-heiss-1.png" id="141" name="Picture"/>
                    <pic:cNvPicPr>
                      <a:picLocks noChangeArrowheads="1" noChangeAspect="1"/>
                    </pic:cNvPicPr>
                  </pic:nvPicPr>
                  <pic:blipFill>
                    <a:blip r:embed="rId139"/>
                    <a:stretch>
                      <a:fillRect/>
                    </a:stretch>
                  </pic:blipFill>
                  <pic:spPr bwMode="auto">
                    <a:xfrm>
                      <a:off x="0" y="0"/>
                      <a:ext cx="5943600" cy="2971800"/>
                    </a:xfrm>
                    <a:prstGeom prst="rect">
                      <a:avLst/>
                    </a:prstGeom>
                    <a:noFill/>
                    <a:ln w="9525">
                      <a:noFill/>
                      <a:headEnd/>
                      <a:tailEnd/>
                    </a:ln>
                  </pic:spPr>
                </pic:pic>
              </a:graphicData>
            </a:graphic>
          </wp:inline>
        </w:drawing>
      </w:r>
    </w:p>
    <w:bookmarkEnd w:id="142"/>
    <w:bookmarkEnd w:id="143"/>
    <w:bookmarkStart w:id="144"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4"/>
    <w:bookmarkEnd w:id="145"/>
    <w:bookmarkEnd w:id="146"/>
    <w:bookmarkStart w:id="235"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7"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7"/>
    <w:bookmarkStart w:id="234" w:name="references"/>
    <w:p>
      <w:pPr>
        <w:pStyle w:val="Heading2"/>
      </w:pPr>
      <w:r>
        <w:t xml:space="preserve">References</w:t>
      </w:r>
    </w:p>
    <w:bookmarkStart w:id="233" w:name="refs"/>
    <w:bookmarkStart w:id="149"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8">
        <w:r>
          <w:rPr>
            <w:rStyle w:val="Hyperlink"/>
          </w:rPr>
          <w:t xml:space="preserve">https://CRAN.R-project.org/package=marginaleffects</w:t>
        </w:r>
      </w:hyperlink>
    </w:p>
    <w:bookmarkEnd w:id="149"/>
    <w:bookmarkStart w:id="151"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0">
        <w:r>
          <w:rPr>
            <w:rStyle w:val="Hyperlink"/>
          </w:rPr>
          <w:t xml:space="preserve">https://doi.org/10.18637/jss.v111.i09</w:t>
        </w:r>
      </w:hyperlink>
    </w:p>
    <w:bookmarkEnd w:id="151"/>
    <w:bookmarkStart w:id="153"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2">
        <w:r>
          <w:rPr>
            <w:rStyle w:val="Hyperlink"/>
          </w:rPr>
          <w:t xml:space="preserve">https://doi.org/10.2307/2983678</w:t>
        </w:r>
      </w:hyperlink>
    </w:p>
    <w:bookmarkEnd w:id="153"/>
    <w:bookmarkStart w:id="155"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4">
        <w:r>
          <w:rPr>
            <w:rStyle w:val="Hyperlink"/>
          </w:rPr>
          <w:t xml:space="preserve">https://doi.org/10.1037/met0000553</w:t>
        </w:r>
      </w:hyperlink>
    </w:p>
    <w:bookmarkEnd w:id="155"/>
    <w:bookmarkStart w:id="157"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6">
        <w:r>
          <w:rPr>
            <w:rStyle w:val="Hyperlink"/>
          </w:rPr>
          <w:t xml:space="preserve">https://doi.org/10.32614/RJ-2017-066</w:t>
        </w:r>
      </w:hyperlink>
    </w:p>
    <w:bookmarkEnd w:id="157"/>
    <w:bookmarkStart w:id="159"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8">
        <w:r>
          <w:rPr>
            <w:rStyle w:val="Hyperlink"/>
          </w:rPr>
          <w:t xml:space="preserve">https://doi.org/10.18637/jss.v080.i01</w:t>
        </w:r>
      </w:hyperlink>
    </w:p>
    <w:bookmarkEnd w:id="159"/>
    <w:bookmarkStart w:id="161"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0">
        <w:r>
          <w:rPr>
            <w:rStyle w:val="Hyperlink"/>
          </w:rPr>
          <w:t xml:space="preserve">https://doi.org/10.1177/2515245918823199</w:t>
        </w:r>
      </w:hyperlink>
    </w:p>
    <w:bookmarkEnd w:id="161"/>
    <w:bookmarkStart w:id="163"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2">
        <w:r>
          <w:rPr>
            <w:rStyle w:val="Hyperlink"/>
          </w:rPr>
          <w:t xml:space="preserve">https://doi.org/10.3758/s13423-013-0442-z</w:t>
        </w:r>
      </w:hyperlink>
    </w:p>
    <w:bookmarkEnd w:id="163"/>
    <w:bookmarkStart w:id="164"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4"/>
    <w:bookmarkStart w:id="166"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5">
        <w:r>
          <w:rPr>
            <w:rStyle w:val="Hyperlink"/>
          </w:rPr>
          <w:t xml:space="preserve">https://doi.org/10.31219/osf.io/f9rqg_v1</w:t>
        </w:r>
      </w:hyperlink>
      <w:r>
        <w:t xml:space="preserve">.</w:t>
      </w:r>
    </w:p>
    <w:bookmarkEnd w:id="166"/>
    <w:bookmarkStart w:id="168"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7">
        <w:r>
          <w:rPr>
            <w:rStyle w:val="Hyperlink"/>
          </w:rPr>
          <w:t xml:space="preserve">https://doi.org/10.18637/jss.v034.i02</w:t>
        </w:r>
      </w:hyperlink>
    </w:p>
    <w:bookmarkEnd w:id="168"/>
    <w:bookmarkStart w:id="170"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9">
        <w:r>
          <w:rPr>
            <w:rStyle w:val="Hyperlink"/>
          </w:rPr>
          <w:t xml:space="preserve">https://nixos.org/</w:t>
        </w:r>
      </w:hyperlink>
    </w:p>
    <w:bookmarkEnd w:id="170"/>
    <w:bookmarkStart w:id="172"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1">
        <w:r>
          <w:rPr>
            <w:rStyle w:val="Hyperlink"/>
          </w:rPr>
          <w:t xml:space="preserve">https://doi.org/10.1080/0266476042000214501</w:t>
        </w:r>
      </w:hyperlink>
    </w:p>
    <w:bookmarkEnd w:id="172"/>
    <w:bookmarkStart w:id="174"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3">
        <w:r>
          <w:rPr>
            <w:rStyle w:val="Hyperlink"/>
          </w:rPr>
          <w:t xml:space="preserve">https://doi.org/10.1007/s11121-021-01302-y</w:t>
        </w:r>
      </w:hyperlink>
    </w:p>
    <w:bookmarkEnd w:id="174"/>
    <w:bookmarkStart w:id="176"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5">
        <w:r>
          <w:rPr>
            <w:rStyle w:val="Hyperlink"/>
          </w:rPr>
          <w:t xml:space="preserve">https://mc-stan.org/cmdstanr/</w:t>
        </w:r>
      </w:hyperlink>
    </w:p>
    <w:bookmarkEnd w:id="176"/>
    <w:bookmarkStart w:id="178"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7">
        <w:r>
          <w:rPr>
            <w:rStyle w:val="Hyperlink"/>
          </w:rPr>
          <w:t xml:space="preserve">https://stat.columbia.edu/~gelman/book/</w:t>
        </w:r>
      </w:hyperlink>
    </w:p>
    <w:bookmarkEnd w:id="178"/>
    <w:bookmarkStart w:id="180"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9">
        <w:r>
          <w:rPr>
            <w:rStyle w:val="Hyperlink"/>
          </w:rPr>
          <w:t xml:space="preserve">http://dx.doi.org/10.59350/7p1a4-0tw75</w:t>
        </w:r>
      </w:hyperlink>
    </w:p>
    <w:bookmarkEnd w:id="180"/>
    <w:bookmarkStart w:id="181" w:name="ref-bayes_rules"/>
    <w:p>
      <w:pPr>
        <w:pStyle w:val="Bibliography"/>
      </w:pPr>
      <w:r>
        <w:t xml:space="preserve">Johnson, A., Ott, M., &amp; Dogucu, M. (n.d.).</w:t>
      </w:r>
      <w:r>
        <w:t xml:space="preserve"> </w:t>
      </w:r>
      <w:r>
        <w:rPr>
          <w:i/>
          <w:iCs/>
        </w:rPr>
        <w:t xml:space="preserve">Bayes rules!: An introduction to applied bayesian modeling</w:t>
      </w:r>
      <w:r>
        <w:t xml:space="preserve">. Routledge &amp; CRC Press.</w:t>
      </w:r>
    </w:p>
    <w:bookmarkEnd w:id="181"/>
    <w:bookmarkStart w:id="183"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2">
        <w:r>
          <w:rPr>
            <w:rStyle w:val="Hyperlink"/>
          </w:rPr>
          <w:t xml:space="preserve">https://doi.org/10.1016/j.wocn.2016.08.006</w:t>
        </w:r>
      </w:hyperlink>
    </w:p>
    <w:bookmarkEnd w:id="183"/>
    <w:bookmarkStart w:id="184"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84"/>
    <w:bookmarkStart w:id="186"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5">
        <w:r>
          <w:rPr>
            <w:rStyle w:val="Hyperlink"/>
          </w:rPr>
          <w:t xml:space="preserve">https://doi.org/10.1017/pan.2022.20</w:t>
        </w:r>
      </w:hyperlink>
    </w:p>
    <w:bookmarkEnd w:id="186"/>
    <w:bookmarkStart w:id="188"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7">
        <w:r>
          <w:rPr>
            <w:rStyle w:val="Hyperlink"/>
          </w:rPr>
          <w:t xml:space="preserve">https://CRAN.R-project.org/package=ordbetareg</w:t>
        </w:r>
      </w:hyperlink>
    </w:p>
    <w:bookmarkEnd w:id="188"/>
    <w:bookmarkStart w:id="190"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89">
        <w:r>
          <w:rPr>
            <w:rStyle w:val="Hyperlink"/>
          </w:rPr>
          <w:t xml:space="preserve">https://doi.org/10.32614/rj-2015-019</w:t>
        </w:r>
      </w:hyperlink>
    </w:p>
    <w:bookmarkEnd w:id="190"/>
    <w:bookmarkStart w:id="192" w:name="ref-ggeffects-2"/>
    <w:p>
      <w:pPr>
        <w:pStyle w:val="Bibliography"/>
      </w:pPr>
      <w:r>
        <w:t xml:space="preserve">Lüdecke, D. (2018).</w:t>
      </w:r>
      <w:r>
        <w:t xml:space="preserve"> </w:t>
      </w:r>
      <w:r>
        <w:rPr>
          <w:i/>
          <w:iCs/>
        </w:rPr>
        <w:t xml:space="preserve">Ggeffects: Tidy data frames of marginal effects from regression models.</w:t>
      </w:r>
      <w:r>
        <w:t xml:space="preserve"> </w:t>
      </w:r>
      <w:r>
        <w:rPr>
          <w:i/>
          <w:iCs/>
        </w:rPr>
        <w:t xml:space="preserve">3</w:t>
      </w:r>
      <w:r>
        <w:t xml:space="preserve">, 772.</w:t>
      </w:r>
      <w:r>
        <w:t xml:space="preserve"> </w:t>
      </w:r>
      <w:hyperlink r:id="rId191">
        <w:r>
          <w:rPr>
            <w:rStyle w:val="Hyperlink"/>
          </w:rPr>
          <w:t xml:space="preserve">https://doi.org/10.21105/joss.00772</w:t>
        </w:r>
      </w:hyperlink>
    </w:p>
    <w:bookmarkEnd w:id="192"/>
    <w:bookmarkStart w:id="194"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93">
        <w:r>
          <w:rPr>
            <w:rStyle w:val="Hyperlink"/>
          </w:rPr>
          <w:t xml:space="preserve">https://easystats.github.io/easystats/</w:t>
        </w:r>
      </w:hyperlink>
    </w:p>
    <w:bookmarkEnd w:id="194"/>
    <w:bookmarkStart w:id="196"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95">
        <w:r>
          <w:rPr>
            <w:rStyle w:val="Hyperlink"/>
          </w:rPr>
          <w:t xml:space="preserve">https://doi.org/10.3389/fpsyg.2019.02767</w:t>
        </w:r>
      </w:hyperlink>
    </w:p>
    <w:bookmarkEnd w:id="196"/>
    <w:bookmarkStart w:id="198"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7">
        <w:r>
          <w:rPr>
            <w:rStyle w:val="Hyperlink"/>
          </w:rPr>
          <w:t xml:space="preserve">https://doi.org/10.21105/joss.01541</w:t>
        </w:r>
      </w:hyperlink>
    </w:p>
    <w:bookmarkEnd w:id="198"/>
    <w:bookmarkStart w:id="200"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199">
        <w:r>
          <w:rPr>
            <w:rStyle w:val="Hyperlink"/>
          </w:rPr>
          <w:t xml:space="preserve">https://doi.org/10.1098/rsos.231713</w:t>
        </w:r>
      </w:hyperlink>
    </w:p>
    <w:bookmarkEnd w:id="200"/>
    <w:bookmarkStart w:id="202"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01">
        <w:r>
          <w:rPr>
            <w:rStyle w:val="Hyperlink"/>
          </w:rPr>
          <w:t xml:space="preserve">https://doi.org/10.1201/9780429029608</w:t>
        </w:r>
      </w:hyperlink>
    </w:p>
    <w:bookmarkEnd w:id="202"/>
    <w:bookmarkStart w:id="204"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03">
        <w:r>
          <w:rPr>
            <w:rStyle w:val="Hyperlink"/>
          </w:rPr>
          <w:t xml:space="preserve">https://doi.org/10.2307/2344614</w:t>
        </w:r>
      </w:hyperlink>
    </w:p>
    <w:bookmarkEnd w:id="204"/>
    <w:bookmarkStart w:id="206"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05">
        <w:r>
          <w:rPr>
            <w:rStyle w:val="Hyperlink"/>
          </w:rPr>
          <w:t xml:space="preserve">https://www.sciencedirect.com/science/article/pii/S0048969723041505</w:t>
        </w:r>
      </w:hyperlink>
    </w:p>
    <w:bookmarkEnd w:id="206"/>
    <w:bookmarkStart w:id="208"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7">
        <w:r>
          <w:rPr>
            <w:rStyle w:val="Hyperlink"/>
          </w:rPr>
          <w:t xml:space="preserve">https://doi.org/10.1093/oxfordjournals.pan.a004873</w:t>
        </w:r>
      </w:hyperlink>
    </w:p>
    <w:bookmarkEnd w:id="208"/>
    <w:bookmarkStart w:id="210"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09">
        <w:r>
          <w:rPr>
            <w:rStyle w:val="Hyperlink"/>
          </w:rPr>
          <w:t xml:space="preserve">https://www.R-project.org/</w:t>
        </w:r>
      </w:hyperlink>
    </w:p>
    <w:bookmarkEnd w:id="210"/>
    <w:bookmarkStart w:id="212"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11">
        <w:r>
          <w:rPr>
            <w:rStyle w:val="Hyperlink"/>
          </w:rPr>
          <w:t xml:space="preserve">https://docs.ropensci.org/rix/</w:t>
        </w:r>
      </w:hyperlink>
    </w:p>
    <w:bookmarkEnd w:id="212"/>
    <w:bookmarkStart w:id="214"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13">
        <w:r>
          <w:rPr>
            <w:rStyle w:val="Hyperlink"/>
          </w:rPr>
          <w:t xml:space="preserve">https://doi.org/10.1177/08902070241239834</w:t>
        </w:r>
      </w:hyperlink>
    </w:p>
    <w:bookmarkEnd w:id="214"/>
    <w:bookmarkStart w:id="216"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15">
        <w:r>
          <w:rPr>
            <w:rStyle w:val="Hyperlink"/>
          </w:rPr>
          <w:t xml:space="preserve">https://doi.org/10.31234/osf.io/4rznt</w:t>
        </w:r>
      </w:hyperlink>
    </w:p>
    <w:bookmarkEnd w:id="216"/>
    <w:bookmarkStart w:id="218"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7">
        <w:r>
          <w:rPr>
            <w:rStyle w:val="Hyperlink"/>
          </w:rPr>
          <w:t xml:space="preserve">https://doi.org/10.1001/jamanetworkopen.2023.53401</w:t>
        </w:r>
      </w:hyperlink>
    </w:p>
    <w:bookmarkEnd w:id="218"/>
    <w:bookmarkStart w:id="220"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19">
        <w:r>
          <w:rPr>
            <w:rStyle w:val="Hyperlink"/>
          </w:rPr>
          <w:t xml:space="preserve">https://doi.org/10.1037/1082-989x.11.1.54</w:t>
        </w:r>
      </w:hyperlink>
    </w:p>
    <w:bookmarkEnd w:id="220"/>
    <w:bookmarkStart w:id="222"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21">
        <w:r>
          <w:rPr>
            <w:rStyle w:val="Hyperlink"/>
          </w:rPr>
          <w:t xml:space="preserve">https://mc-stan.org</w:t>
        </w:r>
      </w:hyperlink>
    </w:p>
    <w:bookmarkEnd w:id="222"/>
    <w:bookmarkStart w:id="224"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23">
        <w:r>
          <w:rPr>
            <w:rStyle w:val="Hyperlink"/>
          </w:rPr>
          <w:t xml:space="preserve">https://doi.org/10.1007/s11409-017-9175-0</w:t>
        </w:r>
      </w:hyperlink>
    </w:p>
    <w:bookmarkEnd w:id="224"/>
    <w:bookmarkStart w:id="226" w:name="ref-vuorre2019"/>
    <w:p>
      <w:pPr>
        <w:pStyle w:val="Bibliography"/>
      </w:pPr>
      <w:r>
        <w:t xml:space="preserve">Vuorre, M. (2019, February 18).</w:t>
      </w:r>
      <w:r>
        <w:t xml:space="preserve"> </w:t>
      </w:r>
      <w:r>
        <w:rPr>
          <w:i/>
          <w:iCs/>
        </w:rPr>
        <w:t xml:space="preserve">How to Analyze Visual Analog (Slider) Scale Data?</w:t>
      </w:r>
      <w:r>
        <w:t xml:space="preserve"> </w:t>
      </w:r>
      <w:hyperlink r:id="rId225">
        <w:r>
          <w:rPr>
            <w:rStyle w:val="Hyperlink"/>
          </w:rPr>
          <w:t xml:space="preserve">https://vuorre.com/posts/2019-02-18-analyze-analog-scale-ratings-with-zero-one-inflated-beta-models</w:t>
        </w:r>
      </w:hyperlink>
    </w:p>
    <w:bookmarkEnd w:id="226"/>
    <w:bookmarkStart w:id="228"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27">
        <w:r>
          <w:rPr>
            <w:rStyle w:val="Hyperlink"/>
          </w:rPr>
          <w:t xml:space="preserve">https://doi.org/10.1002/acp.3724</w:t>
        </w:r>
      </w:hyperlink>
    </w:p>
    <w:bookmarkEnd w:id="228"/>
    <w:bookmarkStart w:id="230"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29">
        <w:r>
          <w:rPr>
            <w:rStyle w:val="Hyperlink"/>
          </w:rPr>
          <w:t xml:space="preserve">https://doi.org/10.1111/gcb.17422</w:t>
        </w:r>
      </w:hyperlink>
    </w:p>
    <w:bookmarkEnd w:id="230"/>
    <w:bookmarkStart w:id="232"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31">
        <w:r>
          <w:rPr>
            <w:rStyle w:val="Hyperlink"/>
          </w:rPr>
          <w:t xml:space="preserve">https://doi.org/10.1037/mac0000003</w:t>
        </w:r>
      </w:hyperlink>
    </w:p>
    <w:bookmarkEnd w:id="232"/>
    <w:bookmarkEnd w:id="233"/>
    <w:bookmarkEnd w:id="234"/>
    <w:bookmarkEnd w:id="235"/>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79">
    <w:p>
      <w:pPr>
        <w:pStyle w:val="FootnoteText"/>
      </w:pPr>
      <w:r>
        <w:rPr>
          <w:rStyle w:val="FootnoteReference"/>
        </w:rPr>
        <w:footnoteRef/>
      </w:r>
      <w:r>
        <w:t xml:space="preserve"> </w:t>
      </w:r>
      <w:r>
        <w:t xml:space="preserve">We have chain diagnostics included like Rhat and ESS which indicates how the MCMC sampling performed. For more information check out</w:t>
      </w:r>
      <w:r>
        <w:t xml:space="preserve"> </w:t>
      </w:r>
      <w:r>
        <w:t xml:space="preserve">Gelman et al. (</w:t>
      </w:r>
      <w:hyperlink w:anchor="ref-gelman2013bayesian">
        <w:r>
          <w:rPr>
            <w:rStyle w:val="Hyperlink"/>
          </w:rPr>
          <w:t xml:space="preserve">2013</w:t>
        </w:r>
      </w:hyperlink>
      <w:r>
        <w:t xml:space="preserve">)</w:t>
      </w:r>
      <w:r>
        <w:t xml:space="preserve">;</w:t>
      </w:r>
      <w:r>
        <w:t xml:space="preserve"> </w:t>
      </w:r>
      <w:r>
        <w:t xml:space="preserve">McElreath (</w:t>
      </w:r>
      <w:hyperlink w:anchor="ref-mcelreath2020statistical">
        <w:r>
          <w:rPr>
            <w:rStyle w:val="Hyperlink"/>
          </w:rPr>
          <w:t xml:space="preserve">2020</w:t>
        </w:r>
      </w:hyperlink>
      <w:r>
        <w:t xml:space="preserve">)</w:t>
      </w:r>
      <w:r>
        <w:t xml:space="preserve">;</w:t>
      </w:r>
      <w:r>
        <w:t xml:space="preserve"> </w:t>
      </w:r>
      <w:r>
        <w:t xml:space="preserve">Kruschke (</w:t>
      </w:r>
      <w:hyperlink w:anchor="ref-kruschke2015doing">
        <w:r>
          <w:rPr>
            <w:rStyle w:val="Hyperlink"/>
          </w:rPr>
          <w:t xml:space="preserve">2015</w:t>
        </w:r>
      </w:hyperlink>
      <w:r>
        <w:t xml:space="preserve">)</w:t>
      </w:r>
      <w:r>
        <w:t xml:space="preserve">)</w:t>
      </w:r>
    </w:p>
  </w:footnote>
  <w:footnote w:id="80">
    <w:p>
      <w:pPr>
        <w:pStyle w:val="FootnoteText"/>
      </w:pPr>
      <w:r>
        <w:rPr>
          <w:rStyle w:val="FootnoteReference"/>
        </w:rPr>
        <w:footnoteRef/>
      </w:r>
      <w:r>
        <w:t xml:space="preserve"> </w:t>
      </w:r>
      <w:r>
        <w:rPr>
          <w:rStyle w:val="VerbatimChar"/>
        </w:rPr>
        <w:t xml:space="preserve">ggeffects</w:t>
      </w:r>
      <w:r>
        <w:t xml:space="preserve"> </w:t>
      </w:r>
      <w:r>
        <w:t xml:space="preserve">is another great package to extract marginal effects and plot</w:t>
      </w:r>
      <w:r>
        <w:t xml:space="preserve"> </w:t>
      </w:r>
      <w:r>
        <w:t xml:space="preserve">(</w:t>
      </w:r>
      <w:hyperlink w:anchor="ref-ggeffects-2">
        <w:r>
          <w:rPr>
            <w:rStyle w:val="Hyperlink"/>
          </w:rPr>
          <w:t xml:space="preserve">Lüdecke, 2018</w:t>
        </w:r>
      </w:hyperlink>
      <w:r>
        <w:t xml:space="preserve">)</w:t>
      </w:r>
    </w:p>
  </w:footnote>
  <w:footnote w:id="119">
    <w:p>
      <w:pPr>
        <w:pStyle w:val="FootnoteText"/>
      </w:pPr>
      <w:r>
        <w:rPr>
          <w:rStyle w:val="FootnoteReference"/>
        </w:rPr>
        <w:footnoteRef/>
      </w:r>
      <w:r>
        <w:t xml:space="preserve"> </w:t>
      </w:r>
      <w:r>
        <w:t xml:space="preserve">In cases where there are large amounts of 1s but no zeros you can fit a one-inflated model. Currently you can do so with the</w:t>
      </w:r>
      <w:r>
        <w:t xml:space="preserve"> </w:t>
      </w:r>
      <w:r>
        <w:rPr>
          <w:rStyle w:val="VerbatimChar"/>
        </w:rPr>
        <w:t xml:space="preserve">gamlss</w:t>
      </w:r>
      <w:r>
        <w:t xml:space="preserve"> </w:t>
      </w:r>
      <w:r>
        <w:t xml:space="preserve">package in R</w:t>
      </w:r>
    </w:p>
  </w:footnote>
  <w:footnote w:id="120">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21" Target="media/rId21.sv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86" Target="media/rId86.png" /><Relationship Type="http://schemas.openxmlformats.org/officeDocument/2006/relationships/image" Id="rId58" Target="media/rId58.png" /><Relationship Type="http://schemas.openxmlformats.org/officeDocument/2006/relationships/image" Id="rId139" Target="media/rId139.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74" Target="media/rId74.png" /><Relationship Type="http://schemas.openxmlformats.org/officeDocument/2006/relationships/image" Id="rId135" Target="media/rId135.png" /><Relationship Type="http://schemas.openxmlformats.org/officeDocument/2006/relationships/image" Id="rId105" Target="media/rId105.png" /><Relationship Type="http://schemas.openxmlformats.org/officeDocument/2006/relationships/image" Id="rId113" Target="media/rId113.png" /><Relationship Type="http://schemas.openxmlformats.org/officeDocument/2006/relationships/image" Id="rId121" Target="media/rId121.png" /><Relationship Type="http://schemas.openxmlformats.org/officeDocument/2006/relationships/hyperlink" Id="rId179" Target="http://dx.doi.org/10.59350/7p1a4-0tw75" TargetMode="External" /><Relationship Type="http://schemas.openxmlformats.org/officeDocument/2006/relationships/hyperlink" Id="rId148" Target="https://CRAN.R-project.org/package=marginaleffects" TargetMode="External" /><Relationship Type="http://schemas.openxmlformats.org/officeDocument/2006/relationships/hyperlink" Id="rId187" Target="https://CRAN.R-project.org/package=ordbetareg" TargetMode="External" /><Relationship Type="http://schemas.openxmlformats.org/officeDocument/2006/relationships/hyperlink" Id="rId211" Target="https://docs.ropensci.org/rix/" TargetMode="External" /><Relationship Type="http://schemas.openxmlformats.org/officeDocument/2006/relationships/hyperlink" Id="rId217" Target="https://doi.org/10.1001/jamanetworkopen.2023.53401" TargetMode="External" /><Relationship Type="http://schemas.openxmlformats.org/officeDocument/2006/relationships/hyperlink" Id="rId227" Target="https://doi.org/10.1002/acp.3724" TargetMode="External" /><Relationship Type="http://schemas.openxmlformats.org/officeDocument/2006/relationships/hyperlink" Id="rId173" Target="https://doi.org/10.1007/s11121-021-01302-y" TargetMode="External" /><Relationship Type="http://schemas.openxmlformats.org/officeDocument/2006/relationships/hyperlink" Id="rId223" Target="https://doi.org/10.1007/s11409-017-9175-0" TargetMode="External" /><Relationship Type="http://schemas.openxmlformats.org/officeDocument/2006/relationships/hyperlink" Id="rId182" Target="https://doi.org/10.1016/j.wocn.2016.08.006" TargetMode="External" /><Relationship Type="http://schemas.openxmlformats.org/officeDocument/2006/relationships/hyperlink" Id="rId185" Target="https://doi.org/10.1017/pan.2022.20" TargetMode="External" /><Relationship Type="http://schemas.openxmlformats.org/officeDocument/2006/relationships/hyperlink" Id="rId219" Target="https://doi.org/10.1037/1082-989x.11.1.54" TargetMode="External" /><Relationship Type="http://schemas.openxmlformats.org/officeDocument/2006/relationships/hyperlink" Id="rId231" Target="https://doi.org/10.1037/mac0000003" TargetMode="External" /><Relationship Type="http://schemas.openxmlformats.org/officeDocument/2006/relationships/hyperlink" Id="rId154" Target="https://doi.org/10.1037/met0000553" TargetMode="External" /><Relationship Type="http://schemas.openxmlformats.org/officeDocument/2006/relationships/hyperlink" Id="rId171" Target="https://doi.org/10.1080/0266476042000214501" TargetMode="External" /><Relationship Type="http://schemas.openxmlformats.org/officeDocument/2006/relationships/hyperlink" Id="rId207" Target="https://doi.org/10.1093/oxfordjournals.pan.a004873" TargetMode="External" /><Relationship Type="http://schemas.openxmlformats.org/officeDocument/2006/relationships/hyperlink" Id="rId199" Target="https://doi.org/10.1098/rsos.231713" TargetMode="External" /><Relationship Type="http://schemas.openxmlformats.org/officeDocument/2006/relationships/hyperlink" Id="rId229" Target="https://doi.org/10.1111/gcb.17422" TargetMode="External" /><Relationship Type="http://schemas.openxmlformats.org/officeDocument/2006/relationships/hyperlink" Id="rId213" Target="https://doi.org/10.1177/08902070241239834" TargetMode="External" /><Relationship Type="http://schemas.openxmlformats.org/officeDocument/2006/relationships/hyperlink" Id="rId160" Target="https://doi.org/10.1177/2515245918823199" TargetMode="External" /><Relationship Type="http://schemas.openxmlformats.org/officeDocument/2006/relationships/hyperlink" Id="rId201" Target="https://doi.org/10.1201/9780429029608" TargetMode="External" /><Relationship Type="http://schemas.openxmlformats.org/officeDocument/2006/relationships/hyperlink" Id="rId167" Target="https://doi.org/10.18637/jss.v034.i02" TargetMode="External" /><Relationship Type="http://schemas.openxmlformats.org/officeDocument/2006/relationships/hyperlink" Id="rId158" Target="https://doi.org/10.18637/jss.v080.i01" TargetMode="External" /><Relationship Type="http://schemas.openxmlformats.org/officeDocument/2006/relationships/hyperlink" Id="rId150" Target="https://doi.org/10.18637/jss.v111.i09" TargetMode="External" /><Relationship Type="http://schemas.openxmlformats.org/officeDocument/2006/relationships/hyperlink" Id="rId191" Target="https://doi.org/10.21105/joss.00772" TargetMode="External" /><Relationship Type="http://schemas.openxmlformats.org/officeDocument/2006/relationships/hyperlink" Id="rId197" Target="https://doi.org/10.21105/joss.01541" TargetMode="External" /><Relationship Type="http://schemas.openxmlformats.org/officeDocument/2006/relationships/hyperlink" Id="rId203" Target="https://doi.org/10.2307/2344614" TargetMode="External" /><Relationship Type="http://schemas.openxmlformats.org/officeDocument/2006/relationships/hyperlink" Id="rId152" Target="https://doi.org/10.2307/2983678" TargetMode="External" /><Relationship Type="http://schemas.openxmlformats.org/officeDocument/2006/relationships/hyperlink" Id="rId165" Target="https://doi.org/10.31219/osf.io/f9rqg_v1" TargetMode="External" /><Relationship Type="http://schemas.openxmlformats.org/officeDocument/2006/relationships/hyperlink" Id="rId215" Target="https://doi.org/10.31234/osf.io/4rznt" TargetMode="External" /><Relationship Type="http://schemas.openxmlformats.org/officeDocument/2006/relationships/hyperlink" Id="rId156" Target="https://doi.org/10.32614/RJ-2017-066" TargetMode="External" /><Relationship Type="http://schemas.openxmlformats.org/officeDocument/2006/relationships/hyperlink" Id="rId189" Target="https://doi.org/10.32614/rj-2015-019" TargetMode="External" /><Relationship Type="http://schemas.openxmlformats.org/officeDocument/2006/relationships/hyperlink" Id="rId195" Target="https://doi.org/10.3389/fpsyg.2019.02767" TargetMode="External" /><Relationship Type="http://schemas.openxmlformats.org/officeDocument/2006/relationships/hyperlink" Id="rId162" Target="https://doi.org/10.3758/s13423-013-0442-z" TargetMode="External" /><Relationship Type="http://schemas.openxmlformats.org/officeDocument/2006/relationships/hyperlink" Id="rId193"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9" Target="https://github.com/saudiwin/ordbetareg_pack" TargetMode="External" /><Relationship Type="http://schemas.openxmlformats.org/officeDocument/2006/relationships/hyperlink" Id="rId221" Target="https://mc-stan.org" TargetMode="External" /><Relationship Type="http://schemas.openxmlformats.org/officeDocument/2006/relationships/hyperlink" Id="rId175" Target="https://mc-stan.org/cmdstanr/" TargetMode="External" /><Relationship Type="http://schemas.openxmlformats.org/officeDocument/2006/relationships/hyperlink" Id="rId16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7" Target="https://stat.columbia.edu/~gelman/book/" TargetMode="External" /><Relationship Type="http://schemas.openxmlformats.org/officeDocument/2006/relationships/hyperlink" Id="rId225" Target="https://vuorre.com/posts/2019-02-18-analyze-analog-scale-ratings-with-zero-one-inflated-beta-models" TargetMode="External" /><Relationship Type="http://schemas.openxmlformats.org/officeDocument/2006/relationships/hyperlink" Id="rId209" Target="https://www.R-project.org/" TargetMode="External" /><Relationship Type="http://schemas.openxmlformats.org/officeDocument/2006/relationships/hyperlink" Id="rId236" Target="https://www.routledge.com/Bayes-Rules-An-Introduction-to-Applied-Bayesian-Modeling/Johnson-Ott-Dogucu/p/book/9780367255398" TargetMode="External" /><Relationship Type="http://schemas.openxmlformats.org/officeDocument/2006/relationships/hyperlink" Id="rId205"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79" Target="http://dx.doi.org/10.59350/7p1a4-0tw75" TargetMode="External" /><Relationship Type="http://schemas.openxmlformats.org/officeDocument/2006/relationships/hyperlink" Id="rId148" Target="https://CRAN.R-project.org/package=marginaleffects" TargetMode="External" /><Relationship Type="http://schemas.openxmlformats.org/officeDocument/2006/relationships/hyperlink" Id="rId187" Target="https://CRAN.R-project.org/package=ordbetareg" TargetMode="External" /><Relationship Type="http://schemas.openxmlformats.org/officeDocument/2006/relationships/hyperlink" Id="rId211" Target="https://docs.ropensci.org/rix/" TargetMode="External" /><Relationship Type="http://schemas.openxmlformats.org/officeDocument/2006/relationships/hyperlink" Id="rId217" Target="https://doi.org/10.1001/jamanetworkopen.2023.53401" TargetMode="External" /><Relationship Type="http://schemas.openxmlformats.org/officeDocument/2006/relationships/hyperlink" Id="rId227" Target="https://doi.org/10.1002/acp.3724" TargetMode="External" /><Relationship Type="http://schemas.openxmlformats.org/officeDocument/2006/relationships/hyperlink" Id="rId173" Target="https://doi.org/10.1007/s11121-021-01302-y" TargetMode="External" /><Relationship Type="http://schemas.openxmlformats.org/officeDocument/2006/relationships/hyperlink" Id="rId223" Target="https://doi.org/10.1007/s11409-017-9175-0" TargetMode="External" /><Relationship Type="http://schemas.openxmlformats.org/officeDocument/2006/relationships/hyperlink" Id="rId182" Target="https://doi.org/10.1016/j.wocn.2016.08.006" TargetMode="External" /><Relationship Type="http://schemas.openxmlformats.org/officeDocument/2006/relationships/hyperlink" Id="rId185" Target="https://doi.org/10.1017/pan.2022.20" TargetMode="External" /><Relationship Type="http://schemas.openxmlformats.org/officeDocument/2006/relationships/hyperlink" Id="rId219" Target="https://doi.org/10.1037/1082-989x.11.1.54" TargetMode="External" /><Relationship Type="http://schemas.openxmlformats.org/officeDocument/2006/relationships/hyperlink" Id="rId231" Target="https://doi.org/10.1037/mac0000003" TargetMode="External" /><Relationship Type="http://schemas.openxmlformats.org/officeDocument/2006/relationships/hyperlink" Id="rId154" Target="https://doi.org/10.1037/met0000553" TargetMode="External" /><Relationship Type="http://schemas.openxmlformats.org/officeDocument/2006/relationships/hyperlink" Id="rId171" Target="https://doi.org/10.1080/0266476042000214501" TargetMode="External" /><Relationship Type="http://schemas.openxmlformats.org/officeDocument/2006/relationships/hyperlink" Id="rId207" Target="https://doi.org/10.1093/oxfordjournals.pan.a004873" TargetMode="External" /><Relationship Type="http://schemas.openxmlformats.org/officeDocument/2006/relationships/hyperlink" Id="rId199" Target="https://doi.org/10.1098/rsos.231713" TargetMode="External" /><Relationship Type="http://schemas.openxmlformats.org/officeDocument/2006/relationships/hyperlink" Id="rId229" Target="https://doi.org/10.1111/gcb.17422" TargetMode="External" /><Relationship Type="http://schemas.openxmlformats.org/officeDocument/2006/relationships/hyperlink" Id="rId213" Target="https://doi.org/10.1177/08902070241239834" TargetMode="External" /><Relationship Type="http://schemas.openxmlformats.org/officeDocument/2006/relationships/hyperlink" Id="rId160" Target="https://doi.org/10.1177/2515245918823199" TargetMode="External" /><Relationship Type="http://schemas.openxmlformats.org/officeDocument/2006/relationships/hyperlink" Id="rId201" Target="https://doi.org/10.1201/9780429029608" TargetMode="External" /><Relationship Type="http://schemas.openxmlformats.org/officeDocument/2006/relationships/hyperlink" Id="rId167" Target="https://doi.org/10.18637/jss.v034.i02" TargetMode="External" /><Relationship Type="http://schemas.openxmlformats.org/officeDocument/2006/relationships/hyperlink" Id="rId158" Target="https://doi.org/10.18637/jss.v080.i01" TargetMode="External" /><Relationship Type="http://schemas.openxmlformats.org/officeDocument/2006/relationships/hyperlink" Id="rId150" Target="https://doi.org/10.18637/jss.v111.i09" TargetMode="External" /><Relationship Type="http://schemas.openxmlformats.org/officeDocument/2006/relationships/hyperlink" Id="rId191" Target="https://doi.org/10.21105/joss.00772" TargetMode="External" /><Relationship Type="http://schemas.openxmlformats.org/officeDocument/2006/relationships/hyperlink" Id="rId197" Target="https://doi.org/10.21105/joss.01541" TargetMode="External" /><Relationship Type="http://schemas.openxmlformats.org/officeDocument/2006/relationships/hyperlink" Id="rId203" Target="https://doi.org/10.2307/2344614" TargetMode="External" /><Relationship Type="http://schemas.openxmlformats.org/officeDocument/2006/relationships/hyperlink" Id="rId152" Target="https://doi.org/10.2307/2983678" TargetMode="External" /><Relationship Type="http://schemas.openxmlformats.org/officeDocument/2006/relationships/hyperlink" Id="rId165" Target="https://doi.org/10.31219/osf.io/f9rqg_v1" TargetMode="External" /><Relationship Type="http://schemas.openxmlformats.org/officeDocument/2006/relationships/hyperlink" Id="rId215" Target="https://doi.org/10.31234/osf.io/4rznt" TargetMode="External" /><Relationship Type="http://schemas.openxmlformats.org/officeDocument/2006/relationships/hyperlink" Id="rId156" Target="https://doi.org/10.32614/RJ-2017-066" TargetMode="External" /><Relationship Type="http://schemas.openxmlformats.org/officeDocument/2006/relationships/hyperlink" Id="rId189" Target="https://doi.org/10.32614/rj-2015-019" TargetMode="External" /><Relationship Type="http://schemas.openxmlformats.org/officeDocument/2006/relationships/hyperlink" Id="rId195" Target="https://doi.org/10.3389/fpsyg.2019.02767" TargetMode="External" /><Relationship Type="http://schemas.openxmlformats.org/officeDocument/2006/relationships/hyperlink" Id="rId162" Target="https://doi.org/10.3758/s13423-013-0442-z" TargetMode="External" /><Relationship Type="http://schemas.openxmlformats.org/officeDocument/2006/relationships/hyperlink" Id="rId193"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9" Target="https://github.com/saudiwin/ordbetareg_pack" TargetMode="External" /><Relationship Type="http://schemas.openxmlformats.org/officeDocument/2006/relationships/hyperlink" Id="rId221" Target="https://mc-stan.org" TargetMode="External" /><Relationship Type="http://schemas.openxmlformats.org/officeDocument/2006/relationships/hyperlink" Id="rId175" Target="https://mc-stan.org/cmdstanr/" TargetMode="External" /><Relationship Type="http://schemas.openxmlformats.org/officeDocument/2006/relationships/hyperlink" Id="rId16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7" Target="https://stat.columbia.edu/~gelman/book/" TargetMode="External" /><Relationship Type="http://schemas.openxmlformats.org/officeDocument/2006/relationships/hyperlink" Id="rId225" Target="https://vuorre.com/posts/2019-02-18-analyze-analog-scale-ratings-with-zero-one-inflated-beta-models" TargetMode="External" /><Relationship Type="http://schemas.openxmlformats.org/officeDocument/2006/relationships/hyperlink" Id="rId209" Target="https://www.R-project.org/" TargetMode="External" /><Relationship Type="http://schemas.openxmlformats.org/officeDocument/2006/relationships/hyperlink" Id="rId236" Target="https://www.routledge.com/Bayes-Rules-An-Introduction-to-Applied-Bayesian-Modeling/Johnson-Ott-Dogucu/p/book/9780367255398" TargetMode="External" /><Relationship Type="http://schemas.openxmlformats.org/officeDocument/2006/relationships/hyperlink" Id="rId205"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9963</vt:lpwstr>
  </property>
  <property fmtid="{D5CDD505-2E9C-101B-9397-08002B2CF9AE}" pid="63" name="zerocitations">
    <vt:lpwstr>False</vt:lpwstr>
  </property>
</Properties>
</file>