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8.png" ContentType="image/png"/>
  <Override PartName="/word/media/rId21.svg" ContentType="image/svg+xml"/>
  <Override PartName="/word/media/rId49.png" ContentType="image/png"/>
  <Override PartName="/word/media/rId45.png" ContentType="image/png"/>
  <Override PartName="/word/media/rId93.png" ContentType="image/png"/>
  <Override PartName="/word/media/rId64.png" ContentType="image/png"/>
  <Override PartName="/word/media/rId141.png" ContentType="image/png"/>
  <Override PartName="/word/media/rId77.png" ContentType="image/png"/>
  <Override PartName="/word/media/rId89.png" ContentType="image/png"/>
  <Override PartName="/word/media/rId102.png" ContentType="image/png"/>
  <Override PartName="/word/media/rId107.png" ContentType="image/png"/>
  <Override PartName="/word/media/rId81.png" ContentType="image/png"/>
  <Override PartName="/word/media/rId137.png" ContentType="image/png"/>
  <Override PartName="/word/media/rId117.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using the</w:t>
      </w:r>
      <w:r>
        <w:t xml:space="preserve"> </w:t>
      </w:r>
      <w:r>
        <w:rPr>
          <w:rStyle w:val="VerbatimChar"/>
        </w:rPr>
        <w:t xml:space="preserve">marginaleffects</w:t>
      </w:r>
      <w:r>
        <w:t xml:space="preserve"> </w:t>
      </w:r>
      <w:r>
        <w:t xml:space="preserve">package.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9424</w:t>
      </w:r>
    </w:p>
    <w:p>
      <w:r>
        <w:br w:type="page"/>
      </w:r>
    </w:p>
    <w:bookmarkEnd w:id="40"/>
    <w:bookmarkStart w:id="56" w:name="firstheader"/>
    <w:p>
      <w:pPr>
        <w:pStyle w:val="Heading1"/>
      </w:pPr>
      <w:r>
        <w:t xml:space="preserve">A Beta Way: A Tutorial For Using Beta Regression in Psychological Research</w:t>
      </w:r>
    </w:p>
    <w:p>
      <w:pPr>
        <w:pStyle w:val="FirstParagraph"/>
      </w:pPr>
      <w:r>
        <w:t xml:space="preserve">In psychological research, it is common to run experiments or administer surveys in which the primary outcomes of interest—such as task performance, attitudes, or choices—are expressed as proportions or percentages. For instance, in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General linear models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proportions are treated as continuous outcomes or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 [@R] and a vibrant community of package developers, analyses such as Beta regression have become increasingly accessible. Yet, adoption of these methods—particularly in psychology—remains limited. One reason may be the lack of resources tailored to the needs of psychologists conducting applied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vuorre2019">
        <w:r>
          <w:rPr>
            <w:rStyle w:val="Hyperlink"/>
          </w:rPr>
          <w:t xml:space="preserve">Vuorre, 2019</w:t>
        </w:r>
      </w:hyperlink>
      <w:r>
        <w:t xml:space="preserve">)</w:t>
      </w:r>
      <w:r>
        <w:t xml:space="preserve">, most introductions focus narrowly on a small subset of Beta regression models. This tutorial aims to address that gap by offering a more comprehensive overview of Beta regression and its extensions, along with practical tools and code to help psychologists apply these methods in their own work. While previous tutorials have largely focused on interpreting model summaries, we emphasize the importance of interpreting estimates on the response scale.</w:t>
      </w:r>
    </w:p>
    <w:p>
      <w:pPr>
        <w:pStyle w:val="BodyText"/>
      </w:pPr>
      <w:r>
        <w:t xml:space="preserve">In this tutorial, we provide (a) give a brief, non-technical overview of the principles underlying beta regression, (b) walk-through an empirical example of applying Beta regression in the popular R programming language and (c) highlight the the extensions which are most relevant to researchers in psychology (e.g., zero-inflated, zero-one-inflated, and ordered Beta regressions). Moreover, we provide a fully reproducible code supplement at</w:t>
      </w:r>
      <w:r>
        <w:t xml:space="preserve"> </w:t>
      </w:r>
      <w:hyperlink r:id="rId41">
        <w:r>
          <w:rPr>
            <w:rStyle w:val="Hyperlink"/>
          </w:rPr>
          <w:t xml:space="preserve">https://github.com/jgeller112/beta_regression_tutorial</w:t>
        </w:r>
      </w:hyperlink>
      <w:r>
        <w:t xml:space="preserve"> </w:t>
      </w:r>
      <w:r>
        <w:t xml:space="preserve">that provides more detailed code examples.</w:t>
      </w:r>
      <w:r>
        <w:rPr>
          <w:rStyle w:val="FootnoteReference"/>
        </w:rPr>
        <w:footnoteReference w:id="42"/>
      </w:r>
    </w:p>
    <w:bookmarkEnd w:id="43"/>
    <w:bookmarkStart w:id="44" w:name="bayesian-approach-to-beta-regression"/>
    <w:p>
      <w:pPr>
        <w:pStyle w:val="Heading2"/>
      </w:pPr>
      <w:r>
        <w:t xml:space="preserve">Bayesian Approach to Beta Regression</w:t>
      </w:r>
    </w:p>
    <w:p>
      <w:pPr>
        <w:pStyle w:val="FirstParagraph"/>
      </w:pPr>
      <w:r>
        <w:t xml:space="preserve">Beta regression can be estimated using various tools and approached from either a frequentist or Bayesian perspective. We adopt a Bayesian framework primarily due to its practicality and the availability of advanced computational techniques that make it easier to fit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However, similar implementations are available within the frequentist framework.</w:t>
      </w:r>
    </w:p>
    <w:p>
      <w:pPr>
        <w:pStyle w:val="BodyText"/>
      </w:pPr>
      <w:r>
        <w:t xml:space="preserve">In Bayesian estimation, we begin by specifying a prior distribution that reflects our beliefs about the parameters before seeing the data. We then update this prior using the observed data through the likelihood function to produce a posterior distribution. This posterior represents what we believe about the parameters after seeing the data. Unlike frequentist methods, which typically provide point estimates and confidence intervals, Bayesian methods produce full distributions for parameters, allowing us to quantify uncertainty in a more direct and interpretable way.</w:t>
      </w:r>
    </w:p>
    <w:p>
      <w:pPr>
        <w:pStyle w:val="BodyText"/>
      </w:pPr>
      <w:r>
        <w:t xml:space="preserve">In this paper, we demonstrate how to implement Beta regression models and their extensions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a powerful and flexible tool for Bayesian regression modeling that interfaces with the Stan programming language</w:t>
      </w:r>
      <w:r>
        <w:t xml:space="preserve"> </w:t>
      </w:r>
      <w:r>
        <w:t xml:space="preserve">(</w:t>
      </w:r>
      <w:hyperlink w:anchor="ref-stan2023">
        <w:r>
          <w:rPr>
            <w:rStyle w:val="Hyperlink"/>
          </w:rPr>
          <w:t xml:space="preserve">Team, 2023</w:t>
        </w:r>
      </w:hyperlink>
      <w:r>
        <w:t xml:space="preserve">)</w:t>
      </w:r>
      <w:r>
        <w:t xml:space="preserve">. The</w:t>
      </w:r>
      <w:r>
        <w:t xml:space="preserve"> </w:t>
      </w:r>
      <w:r>
        <w:rPr>
          <w:rStyle w:val="VerbatimChar"/>
        </w:rPr>
        <w:t xml:space="preserve">brms</w:t>
      </w:r>
      <w:r>
        <w:t xml:space="preserve"> </w:t>
      </w:r>
      <w:r>
        <w:t xml:space="preserve">package provides built-in support for the Beta distribution and several of the alternatives discussed in this tutorial. These models are estimated via Markov Chain Monte Carlo (MCMC) sampling, which allows us to draw from the full posterior distribution of model parameters. The posterior is typically summarized using measures of central tendency and credible intervals (the Bayesian analog to confidence intervals), and inference is often based on the entire posterior distribution rather than a single point estimate.</w:t>
      </w:r>
    </w:p>
    <w:bookmarkEnd w:id="44"/>
    <w:bookmarkStart w:id="55" w:name="beta-distribution"/>
    <w:p>
      <w:pPr>
        <w:pStyle w:val="Heading2"/>
      </w:pPr>
      <w:r>
        <w:t xml:space="preserve">Beta Distribution</w:t>
      </w:r>
    </w:p>
    <w:p>
      <w:pPr>
        <w:pStyle w:val="FirstParagraph"/>
      </w:pPr>
      <w:r>
        <w:t xml:space="preserve">Proportional data are bounded between 0 and 1 and often exhibit heteroscedasticity</w:t>
      </w:r>
      <w:r>
        <w:t xml:space="preserve"> </w:t>
      </w:r>
      <w:r>
        <w:t xml:space="preserve">Ferrari and Cribari-Neto (</w:t>
      </w:r>
      <w:hyperlink w:anchor="ref-ferrari2004">
        <w:r>
          <w:rPr>
            <w:rStyle w:val="Hyperlink"/>
          </w:rPr>
          <w:t xml:space="preserve">2004</w:t>
        </w:r>
      </w:hyperlink>
      <w:r>
        <w:t xml:space="preserve">)</w:t>
      </w:r>
      <w:r>
        <w:t xml:space="preserve">;</w:t>
      </w:r>
      <w:r>
        <w:t xml:space="preserve"> </w:t>
      </w:r>
      <w:r>
        <w:t xml:space="preserve">Paolino (</w:t>
      </w:r>
      <w:hyperlink w:anchor="ref-paolino2001">
        <w:r>
          <w:rPr>
            <w:rStyle w:val="Hyperlink"/>
          </w:rPr>
          <w:t xml:space="preserve">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To deal with proportional data, we can fit a model with a Beta distribution</w:t>
      </w:r>
      <w:r>
        <w:t xml:space="preserve"> </w:t>
      </w:r>
      <w:r>
        <w:t xml:space="preserve">(</w:t>
      </w:r>
      <w:hyperlink w:anchor="ref-ferrari2004">
        <w:r>
          <w:rPr>
            <w:rStyle w:val="Hyperlink"/>
          </w:rPr>
          <w:t xml:space="preserve">Ferrari &amp; Cribari-Neto, 2004</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This is similar to how the Gaussian distribution is determined by its mean ($\mu$) and standard deviation ($\sigma$). These shape parameters allow the Beta distribution to take on a wide variety of forms, including symmetric, positively or negatively skewed, U-shaped, and uniform-like distributions (see</w:t>
      </w:r>
      <w:r>
        <w:t xml:space="preserve"> </w:t>
      </w:r>
      <w:hyperlink w:anchor="fig-curves">
        <w:r>
          <w:rPr>
            <w:rStyle w:val="Hyperlink"/>
          </w:rPr>
          <w:t xml:space="preserve">Figure 1</w:t>
        </w:r>
      </w:hyperlink>
      <w:r>
        <w:t xml:space="preserve">).</w:t>
      </w:r>
    </w:p>
    <w:p>
      <w:pPr>
        <w:pStyle w:val="BodyText"/>
      </w:pPr>
      <w:r>
        <w:t xml:space="preserve">To highlight this, let’s go back to our hypothetical example from the introduction. Let’s suppose a participant got 4 out of 6 on a short answer question on a test. We can take the number of correct on that particular test item (4) and divide that by the number of correct (4) + number of incorrect (2) and plot the resulting density curve.</w:t>
      </w:r>
      <w:r>
        <w:t xml:space="preserve"> </w:t>
      </w:r>
      <w:r>
        <w:rPr>
          <w:rStyle w:val="VerbatimChar"/>
        </w:rPr>
        <w:t xml:space="preserve">Shape1</w:t>
      </w:r>
      <w:r>
        <w:t xml:space="preserve"> </w:t>
      </w:r>
      <w:r>
        <w:t xml:space="preserve">in this example would be 4 (i.e., number of points received or successes).</w:t>
      </w:r>
      <w:r>
        <w:t xml:space="preserve"> </w:t>
      </w:r>
      <w:r>
        <w:rPr>
          <w:rStyle w:val="VerbatimChar"/>
        </w:rPr>
        <w:t xml:space="preserve">Shape2</w:t>
      </w:r>
      <w:r>
        <w:t xml:space="preserve"> </w:t>
      </w:r>
      <w:r>
        <w:t xml:space="preserve">would be 2–the number of points not received (i.e., number of failures). Looking at</w:t>
      </w:r>
      <w:r>
        <w:t xml:space="preserve"> </w:t>
      </w:r>
      <w:hyperlink w:anchor="fig-beta-dist">
        <w:r>
          <w:rPr>
            <w:rStyle w:val="Hyperlink"/>
          </w:rPr>
          <w:t xml:space="preserve">Figure 2</w:t>
        </w:r>
      </w:hyperlink>
      <w:r>
        <w:t xml:space="preserve"> </w:t>
      </w:r>
      <w:r>
        <w:t xml:space="preserve">(A) we see the distribution for one of our questions is shifted towards one indicating higher accuracy on the exam. If we reversed the values of the two parameters</w:t>
      </w:r>
      <w:r>
        <w:t xml:space="preserve"> </w:t>
      </w:r>
      <w:hyperlink w:anchor="fig-beta-dist">
        <w:r>
          <w:rPr>
            <w:rStyle w:val="Hyperlink"/>
          </w:rPr>
          <w:t xml:space="preserve">Figure 2</w:t>
        </w:r>
      </w:hyperlink>
      <w:r>
        <w:t xml:space="preserve"> </w:t>
      </w:r>
      <w:r>
        <w:t xml:space="preserve">(B), we would get a distribution shifted towards 0, indicating a lower accuracy. In mathematical statistics, the Beta distribution is often used to model probabilities or proportions that can vary continuously between 0 and 1, but do not take the exact values of 0 or 1.</w:t>
      </w:r>
    </w:p>
    <w:bookmarkStart w:id="48" w:name="fig-curves"/>
    <w:p>
      <w:pPr>
        <w:pStyle w:val="FigureTitle"/>
      </w:pPr>
      <w:r>
        <w:t xml:space="preserve">Figure 1</w:t>
      </w:r>
    </w:p>
    <w:p>
      <w:pPr>
        <w:pStyle w:val="Caption"/>
      </w:pPr>
      <w:r>
        <w:t xml:space="preserve">Examples of beta distributions with different shape parameters</w:t>
      </w:r>
    </w:p>
    <w:p>
      <w:pPr>
        <w:pStyle w:val="FigureWithoutNote"/>
      </w:pPr>
      <w:r>
        <w:drawing>
          <wp:inline>
            <wp:extent cx="5943600" cy="2971800"/>
            <wp:effectExtent b="0" l="0" r="0" t="0"/>
            <wp:docPr descr="" title="" id="46" name="Picture"/>
            <a:graphic>
              <a:graphicData uri="http://schemas.openxmlformats.org/drawingml/2006/picture">
                <pic:pic>
                  <pic:nvPicPr>
                    <pic:cNvPr descr="ms_files/figure-docx/fig-curves-1.png" id="47"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p>
    <w:bookmarkEnd w:id="48"/>
    <w:bookmarkStart w:id="52"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50" name="Picture"/>
            <a:graphic>
              <a:graphicData uri="http://schemas.openxmlformats.org/drawingml/2006/picture">
                <pic:pic>
                  <pic:nvPicPr>
                    <pic:cNvPr descr="ms_files/figure-docx/fig-beta-dist-1.png" id="51" name="Picture"/>
                    <pic:cNvPicPr>
                      <a:picLocks noChangeArrowheads="1" noChangeAspect="1"/>
                    </pic:cNvPicPr>
                  </pic:nvPicPr>
                  <pic:blipFill>
                    <a:blip r:embed="rId49"/>
                    <a:stretch>
                      <a:fillRect/>
                    </a:stretch>
                  </pic:blipFill>
                  <pic:spPr bwMode="auto">
                    <a:xfrm>
                      <a:off x="0" y="0"/>
                      <a:ext cx="5943600" cy="2971800"/>
                    </a:xfrm>
                    <a:prstGeom prst="rect">
                      <a:avLst/>
                    </a:prstGeom>
                    <a:noFill/>
                    <a:ln w="9525">
                      <a:noFill/>
                      <a:headEnd/>
                      <a:tailEnd/>
                    </a:ln>
                  </pic:spPr>
                </pic:pic>
              </a:graphicData>
            </a:graphic>
          </wp:inline>
        </w:drawing>
      </w:r>
    </w:p>
    <w:bookmarkEnd w:id="52"/>
    <w:bookmarkStart w:id="53" w:name="mean-and-precision"/>
    <w:p>
      <w:pPr>
        <w:pStyle w:val="Heading3"/>
      </w:pPr>
      <w:r>
        <w:t xml:space="preserve">Mean and Precision</w:t>
      </w:r>
    </w:p>
    <w:p>
      <w:pPr>
        <w:pStyle w:val="FirstParagraph"/>
      </w:pPr>
      <w:r>
        <w:t xml:space="preserve">When talking about Beta regression, instead of shape1 and shape2 or</w:t>
      </w:r>
      <w:r>
        <w:t xml:space="preserve"> </w:t>
      </w:r>
      <m:oMath>
        <m:r>
          <m:t>α</m:t>
        </m:r>
      </m:oMath>
      <w:r>
        <w:t xml:space="preserve"> </w:t>
      </w:r>
      <w:r>
        <w:t xml:space="preserve">or</w:t>
      </w:r>
      <w:r>
        <w:t xml:space="preserve"> </w:t>
      </w:r>
      <m:oMath>
        <m:r>
          <m:t>β</m:t>
        </m:r>
      </m:oMath>
      <w:r>
        <w:t xml:space="preserve"> </w:t>
      </w:r>
      <w:r>
        <w:t xml:space="preserve">we talk about</w:t>
      </w:r>
      <w:r>
        <w:t xml:space="preserve"> </w:t>
      </w:r>
      <m:oMath>
        <m:r>
          <m:t>μ</m:t>
        </m:r>
      </m:oMath>
      <w:r>
        <w:t xml:space="preserve"> </w:t>
      </w:r>
      <w:r>
        <w:t xml:space="preserve">and</w:t>
      </w:r>
      <w:r>
        <w:t xml:space="preserve"> </w:t>
      </w:r>
      <m:oMath>
        <m:r>
          <m:t>ϕ</m:t>
        </m:r>
      </m:oMath>
      <w:r>
        <w:t xml:space="preserve">, where</w:t>
      </w:r>
      <w:r>
        <w:t xml:space="preserve"> </w:t>
      </w:r>
      <m:oMath>
        <m:r>
          <m:t>μ</m:t>
        </m:r>
      </m:oMath>
      <w:r>
        <w:t xml:space="preserve"> </w:t>
      </w:r>
      <w:r>
        <w:t xml:space="preserve">represents the mean or average, and</w:t>
      </w:r>
      <w:r>
        <w:t xml:space="preserve"> </w:t>
      </w:r>
      <m:oMath>
        <m:r>
          <m:t>ϕ</m:t>
        </m:r>
      </m:oMath>
      <w:r>
        <w:t xml:space="preserve"> </w:t>
      </w:r>
      <w:r>
        <w:t xml:space="preserve">represents the precision, in a roughly analogous way to how the Guassian has a mean and variance. We can reparameterize</w:t>
      </w:r>
      <w:r>
        <w:t xml:space="preserve"> </w:t>
      </w:r>
      <m:oMath>
        <m:r>
          <m:t>α</m:t>
        </m:r>
      </m:oMath>
      <w:r>
        <w:t xml:space="preserve"> </w:t>
      </w:r>
      <w:r>
        <w:t xml:space="preserve">and</w:t>
      </w:r>
      <w:r>
        <w:t xml:space="preserve"> </w:t>
      </w:r>
      <m:oMath>
        <m:r>
          <m:t>β</m:t>
        </m:r>
      </m:oMath>
      <w:r>
        <w:t xml:space="preserve"> </w:t>
      </w:r>
      <w:r>
        <w:t xml:space="preserve">into</w:t>
      </w:r>
      <w:r>
        <w:t xml:space="preserve"> </w:t>
      </w:r>
      <m:oMath>
        <m:r>
          <m:t>μ</m:t>
        </m:r>
      </m:oMath>
      <w:r>
        <w:t xml:space="preserve"> </w:t>
      </w:r>
      <w:r>
        <w:t xml:space="preserve">and</w:t>
      </w:r>
      <w:r>
        <w:t xml:space="preserve"> </w:t>
      </w:r>
      <m:oMath>
        <m:r>
          <m:t>ϕ</m:t>
        </m:r>
      </m:oMath>
      <w:r>
        <w:t xml:space="preserve"> </w:t>
      </w:r>
      <w:r>
        <w:t xml:space="preserve">via the following algebraic relationship:</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bookmarkEnd w:id="53"/>
    <w:bookmarkStart w:id="54" w:name="beta-regression"/>
    <w:p>
      <w:pPr>
        <w:pStyle w:val="Heading3"/>
      </w:pPr>
      <w:r>
        <w:t xml:space="preserve">Beta Regression</w:t>
      </w:r>
    </w:p>
    <w:p>
      <w:pPr>
        <w:pStyle w:val="FirstParagraph"/>
      </w:pPr>
      <w:r>
        <w:t xml:space="preserve">We can use the Beta distribution in regression models to describe a continuous response variable that is bounded between 0 and 1. Although the Beta distribution applies to values in this interval, it is straightforward to rescale other variables to fit this range using normalization formulas.</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Overall, Beta regression is well suited for proportional data because it respects the bounded nature of the outcome and can account for heteroscedasticity (i.e., non-constant variance across levels of predictors).</w:t>
      </w:r>
    </w:p>
    <w:bookmarkEnd w:id="54"/>
    <w:bookmarkEnd w:id="55"/>
    <w:bookmarkEnd w:id="56"/>
    <w:bookmarkStart w:id="148" w:name="motivating-example"/>
    <w:p>
      <w:pPr>
        <w:pStyle w:val="Heading1"/>
      </w:pPr>
      <w:r>
        <w:t xml:space="preserve">Motivating Example</w:t>
      </w:r>
    </w:p>
    <w:bookmarkStart w:id="62" w:name="data-and-methods"/>
    <w:p>
      <w:pPr>
        <w:pStyle w:val="Heading2"/>
      </w:pPr>
      <w:r>
        <w:t xml:space="preserve">Data and Methods</w:t>
      </w:r>
    </w:p>
    <w:p>
      <w:pPr>
        <w:pStyle w:val="FirstParagraph"/>
      </w:pPr>
      <w:r>
        <w:t xml:space="preserve">To demonstrate these principles, we re-analyze data from a real memory experiment by</w:t>
      </w:r>
      <w:r>
        <w:t xml:space="preserve"> </w:t>
      </w:r>
      <w:r>
        <w:t xml:space="preserve">Wilford et al. (</w:t>
      </w:r>
      <w:hyperlink w:anchor="ref-wilford2020">
        <w:r>
          <w:rPr>
            <w:rStyle w:val="Hyperlink"/>
          </w:rPr>
          <w:t xml:space="preserve">2020</w:t>
        </w:r>
      </w:hyperlink>
      <w:r>
        <w:t xml:space="preserve">)</w:t>
      </w:r>
      <w:r>
        <w:t xml:space="preserve">, which tested how the fluency of an instructor influenced final recall performance. This example allows us to walk through each modeling step, from basic regression to advanced Beta-based alternatives.” The principles of Beta regression are best understood in the context of a real data set. The example we are gonna use comes from the learning and memory literature. A whole host of literature has shown extrinsic cues like fluency (i.e., how easy something is to process) can influence metamemory (i.e., how well we think we will remember something). As an interesting example, a line of research has focused on instructor fluency and how that influences both metamemory and actual learning. When an instructor uses lots of non-verbal gestures, has variable voice dynamics/intonation, is mobile about the space, and includes appropriate pauses when delivering content, participants perceive them as more fluent, but it does not influence actual memory performance, or what we learn from them</w:t>
      </w:r>
      <w:r>
        <w:t xml:space="preserve"> </w:t>
      </w:r>
      <w:r>
        <w:t xml:space="preserve">(</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While fluency of instructor has not been found to impact actual memory across several studies,</w:t>
      </w:r>
      <w:r>
        <w:t xml:space="preserve"> </w:t>
      </w:r>
      <w:r>
        <w:t xml:space="preserve">Wilford et al. (</w:t>
      </w:r>
      <w:hyperlink w:anchor="ref-wilford2020">
        <w:r>
          <w:rPr>
            <w:rStyle w:val="Hyperlink"/>
          </w:rPr>
          <w:t xml:space="preserve">2020</w:t>
        </w:r>
      </w:hyperlink>
      <w:r>
        <w:t xml:space="preserve">)</w:t>
      </w:r>
      <w:r>
        <w:t xml:space="preserve"> </w:t>
      </w:r>
      <w:r>
        <w:t xml:space="preserve">found that it can. In several experiments,</w:t>
      </w:r>
      <w:r>
        <w:t xml:space="preserve"> </w:t>
      </w:r>
      <w:r>
        <w:t xml:space="preserve">Wilford et al. (</w:t>
      </w:r>
      <w:hyperlink w:anchor="ref-wilford2020">
        <w:r>
          <w:rPr>
            <w:rStyle w:val="Hyperlink"/>
          </w:rPr>
          <w:t xml:space="preserve">2020</w:t>
        </w:r>
      </w:hyperlink>
      <w:r>
        <w:t xml:space="preserve">)</w:t>
      </w:r>
      <w:r>
        <w:t xml:space="preserve"> </w:t>
      </w:r>
      <w:r>
        <w:t xml:space="preserve">showed that when participants watched two videos of a fluent vs. a disfluent instructor, they remembered more information on a final test. Given the interesting, and contradictory results, we chose this paper to highlight. In the current tutorial we are going to re-analyze the final recall data from Wilford et al. (2020; Experiment 1A; data:</w:t>
      </w:r>
      <w:r>
        <w:t xml:space="preserve"> </w:t>
      </w:r>
      <w:hyperlink r:id="rId57">
        <w:r>
          <w:rPr>
            <w:rStyle w:val="Hyperlink"/>
          </w:rPr>
          <w:t xml:space="preserve">https://osf.io/6tyn4/</w:t>
        </w:r>
      </w:hyperlink>
      <w:r>
        <w:t xml:space="preserve">).</w:t>
      </w:r>
    </w:p>
    <w:p>
      <w:pPr>
        <w:pStyle w:val="BodyText"/>
      </w:pPr>
      <w:r>
        <w:t xml:space="preserve">In</w:t>
      </w:r>
      <w:r>
        <w:t xml:space="preserve"> </w:t>
      </w:r>
      <w:r>
        <w:t xml:space="preserve">Wilford et al. (</w:t>
      </w:r>
      <w:hyperlink w:anchor="ref-wilford2020">
        <w:r>
          <w:rPr>
            <w:rStyle w:val="Hyperlink"/>
          </w:rPr>
          <w:t xml:space="preserve">2020</w:t>
        </w:r>
      </w:hyperlink>
      <w:r>
        <w:t xml:space="preserve">)</w:t>
      </w:r>
      <w:r>
        <w:t xml:space="preserve"> </w:t>
      </w:r>
      <w:r>
        <w:t xml:space="preserve">(Experiment 1A), they presented participants with two short videos highlighting two different concepts: (1) genetics of calico cats and (2) an explanation as to why skin wrinkles. Participants viewed either disfluent or fluent versions of these videos.</w:t>
      </w:r>
      <w:r>
        <w:rPr>
          <w:rStyle w:val="FootnoteReference"/>
        </w:rPr>
        <w:footnoteReference w:id="58"/>
      </w:r>
      <w:r>
        <w:t xml:space="preserve"> </w:t>
      </w:r>
      <w:r>
        <w:t xml:space="preserve">For each video, metamemory was assessed using judgements of learning (JOLs). JOLs require participants to rate an item on scale between 0-100 with 0 representing the item will not be remembered and a 100 representing they will definitely remember the item. In addition, other questions about the instructor were assessed and how much they learned. After a distractor task, a final free recall test was given were participants had to recall as much information about the video as they could in 3 minutes. Participants could score up to 10 points for each video. They looked at the proportion of information recalled (out of 10) as their outcome measure.</w:t>
      </w:r>
    </w:p>
    <w:p>
      <w:pPr>
        <w:pStyle w:val="BodyText"/>
      </w:pPr>
      <w:r>
        <w:t xml:space="preserve">Proprotional data is widely used in psychology and is well suited for Beta regression. Despite this, it is common to treat proportional data as continuous and unbounded, and analyze the resulting proportions using methods that fall under the general linear model. Below we will reproduce the analysis conducted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 and then re-analyze it using Beta regression. We hope to show how Beta regression and its extensions can be a more powerful tool in making inferences about your data.</w:t>
      </w:r>
    </w:p>
    <w:p>
      <w:pPr>
        <w:pStyle w:val="BodyText"/>
      </w:pPr>
      <w:r>
        <w:t xml:space="preserve">In</w:t>
      </w:r>
      <w:r>
        <w:t xml:space="preserve"> </w:t>
      </w:r>
      <w:r>
        <w:t xml:space="preserve">Wilford et al. (</w:t>
      </w:r>
      <w:hyperlink w:anchor="ref-wilford2020">
        <w:r>
          <w:rPr>
            <w:rStyle w:val="Hyperlink"/>
          </w:rPr>
          <w:t xml:space="preserve">2020</w:t>
        </w:r>
      </w:hyperlink>
      <w:r>
        <w:t xml:space="preserve">)</w:t>
      </w:r>
      <w:r>
        <w:t xml:space="preserve"> </w:t>
      </w:r>
      <w:r>
        <w:t xml:space="preserve">(Experiment 1A), they presented participants with two short videos highlighting two different concepts: (1) genetics of calico cats and (2) an explanation as to why skin wrinkles. Participants viewed either disfluent or fluent versions of these videos.</w:t>
      </w:r>
      <w:r>
        <w:rPr>
          <w:rStyle w:val="FootnoteReference"/>
        </w:rPr>
        <w:footnoteReference w:id="61"/>
      </w:r>
      <w:r>
        <w:t xml:space="preserve"> </w:t>
      </w:r>
      <w:r>
        <w:t xml:space="preserve">For each video, metamemory was assessed using JOLs. JOLs require participants to rate an item on scale between 0-100 with 0 representing the item will not be remembered and a 100 representing they will definitely remember the item. In addition, other questions about the instructor were assessed and how much they learned. After a distractor task, a final free recall test was given were participants had to recall as much information about the video as they could in 3 minutes. Participants could score up to 10 points for each video. They looked at the proportion of information recalled (out of 10) as their outcome measure. Here we will be looking at the proportion recalled on the final test.</w:t>
      </w:r>
    </w:p>
    <w:bookmarkEnd w:id="62"/>
    <w:bookmarkStart w:id="74" w:name="X63c945bd42ef63b9db2dba71a0b9a454a63c527"/>
    <w:p>
      <w:pPr>
        <w:pStyle w:val="Heading2"/>
      </w:pPr>
      <w:r>
        <w:t xml:space="preserve">Reanalysis of Wilford et al. Experiment 1A</w:t>
      </w:r>
    </w:p>
    <w:p>
      <w:pPr>
        <w:pStyle w:val="FirstParagraph"/>
      </w:pPr>
      <w:r>
        <w:t xml:space="preserve">In Experiment 1A,</w:t>
      </w:r>
      <w:r>
        <w:t xml:space="preserve"> </w:t>
      </w:r>
      <w:r>
        <w:t xml:space="preserve">Wilford et al. (</w:t>
      </w:r>
      <w:hyperlink w:anchor="ref-wilford2020">
        <w:r>
          <w:rPr>
            <w:rStyle w:val="Hyperlink"/>
          </w:rPr>
          <w:t xml:space="preserve">2020</w:t>
        </w:r>
      </w:hyperlink>
      <w:r>
        <w:t xml:space="preserve">)</w:t>
      </w:r>
      <w:r>
        <w:t xml:space="preserve"> </w:t>
      </w:r>
      <w:r>
        <w:t xml:space="preserve">only used the first time point (one video) and compared fluent and disfluent conditions with a</w:t>
      </w:r>
      <w:r>
        <w:t xml:space="preserve"> </w:t>
      </w:r>
      <w:r>
        <w:rPr>
          <w:i/>
          <w:iCs/>
        </w:rPr>
        <w:t xml:space="preserve">t</w:t>
      </w:r>
      <w:r>
        <w:t xml:space="preserve">-test. They found better performance for participants watching the fluency instructor than the disfluency instructor (see</w:t>
      </w:r>
      <w:r>
        <w:t xml:space="preserve"> </w:t>
      </w:r>
      <w:hyperlink w:anchor="fig-flu1">
        <w:r>
          <w:rPr>
            <w:rStyle w:val="Hyperlink"/>
          </w:rPr>
          <w:t xml:space="preserve">Figure 3</w:t>
        </w:r>
      </w:hyperlink>
      <w:r>
        <w:t xml:space="preserve">). In our re-analysis, we will run a Bayesain regression model that is comparable to analysis used by</w:t>
      </w:r>
      <w:r>
        <w:t xml:space="preserve"> </w:t>
      </w:r>
      <w:r>
        <w:t xml:space="preserve">Wilford et al. (</w:t>
      </w:r>
      <w:hyperlink w:anchor="ref-wilford2020">
        <w:r>
          <w:rPr>
            <w:rStyle w:val="Hyperlink"/>
          </w:rPr>
          <w:t xml:space="preserve">2020</w:t>
        </w:r>
      </w:hyperlink>
      <w:r>
        <w:t xml:space="preserve">)</w:t>
      </w:r>
      <w:r>
        <w:t xml:space="preserve">. Specifically, we will examine accuracy on final test as our DV (because the score was on a 10 point scale we divided by 10 to get a proportion) and look at fluency of the instructor as our outcome measure (Fluent vs. Disfluent). We used the default treatment (dummy) coding in R, which sets the first level of a factor (alphabetically) as the reference level. In this case, the disfluent level served as the reference. In addition we used default (noninformative priors).</w:t>
      </w:r>
    </w:p>
    <w:bookmarkStart w:id="63"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63"/>
    <w:bookmarkStart w:id="67"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65" name="Picture"/>
            <a:graphic>
              <a:graphicData uri="http://schemas.openxmlformats.org/drawingml/2006/picture">
                <pic:pic>
                  <pic:nvPicPr>
                    <pic:cNvPr descr="ms_files/figure-docx/fig-flu1-1.png" id="66" name="Picture"/>
                    <pic:cNvPicPr>
                      <a:picLocks noChangeArrowheads="1" noChangeAspect="1"/>
                    </pic:cNvPicPr>
                  </pic:nvPicPr>
                  <pic:blipFill>
                    <a:blip r:embed="rId64"/>
                    <a:stretch>
                      <a:fillRect/>
                    </a:stretch>
                  </pic:blipFill>
                  <pic:spPr bwMode="auto">
                    <a:xfrm>
                      <a:off x="0" y="0"/>
                      <a:ext cx="5943600" cy="2971800"/>
                    </a:xfrm>
                    <a:prstGeom prst="rect">
                      <a:avLst/>
                    </a:prstGeom>
                    <a:noFill/>
                    <a:ln w="9525">
                      <a:noFill/>
                      <a:headEnd/>
                      <a:tailEnd/>
                    </a:ln>
                  </pic:spPr>
                </pic:pic>
              </a:graphicData>
            </a:graphic>
          </wp:inline>
        </w:drawing>
      </w:r>
    </w:p>
    <w:bookmarkEnd w:id="67"/>
    <w:bookmarkStart w:id="73"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71"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9" name="Picture"/>
            <a:graphic>
              <a:graphicData uri="http://schemas.openxmlformats.org/drawingml/2006/picture">
                <pic:pic>
                  <pic:nvPicPr>
                    <pic:cNvPr descr="Figures/combined_table.png" id="70" name="Picture"/>
                    <pic:cNvPicPr>
                      <a:picLocks noChangeArrowheads="1" noChangeAspect="1"/>
                    </pic:cNvPicPr>
                  </pic:nvPicPr>
                  <pic:blipFill>
                    <a:blip r:embed="rId68"/>
                    <a:stretch>
                      <a:fillRect/>
                    </a:stretch>
                  </pic:blipFill>
                  <pic:spPr bwMode="auto">
                    <a:xfrm>
                      <a:off x="0" y="0"/>
                      <a:ext cx="5943600" cy="5245100"/>
                    </a:xfrm>
                    <a:prstGeom prst="rect">
                      <a:avLst/>
                    </a:prstGeom>
                    <a:noFill/>
                    <a:ln w="9525">
                      <a:noFill/>
                      <a:headEnd/>
                      <a:tailEnd/>
                    </a:ln>
                  </pic:spPr>
                </pic:pic>
              </a:graphicData>
            </a:graphic>
          </wp:inline>
        </w:drawing>
      </w:r>
    </w:p>
    <w:bookmarkEnd w:id="71"/>
    <w:p>
      <w:pPr>
        <w:pStyle w:val="FigureNote"/>
      </w:pPr>
      <w:r>
        <w:rPr>
          <w:i/>
          <w:iCs/>
        </w:rPr>
        <w:t xml:space="preserve">Note</w:t>
      </w:r>
      <w:r>
        <w:t xml:space="preserve">. Mean</w:t>
      </w:r>
      <w:hyperlink r:id="rId72">
        <w:r>
          <w:rPr>
            <w:rStyle w:val="Hyperlink"/>
          </w:rPr>
          <w:t xml:space="preserve">95% Cr.I</w:t>
        </w:r>
      </w:hyperlink>
    </w:p>
    <w:bookmarkEnd w:id="73"/>
    <w:bookmarkEnd w:id="74"/>
    <w:bookmarkStart w:id="76"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75"/>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 </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rPr>
          <w:rStyle w:val="NormalTok"/>
        </w:rPr>
        <w:t xml:space="preserve">)</w:t>
      </w:r>
    </w:p>
    <w:tbl>
      <w:tblPr>
        <w:tblStyle w:val="Table"/>
        <w:tblW w:type="pct" w:w="3542"/>
        <w:tblLayout w:type="fixed"/>
        <w:tblLook w:firstRow="1" w:lastRow="0" w:firstColumn="0" w:lastColumn="0" w:noHBand="0" w:noVBand="0" w:val="0020"/>
      </w:tblPr>
      <w:tblGrid>
        <w:gridCol w:w="1980"/>
        <w:gridCol w:w="880"/>
        <w:gridCol w:w="1980"/>
        <w:gridCol w:w="7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b_Intercept</w:t>
            </w:r>
          </w:p>
        </w:tc>
        <w:tc>
          <w:tcPr/>
          <w:p>
            <w:pPr>
              <w:pStyle w:val="Compact"/>
            </w:pPr>
            <w:r>
              <w:t xml:space="preserve">0.257</w:t>
            </w:r>
          </w:p>
        </w:tc>
        <w:tc>
          <w:tcPr/>
          <w:p>
            <w:pPr>
              <w:pStyle w:val="Compact"/>
            </w:pPr>
            <w:r>
              <w:t xml:space="preserve">[0.2, 0.315]</w:t>
            </w:r>
          </w:p>
        </w:tc>
        <w:tc>
          <w:tcPr/>
          <w:p>
            <w:pPr>
              <w:pStyle w:val="Compact"/>
            </w:pPr>
            <w:r>
              <w:t xml:space="preserve">1</w:t>
            </w:r>
          </w:p>
        </w:tc>
      </w:tr>
      <w:tr>
        <w:tc>
          <w:tcPr/>
          <w:p>
            <w:pPr>
              <w:pStyle w:val="Compact"/>
            </w:pPr>
            <w:r>
              <w:t xml:space="preserve">b_FluencyFluent</w:t>
            </w:r>
          </w:p>
        </w:tc>
        <w:tc>
          <w:tcPr/>
          <w:p>
            <w:pPr>
              <w:pStyle w:val="Compact"/>
            </w:pPr>
            <w:r>
              <w:t xml:space="preserve">0.084</w:t>
            </w:r>
          </w:p>
        </w:tc>
        <w:tc>
          <w:tcPr/>
          <w:p>
            <w:pPr>
              <w:pStyle w:val="Compact"/>
            </w:pPr>
            <w:r>
              <w:t xml:space="preserve">[-0.002, 0.167]</w:t>
            </w:r>
          </w:p>
        </w:tc>
        <w:tc>
          <w:tcPr/>
          <w:p>
            <w:pPr>
              <w:pStyle w:val="Compact"/>
            </w:pPr>
            <w:r>
              <w:t xml:space="preserve">0.97</w:t>
            </w:r>
          </w:p>
        </w:tc>
      </w:tr>
    </w:tbl>
    <w:p>
      <w:pPr>
        <w:pStyle w:val="BodyText"/>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[-0.002,0.167],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6"/>
    <w:bookmarkStart w:id="112"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80"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8" name="Picture"/>
            <a:graphic>
              <a:graphicData uri="http://schemas.openxmlformats.org/drawingml/2006/picture">
                <pic:pic>
                  <pic:nvPicPr>
                    <pic:cNvPr descr="ms_files/figure-docx/fig-ols-assump-1.png" id="79" name="Picture"/>
                    <pic:cNvPicPr>
                      <a:picLocks noChangeArrowheads="1" noChangeAspect="1"/>
                    </pic:cNvPicPr>
                  </pic:nvPicPr>
                  <pic:blipFill>
                    <a:blip r:embed="rId77"/>
                    <a:stretch>
                      <a:fillRect/>
                    </a:stretch>
                  </pic:blipFill>
                  <pic:spPr bwMode="auto">
                    <a:xfrm>
                      <a:off x="0" y="0"/>
                      <a:ext cx="5943600" cy="2971800"/>
                    </a:xfrm>
                    <a:prstGeom prst="rect">
                      <a:avLst/>
                    </a:prstGeom>
                    <a:noFill/>
                    <a:ln w="9525">
                      <a:noFill/>
                      <a:headEnd/>
                      <a:tailEnd/>
                    </a:ln>
                  </pic:spPr>
                </pic:pic>
              </a:graphicData>
            </a:graphic>
          </wp:inline>
        </w:drawing>
      </w:r>
    </w:p>
    <w:bookmarkEnd w:id="80"/>
    <w:bookmarkStart w:id="84"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82" name="Picture"/>
            <a:graphic>
              <a:graphicData uri="http://schemas.openxmlformats.org/drawingml/2006/picture">
                <pic:pic>
                  <pic:nvPicPr>
                    <pic:cNvPr descr="ms_files/figure-docx/fig-ppcheck-normal-1.png" id="83" name="Picture"/>
                    <pic:cNvPicPr>
                      <a:picLocks noChangeArrowheads="1" noChangeAspect="1"/>
                    </pic:cNvPicPr>
                  </pic:nvPicPr>
                  <pic:blipFill>
                    <a:blip r:embed="rId81"/>
                    <a:stretch>
                      <a:fillRect/>
                    </a:stretch>
                  </pic:blipFill>
                  <pic:spPr bwMode="auto">
                    <a:xfrm>
                      <a:off x="0" y="0"/>
                      <a:ext cx="5943600" cy="2971800"/>
                    </a:xfrm>
                    <a:prstGeom prst="rect">
                      <a:avLst/>
                    </a:prstGeom>
                    <a:noFill/>
                    <a:ln w="9525">
                      <a:noFill/>
                      <a:headEnd/>
                      <a:tailEnd/>
                    </a:ln>
                  </pic:spPr>
                </pic:pic>
              </a:graphicData>
            </a:graphic>
          </wp:inline>
        </w:drawing>
      </w:r>
    </w:p>
    <w:bookmarkEnd w:id="84"/>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 </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85"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85"/>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our Bayesian implementation.</w:t>
      </w:r>
      <w:r>
        <w:t xml:space="preserve"> </w:t>
      </w:r>
      <w:r>
        <w:rPr>
          <w:rStyle w:val="FootnoteReference"/>
        </w:rPr>
        <w:footnoteReference w:id="86"/>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9"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7"/>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predictions</w:t>
      </w:r>
      <w:r>
        <w:rPr>
          <w:rStyle w:val="NormalTok"/>
        </w:rPr>
        <w:t xml:space="preserve">(beta_brms,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[0.213, 0.319]</w:t>
            </w:r>
          </w:p>
        </w:tc>
      </w:tr>
      <w:tr>
        <w:tc>
          <w:tcPr/>
          <w:p>
            <w:pPr>
              <w:pStyle w:val="Compact"/>
            </w:pPr>
            <w:r>
              <w:t xml:space="preserve">Fluent</w:t>
            </w:r>
          </w:p>
        </w:tc>
        <w:tc>
          <w:tcPr/>
          <w:p>
            <w:pPr>
              <w:pStyle w:val="Compact"/>
            </w:pPr>
            <w:r>
              <w:t xml:space="preserve">0.356</w:t>
            </w:r>
          </w:p>
        </w:tc>
        <w:tc>
          <w:tcPr/>
          <w:p>
            <w:pPr>
              <w:pStyle w:val="Compact"/>
            </w:pPr>
            <w:r>
              <w:t xml:space="preserve">[0.291, 0.424]</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92"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90" name="Picture"/>
            <a:graphic>
              <a:graphicData uri="http://schemas.openxmlformats.org/drawingml/2006/picture">
                <pic:pic>
                  <pic:nvPicPr>
                    <pic:cNvPr descr="ms_files/figure-docx/fig-plot-pre-1.png" id="91" name="Picture"/>
                    <pic:cNvPicPr>
                      <a:picLocks noChangeArrowheads="1" noChangeAspect="1"/>
                    </pic:cNvPicPr>
                  </pic:nvPicPr>
                  <pic:blipFill>
                    <a:blip r:embed="rId89"/>
                    <a:stretch>
                      <a:fillRect/>
                    </a:stretch>
                  </pic:blipFill>
                  <pic:spPr bwMode="auto">
                    <a:xfrm>
                      <a:off x="0" y="0"/>
                      <a:ext cx="5943600" cy="2971800"/>
                    </a:xfrm>
                    <a:prstGeom prst="rect">
                      <a:avLst/>
                    </a:prstGeom>
                    <a:noFill/>
                    <a:ln w="9525">
                      <a:noFill/>
                      <a:headEnd/>
                      <a:tailEnd/>
                    </a:ln>
                  </pic:spPr>
                </pic:pic>
              </a:graphicData>
            </a:graphic>
          </wp:inline>
        </w:drawing>
      </w:r>
    </w:p>
    <w:bookmarkEnd w:id="92"/>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6"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94" name="Picture"/>
            <a:graphic>
              <a:graphicData uri="http://schemas.openxmlformats.org/drawingml/2006/picture">
                <pic:pic>
                  <pic:nvPicPr>
                    <pic:cNvPr descr="ms_files/figure-docx/fig-draws-fluency-1.png" id="95" name="Picture"/>
                    <pic:cNvPicPr>
                      <a:picLocks noChangeArrowheads="1" noChangeAspect="1"/>
                    </pic:cNvPicPr>
                  </pic:nvPicPr>
                  <pic:blipFill>
                    <a:blip r:embed="rId93"/>
                    <a:stretch>
                      <a:fillRect/>
                    </a:stretch>
                  </pic:blipFill>
                  <pic:spPr bwMode="auto">
                    <a:xfrm>
                      <a:off x="0" y="0"/>
                      <a:ext cx="5943600" cy="2971800"/>
                    </a:xfrm>
                    <a:prstGeom prst="rect">
                      <a:avLst/>
                    </a:prstGeom>
                    <a:noFill/>
                    <a:ln w="9525">
                      <a:noFill/>
                      <a:headEnd/>
                      <a:tailEnd/>
                    </a:ln>
                  </pic:spPr>
                </pic:pic>
              </a:graphicData>
            </a:graphic>
          </wp:inline>
        </w:drawing>
      </w:r>
    </w:p>
    <w:bookmarkEnd w:id="96"/>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7" w:name="tbl-ame1"/>
    <w:p>
      <w:pPr>
        <w:pStyle w:val="FigureTitle"/>
      </w:pPr>
      <w:r>
        <w:t xml:space="preserve">Table 5</w:t>
      </w:r>
    </w:p>
    <w:p>
      <w:pPr>
        <w:pStyle w:val="Caption"/>
      </w:pPr>
      <w:r>
        <w:t xml:space="preserve">Risk difference for instructor fluency</w:t>
      </w:r>
    </w:p>
    <w:tbl>
      <w:tblPr>
        <w:tblStyle w:val="Table"/>
        <w:tblW w:type="pct" w:w="3819"/>
        <w:tblLayout w:type="fixed"/>
        <w:tblLook w:firstRow="1" w:lastRow="0" w:firstColumn="0" w:lastColumn="0" w:noHBand="0" w:noVBand="0" w:val="0020"/>
      </w:tblPr>
      <w:tblGrid>
        <w:gridCol w:w="1100"/>
        <w:gridCol w:w="2310"/>
        <w:gridCol w:w="880"/>
        <w:gridCol w:w="176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0.093</w:t>
            </w:r>
          </w:p>
        </w:tc>
        <w:tc>
          <w:tcPr/>
          <w:p>
            <w:pPr>
              <w:pStyle w:val="Compact"/>
            </w:pPr>
            <w:r>
              <w:t xml:space="preserve">[0.01, 0.175]</w:t>
            </w:r>
          </w:p>
        </w:tc>
      </w:tr>
    </w:tbl>
    <w:bookmarkEnd w:id="97"/>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does not include zero so we can say it is statistically significant.</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8"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759"/>
        <w:gridCol w:w="1844"/>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w:t>
            </w:r>
          </w:p>
        </w:tc>
        <w:tc>
          <w:tcPr/>
          <w:p>
            <w:pPr>
              <w:pStyle w:val="Compact"/>
            </w:pPr>
            <w:r>
              <w:t xml:space="preserve">[1.048, 2.294]</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SourceCode"/>
      </w:pPr>
      <w:r>
        <w:rPr>
          <w:rStyle w:val="VerbatimChar"/>
        </w:rPr>
        <w:t xml:space="preserve">[1] 0.17</w:t>
      </w:r>
    </w:p>
    <w:p>
      <w:pPr>
        <w:pStyle w:val="FirstParagraph"/>
      </w:pPr>
      <w:r>
        <w:t xml:space="preserve">Using this metric we see the effect size is small (0.17), 95% Cr.I [-0.002, 0.361].</w:t>
      </w:r>
    </w:p>
    <w:bookmarkEnd w:id="99"/>
    <w:bookmarkStart w:id="106"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phi-dis">
        <w:r>
          <w:rPr>
            <w:rStyle w:val="Hyperlink"/>
          </w:rPr>
          <w:t xml:space="preserve">Table 7</w:t>
        </w:r>
      </w:hyperlink>
      <w:r>
        <w:t xml:space="preserve">).</w:t>
      </w:r>
    </w:p>
    <w:bookmarkStart w:id="100" w:name="tbl-phi-dis"/>
    <w:p>
      <w:pPr>
        <w:pStyle w:val="FigureTitle"/>
      </w:pPr>
      <w:r>
        <w:t xml:space="preserve">Table 7</w:t>
      </w:r>
    </w:p>
    <w:p>
      <w:pPr>
        <w:pStyle w:val="Caption"/>
      </w:pPr>
      <w:r>
        <w:t xml:space="preserve">Dispersion parameter</w:t>
      </w:r>
    </w:p>
    <w:tbl>
      <w:tblPr>
        <w:tblStyle w:val="Table"/>
        <w:tblW w:type="pct" w:w="3264"/>
        <w:tblLayout w:type="fixed"/>
        <w:tblLook w:firstRow="1" w:lastRow="0" w:firstColumn="0" w:lastColumn="0" w:noHBand="0" w:noVBand="0" w:val="0020"/>
      </w:tblPr>
      <w:tblGrid>
        <w:gridCol w:w="198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1.21</w:t>
            </w:r>
          </w:p>
        </w:tc>
        <w:tc>
          <w:tcPr/>
          <w:p>
            <w:pPr>
              <w:pStyle w:val="Compact"/>
            </w:pPr>
            <w:r>
              <w:t xml:space="preserve">[0.943, 1.469]</w:t>
            </w:r>
          </w:p>
        </w:tc>
        <w:tc>
          <w:tcPr/>
          <w:p>
            <w:pPr>
              <w:pStyle w:val="Compact"/>
            </w:pPr>
            <w:r>
              <w:t xml:space="preserve">1</w:t>
            </w:r>
          </w:p>
        </w:tc>
      </w:tr>
    </w:tbl>
    <w:bookmarkEnd w:id="100"/>
    <w:p>
      <w:pPr>
        <w:pStyle w:val="AfterWithoutNote"/>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 </w:t>
      </w:r>
      <w:r>
        <w:br/>
      </w:r>
      <w:r>
        <w:rPr>
          <w:rStyle w:val="NormalTok"/>
        </w:rPr>
        <w:t xml:space="preserve">) </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 </w:t>
      </w:r>
    </w:p>
    <w:bookmarkStart w:id="101" w:name="tbl-phi-beta-exp"/>
    <w:p>
      <w:pPr>
        <w:pStyle w:val="FigureTitle"/>
      </w:pPr>
      <w:r>
        <w:t xml:space="preserve">Table 8</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[1.671, 3.387]</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[1.467, 4.346]</w:t>
            </w:r>
          </w:p>
        </w:tc>
        <w:tc>
          <w:tcPr/>
          <w:p>
            <w:pPr>
              <w:pStyle w:val="Compact"/>
            </w:pPr>
            <w:r>
              <w:t xml:space="preserve">1</w:t>
            </w:r>
          </w:p>
        </w:tc>
      </w:tr>
    </w:tbl>
    <w:bookmarkEnd w:id="10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105"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103" name="Picture"/>
            <a:graphic>
              <a:graphicData uri="http://schemas.openxmlformats.org/drawingml/2006/picture">
                <pic:pic>
                  <pic:nvPicPr>
                    <pic:cNvPr descr="ms_files/figure-docx/fig-plt-diff-1.png" id="104" name="Picture"/>
                    <pic:cNvPicPr>
                      <a:picLocks noChangeArrowheads="1" noChangeAspect="1"/>
                    </pic:cNvPicPr>
                  </pic:nvPicPr>
                  <pic:blipFill>
                    <a:blip r:embed="rId102"/>
                    <a:stretch>
                      <a:fillRect/>
                    </a:stretch>
                  </pic:blipFill>
                  <pic:spPr bwMode="auto">
                    <a:xfrm>
                      <a:off x="0" y="0"/>
                      <a:ext cx="5943600" cy="2971800"/>
                    </a:xfrm>
                    <a:prstGeom prst="rect">
                      <a:avLst/>
                    </a:prstGeom>
                    <a:noFill/>
                    <a:ln w="9525">
                      <a:noFill/>
                      <a:headEnd/>
                      <a:tailEnd/>
                    </a:ln>
                  </pic:spPr>
                </pic:pic>
              </a:graphicData>
            </a:graphic>
          </wp:inline>
        </w:drawing>
      </w:r>
    </w:p>
    <w:bookmarkEnd w:id="105"/>
    <w:bookmarkEnd w:id="106"/>
    <w:bookmarkStart w:id="111"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10"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8" name="Picture"/>
            <a:graphic>
              <a:graphicData uri="http://schemas.openxmlformats.org/drawingml/2006/picture">
                <pic:pic>
                  <pic:nvPicPr>
                    <pic:cNvPr descr="ms_files/figure-docx/fig-post-pred-1.png" id="109" name="Picture"/>
                    <pic:cNvPicPr>
                      <a:picLocks noChangeArrowheads="1" noChangeAspect="1"/>
                    </pic:cNvPicPr>
                  </pic:nvPicPr>
                  <pic:blipFill>
                    <a:blip r:embed="rId107"/>
                    <a:stretch>
                      <a:fillRect/>
                    </a:stretch>
                  </pic:blipFill>
                  <pic:spPr bwMode="auto">
                    <a:xfrm>
                      <a:off x="0" y="0"/>
                      <a:ext cx="5943600" cy="2971800"/>
                    </a:xfrm>
                    <a:prstGeom prst="rect">
                      <a:avLst/>
                    </a:prstGeom>
                    <a:noFill/>
                    <a:ln w="9525">
                      <a:noFill/>
                      <a:headEnd/>
                      <a:tailEnd/>
                    </a:ln>
                  </pic:spPr>
                </pic:pic>
              </a:graphicData>
            </a:graphic>
          </wp:inline>
        </w:drawing>
      </w:r>
    </w:p>
    <w:bookmarkEnd w:id="110"/>
    <w:bookmarkEnd w:id="111"/>
    <w:bookmarkEnd w:id="112"/>
    <w:bookmarkStart w:id="122"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15"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9</w:t>
        </w:r>
      </w:hyperlink>
      <w:r>
        <w:t xml:space="preserve"> </w:t>
      </w:r>
      <w:r>
        <w:t xml:space="preserve">there is no significant effect for Fluency.</w:t>
      </w:r>
    </w:p>
    <w:bookmarkStart w:id="113" w:name="tbl-marg-mu-brms"/>
    <w:p>
      <w:pPr>
        <w:pStyle w:val="FigureTitle"/>
      </w:pPr>
      <w:r>
        <w:t xml:space="preserve">Table 9</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0.007</w:t>
            </w:r>
          </w:p>
        </w:tc>
        <w:tc>
          <w:tcPr/>
          <w:p>
            <w:pPr>
              <w:pStyle w:val="Compact"/>
            </w:pPr>
            <w:r>
              <w:t xml:space="preserve">[-0.076, 0.087]</w:t>
            </w:r>
          </w:p>
        </w:tc>
      </w:tr>
    </w:tbl>
    <w:bookmarkEnd w:id="113"/>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10</w:t>
        </w:r>
      </w:hyperlink>
      <w:r>
        <w:t xml:space="preserve">, there is a significant effect of fluency on dispersion, with disfluency having a larger variation than fluency.</w:t>
      </w:r>
    </w:p>
    <w:bookmarkStart w:id="114" w:name="tbl-marg-phi-brms"/>
    <w:p>
      <w:pPr>
        <w:pStyle w:val="FigureTitle"/>
      </w:pPr>
      <w:r>
        <w:t xml:space="preserve">Table 10</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4.43</w:t>
            </w:r>
          </w:p>
        </w:tc>
        <w:tc>
          <w:tcPr/>
          <w:p>
            <w:pPr>
              <w:pStyle w:val="Compact"/>
            </w:pPr>
            <w:r>
              <w:t xml:space="preserve">[1.365, 7.945]</w:t>
            </w:r>
          </w:p>
        </w:tc>
      </w:tr>
    </w:tbl>
    <w:bookmarkEnd w:id="114"/>
    <w:bookmarkEnd w:id="115"/>
    <w:bookmarkStart w:id="121"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11</w:t>
        </w:r>
      </w:hyperlink>
      <w:r>
        <w:t xml:space="preserve"> </w:t>
      </w:r>
      <w:r>
        <w:t xml:space="preserve">we see that watching a lecture video with a fluent instructor reduces the proportion of zeros by about 13%. The Cr.I does not include zero.</w:t>
      </w:r>
    </w:p>
    <w:bookmarkStart w:id="116" w:name="tbl-marg-zib-brms"/>
    <w:p>
      <w:pPr>
        <w:pStyle w:val="FigureTitle"/>
      </w:pPr>
      <w:r>
        <w:t xml:space="preserve">Table 11</w:t>
      </w:r>
    </w:p>
    <w:p>
      <w:pPr>
        <w:pStyle w:val="Caption"/>
      </w:pPr>
      <w:r>
        <w:t xml:space="preserve">Regression coefficients for ZIB model (</w:t>
      </w:r>
      <w:r>
        <w:rPr>
          <w:rStyle w:val="VerbatimChar"/>
        </w:rPr>
        <w:t xml:space="preserve">marg_zi_brms</w:t>
      </w:r>
      <w:r>
        <w:t xml:space="preserve">)</w:t>
      </w:r>
    </w:p>
    <w:tbl>
      <w:tblPr>
        <w:tblStyle w:val="Table"/>
        <w:tblW w:type="pct" w:w="4097"/>
        <w:tblLayout w:type="fixed"/>
        <w:tblLook w:firstRow="1" w:lastRow="0" w:firstColumn="0" w:lastColumn="0" w:noHBand="0" w:noVBand="0" w:val="0020"/>
      </w:tblPr>
      <w:tblGrid>
        <w:gridCol w:w="1100"/>
        <w:gridCol w:w="2310"/>
        <w:gridCol w:w="990"/>
        <w:gridCol w:w="209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-0.132</w:t>
            </w:r>
          </w:p>
        </w:tc>
        <w:tc>
          <w:tcPr/>
          <w:p>
            <w:pPr>
              <w:pStyle w:val="Compact"/>
            </w:pPr>
            <w:r>
              <w:t xml:space="preserve">[-0.255, -0.027]</w:t>
            </w:r>
          </w:p>
        </w:tc>
      </w:tr>
    </w:tbl>
    <w:bookmarkEnd w:id="116"/>
    <w:p>
      <w:pPr>
        <w:pStyle w:val="AfterWithoutNote"/>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20"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8" name="Picture"/>
            <a:graphic>
              <a:graphicData uri="http://schemas.openxmlformats.org/drawingml/2006/picture">
                <pic:pic>
                  <pic:nvPicPr>
                    <pic:cNvPr descr="ms_files/figure-docx/fig-zi-plot-1.png" id="119" name="Picture"/>
                    <pic:cNvPicPr>
                      <a:picLocks noChangeArrowheads="1" noChangeAspect="1"/>
                    </pic:cNvPicPr>
                  </pic:nvPicPr>
                  <pic:blipFill>
                    <a:blip r:embed="rId117"/>
                    <a:stretch>
                      <a:fillRect/>
                    </a:stretch>
                  </pic:blipFill>
                  <pic:spPr bwMode="auto">
                    <a:xfrm>
                      <a:off x="0" y="0"/>
                      <a:ext cx="5943600" cy="2971800"/>
                    </a:xfrm>
                    <a:prstGeom prst="rect">
                      <a:avLst/>
                    </a:prstGeom>
                    <a:noFill/>
                    <a:ln w="9525">
                      <a:noFill/>
                      <a:headEnd/>
                      <a:tailEnd/>
                    </a:ln>
                  </pic:spPr>
                </pic:pic>
              </a:graphicData>
            </a:graphic>
          </wp:inline>
        </w:drawing>
      </w:r>
    </w:p>
    <w:bookmarkEnd w:id="120"/>
    <w:bookmarkEnd w:id="121"/>
    <w:bookmarkEnd w:id="122"/>
    <w:bookmarkStart w:id="130"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3"/>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 While probably not significant to alter our findings, we can model ones with a special type of model called the zero-one-inflated beta (ZOIB) model if we believe that both 0s and 1s are distinct outcomes.</w:t>
      </w:r>
    </w:p>
    <w:p>
      <w:pPr>
        <w:pStyle w:val="BodyText"/>
      </w:pPr>
      <w:r>
        <w:t xml:space="preserve">Similar to our beta and zero-inflated models above, we can fit a ZOIB model in</w:t>
      </w:r>
      <w:r>
        <w:t xml:space="preserve"> </w:t>
      </w:r>
      <w:r>
        <w:rPr>
          <w:b/>
          <w:bCs/>
        </w:rPr>
        <w:t xml:space="preserve">brms</w:t>
      </w:r>
      <w:r>
        <w:t xml:space="preserve"> </w:t>
      </w:r>
      <w:r>
        <w:t xml:space="preserve">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and a conditional one-inflation parameter (</w:t>
      </w:r>
      <m:oMath>
        <m:r>
          <m:t>γ</m:t>
        </m:r>
      </m:oMath>
      <w:r>
        <w:t xml:space="preserve">) that represents the probability that, given an observation is at one of the endpoints, it is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7"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25" name="Picture"/>
            <a:graphic>
              <a:graphicData uri="http://schemas.openxmlformats.org/drawingml/2006/picture">
                <pic:pic>
                  <pic:nvPicPr>
                    <pic:cNvPr descr="ms_files/figure-docx/fig-zoib-1.png" id="126" name="Picture"/>
                    <pic:cNvPicPr>
                      <a:picLocks noChangeArrowheads="1" noChangeAspect="1"/>
                    </pic:cNvPicPr>
                  </pic:nvPicPr>
                  <pic:blipFill>
                    <a:blip r:embed="rId124"/>
                    <a:stretch>
                      <a:fillRect/>
                    </a:stretch>
                  </pic:blipFill>
                  <pic:spPr bwMode="auto">
                    <a:xfrm>
                      <a:off x="0" y="0"/>
                      <a:ext cx="5943600" cy="5943600"/>
                    </a:xfrm>
                    <a:prstGeom prst="rect">
                      <a:avLst/>
                    </a:prstGeom>
                    <a:noFill/>
                    <a:ln w="9525">
                      <a:noFill/>
                      <a:headEnd/>
                      <a:tailEnd/>
                    </a:ln>
                  </pic:spPr>
                </pic:pic>
              </a:graphicData>
            </a:graphic>
          </wp:inline>
        </w:drawing>
      </w:r>
    </w:p>
    <w:bookmarkEnd w:id="12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 </w:t>
      </w:r>
      <w:r>
        <w:rPr>
          <w:rStyle w:val="AttributeTok"/>
        </w:rPr>
        <w:t xml:space="preserve">warmup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 </w:t>
      </w:r>
      <w:r>
        <w:rPr>
          <w:rStyle w:val="AttributeTok"/>
        </w:rPr>
        <w:t xml:space="preserve">seed =</w:t>
      </w:r>
      <w:r>
        <w:rPr>
          <w:rStyle w:val="NormalTok"/>
        </w:rPr>
        <w:t xml:space="preserve"> </w:t>
      </w:r>
      <w:r>
        <w:rPr>
          <w:rStyle w:val="DecValTok"/>
        </w:rPr>
        <w:t xml:space="preserve">1234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8"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8"/>
    <w:bookmarkStart w:id="129"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 Our results are very similar to the zero-inflated model from above.</w:t>
      </w:r>
    </w:p>
    <w:bookmarkEnd w:id="129"/>
    <w:bookmarkEnd w:id="130"/>
    <w:bookmarkStart w:id="133" w:name="ordered-beta-regression"/>
    <w:p>
      <w:pPr>
        <w:pStyle w:val="Heading2"/>
      </w:pPr>
      <w:r>
        <w:t xml:space="preserve">Ordered Beta Regression</w:t>
      </w:r>
    </w:p>
    <w:p>
      <w:pPr>
        <w:pStyle w:val="FirstParagraph"/>
      </w:pPr>
      <w:r>
        <w:t xml:space="preserve">Looking at the output from the ZOIB model,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2"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31">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I am modeling</w:t>
      </w:r>
      <w:r>
        <w:t xml:space="preserve"> </w:t>
      </w:r>
      <m:oMath>
        <m:r>
          <m:t>ϕ</m:t>
        </m:r>
      </m:oMath>
      <w:r>
        <w:t xml:space="preserve"> </w:t>
      </w:r>
      <w:r>
        <w:t xml:space="preserve">as a function of fluency, I set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rPr>
          <w:rStyle w:val="FunctionTok"/>
        </w:rPr>
        <w:t xml:space="preserve">bf</w:t>
      </w:r>
      <w:r>
        <w:rPr>
          <w:rStyle w:val="NormalTok"/>
        </w:rPr>
        <w:t xml:space="preserve">(Accuracy </w:t>
      </w:r>
      <w:r>
        <w:rPr>
          <w:rStyle w:val="SpecialCharTok"/>
        </w:rPr>
        <w:t xml:space="preserve">~</w:t>
      </w:r>
      <w:r>
        <w:rPr>
          <w:rStyle w:val="NormalTok"/>
        </w:rPr>
        <w:t xml:space="preserve"> Fluency, </w:t>
      </w:r>
      <w:r>
        <w:br/>
      </w:r>
      <w:r>
        <w:rPr>
          <w:rStyle w:val="NormalTok"/>
        </w:rPr>
        <w:t xml:space="preserve">                       phi </w:t>
      </w:r>
      <w:r>
        <w:rPr>
          <w:rStyle w:val="SpecialCharTok"/>
        </w:rPr>
        <w:t xml:space="preserve">~</w:t>
      </w:r>
      <w:r>
        <w:rPr>
          <w:rStyle w:val="NormalTok"/>
        </w:rPr>
        <w:t xml:space="preserve"> Fluency),</w:t>
      </w:r>
      <w:r>
        <w:br/>
      </w:r>
      <w:r>
        <w:rPr>
          <w:rStyle w:val="NormalTok"/>
        </w:rPr>
        <w:t xml:space="preserve">                    </w:t>
      </w:r>
      <w:r>
        <w:rPr>
          <w:rStyle w:val="AttributeTok"/>
        </w:rPr>
        <w:t xml:space="preserve">data=</w:t>
      </w:r>
      <w:r>
        <w:rPr>
          <w:rStyle w:val="NormalTok"/>
        </w:rPr>
        <w:t xml:space="preserve">fluency_data,</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 </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 </w:t>
      </w:r>
      <w:r>
        <w:br/>
      </w:r>
      <w:r>
        <w:rPr>
          <w:rStyle w:val="NormalTok"/>
        </w:rPr>
        <w:t xml:space="preserve">                    </w:t>
      </w:r>
      <w:r>
        <w:rPr>
          <w:rStyle w:val="AttributeTok"/>
        </w:rPr>
        <w:t xml:space="preserve">cores=</w:t>
      </w:r>
      <w:r>
        <w:rPr>
          <w:rStyle w:val="DecValTok"/>
        </w:rPr>
        <w:t xml:space="preserve">4</w:t>
      </w:r>
      <w:r>
        <w:rPr>
          <w:rStyle w:val="NormalTok"/>
        </w:rPr>
        <w:t xml:space="preserve">, </w:t>
      </w:r>
      <w:r>
        <w:br/>
      </w:r>
      <w:r>
        <w:rPr>
          <w:rStyle w:val="NormalTok"/>
        </w:rPr>
        <w:t xml:space="preserve">                    </w:t>
      </w:r>
      <w:r>
        <w:rPr>
          <w:rStyle w:val="AttributeTok"/>
        </w:rPr>
        <w:t xml:space="preserve">phi_reg=</w:t>
      </w:r>
      <w:r>
        <w:rPr>
          <w:rStyle w:val="StringTok"/>
        </w:rPr>
        <w:t xml:space="preserve">'both'</w:t>
      </w:r>
      <w:r>
        <w:rPr>
          <w:rStyle w:val="NormalTok"/>
        </w:rPr>
        <w:t xml:space="preserve">) </w:t>
      </w:r>
      <w:r>
        <w:rPr>
          <w:rStyle w:val="CommentTok"/>
        </w:rPr>
        <w:t xml:space="preserve"># log phi</w:t>
      </w:r>
    </w:p>
    <w:bookmarkEnd w:id="132"/>
    <w:bookmarkEnd w:id="133"/>
    <w:bookmarkStart w:id="147"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4"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34"/>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6"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5" w:name="tbl-cutpoints"/>
    <w:p>
      <w:pPr>
        <w:pStyle w:val="FigureTitle"/>
      </w:pPr>
      <w:r>
        <w:t xml:space="preserve">Table 13</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35"/>
    <w:p>
      <w:pPr>
        <w:pStyle w:val="AfterWithoutNote"/>
      </w:pPr>
      <w:r>
        <w:t xml:space="preserve">In</w:t>
      </w:r>
      <w:r>
        <w:t xml:space="preserve"> </w:t>
      </w:r>
      <w:hyperlink w:anchor="tbl-cutpoints">
        <w:r>
          <w:rPr>
            <w:rStyle w:val="Hyperlink"/>
          </w:rPr>
          <w:t xml:space="preserve">Table 13</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6"/>
    <w:bookmarkStart w:id="145"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40"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8" name="Picture"/>
            <a:graphic>
              <a:graphicData uri="http://schemas.openxmlformats.org/drawingml/2006/picture">
                <pic:pic>
                  <pic:nvPicPr>
                    <pic:cNvPr descr="ms_files/figure-docx/fig-ppcheckord-1.png" id="139" name="Picture"/>
                    <pic:cNvPicPr>
                      <a:picLocks noChangeArrowheads="1" noChangeAspect="1"/>
                    </pic:cNvPicPr>
                  </pic:nvPicPr>
                  <pic:blipFill>
                    <a:blip r:embed="rId137"/>
                    <a:stretch>
                      <a:fillRect/>
                    </a:stretch>
                  </pic:blipFill>
                  <pic:spPr bwMode="auto">
                    <a:xfrm>
                      <a:off x="0" y="0"/>
                      <a:ext cx="5943600" cy="3962400"/>
                    </a:xfrm>
                    <a:prstGeom prst="rect">
                      <a:avLst/>
                    </a:prstGeom>
                    <a:noFill/>
                    <a:ln w="9525">
                      <a:noFill/>
                      <a:headEnd/>
                      <a:tailEnd/>
                    </a:ln>
                  </pic:spPr>
                </pic:pic>
              </a:graphicData>
            </a:graphic>
          </wp:inline>
        </w:drawing>
      </w:r>
    </w:p>
    <w:bookmarkEnd w:id="140"/>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4"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42" name="Picture"/>
            <a:graphic>
              <a:graphicData uri="http://schemas.openxmlformats.org/drawingml/2006/picture">
                <pic:pic>
                  <pic:nvPicPr>
                    <pic:cNvPr descr="ms_files/figure-docx/fig-heiss-1.png" id="143" name="Picture"/>
                    <pic:cNvPicPr>
                      <a:picLocks noChangeArrowheads="1" noChangeAspect="1"/>
                    </pic:cNvPicPr>
                  </pic:nvPicPr>
                  <pic:blipFill>
                    <a:blip r:embed="rId141"/>
                    <a:stretch>
                      <a:fillRect/>
                    </a:stretch>
                  </pic:blipFill>
                  <pic:spPr bwMode="auto">
                    <a:xfrm>
                      <a:off x="0" y="0"/>
                      <a:ext cx="5943600" cy="2971800"/>
                    </a:xfrm>
                    <a:prstGeom prst="rect">
                      <a:avLst/>
                    </a:prstGeom>
                    <a:noFill/>
                    <a:ln w="9525">
                      <a:noFill/>
                      <a:headEnd/>
                      <a:tailEnd/>
                    </a:ln>
                  </pic:spPr>
                </pic:pic>
              </a:graphicData>
            </a:graphic>
          </wp:inline>
        </w:drawing>
      </w:r>
    </w:p>
    <w:bookmarkEnd w:id="144"/>
    <w:bookmarkEnd w:id="145"/>
    <w:bookmarkStart w:id="146"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12. If so, you can model it as such.</w:t>
      </w:r>
    </w:p>
    <w:bookmarkEnd w:id="146"/>
    <w:bookmarkEnd w:id="147"/>
    <w:bookmarkEnd w:id="148"/>
    <w:bookmarkStart w:id="232"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9"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9"/>
    <w:bookmarkStart w:id="231" w:name="references"/>
    <w:p>
      <w:pPr>
        <w:pStyle w:val="Heading2"/>
      </w:pPr>
      <w:r>
        <w:t xml:space="preserve">References</w:t>
      </w:r>
    </w:p>
    <w:bookmarkStart w:id="230" w:name="refs"/>
    <w:bookmarkStart w:id="151"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0">
        <w:r>
          <w:rPr>
            <w:rStyle w:val="Hyperlink"/>
          </w:rPr>
          <w:t xml:space="preserve">https://CRAN.R-project.org/package=marginaleffects</w:t>
        </w:r>
      </w:hyperlink>
    </w:p>
    <w:bookmarkEnd w:id="151"/>
    <w:bookmarkStart w:id="153"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2">
        <w:r>
          <w:rPr>
            <w:rStyle w:val="Hyperlink"/>
          </w:rPr>
          <w:t xml:space="preserve">https://doi.org/10.18637/jss.v111.i09</w:t>
        </w:r>
      </w:hyperlink>
    </w:p>
    <w:bookmarkEnd w:id="153"/>
    <w:bookmarkStart w:id="155"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4">
        <w:r>
          <w:rPr>
            <w:rStyle w:val="Hyperlink"/>
          </w:rPr>
          <w:t xml:space="preserve">https://doi.org/10.2307/2983678</w:t>
        </w:r>
      </w:hyperlink>
    </w:p>
    <w:bookmarkEnd w:id="155"/>
    <w:bookmarkStart w:id="157"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6">
        <w:r>
          <w:rPr>
            <w:rStyle w:val="Hyperlink"/>
          </w:rPr>
          <w:t xml:space="preserve">https://doi.org/10.1037/met0000553</w:t>
        </w:r>
      </w:hyperlink>
    </w:p>
    <w:bookmarkEnd w:id="157"/>
    <w:bookmarkStart w:id="159"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8">
        <w:r>
          <w:rPr>
            <w:rStyle w:val="Hyperlink"/>
          </w:rPr>
          <w:t xml:space="preserve">https://doi.org/10.32614/RJ-2017-066</w:t>
        </w:r>
      </w:hyperlink>
    </w:p>
    <w:bookmarkEnd w:id="159"/>
    <w:bookmarkStart w:id="161"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0">
        <w:r>
          <w:rPr>
            <w:rStyle w:val="Hyperlink"/>
          </w:rPr>
          <w:t xml:space="preserve">https://doi.org/10.18637/jss.v080.i01</w:t>
        </w:r>
      </w:hyperlink>
    </w:p>
    <w:bookmarkEnd w:id="161"/>
    <w:bookmarkStart w:id="16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2">
        <w:r>
          <w:rPr>
            <w:rStyle w:val="Hyperlink"/>
          </w:rPr>
          <w:t xml:space="preserve">https://doi.org/10.1177/2515245918823199</w:t>
        </w:r>
      </w:hyperlink>
    </w:p>
    <w:bookmarkEnd w:id="163"/>
    <w:bookmarkStart w:id="16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4">
        <w:r>
          <w:rPr>
            <w:rStyle w:val="Hyperlink"/>
          </w:rPr>
          <w:t xml:space="preserve">https://doi.org/10.3758/s13423-013-0442-z</w:t>
        </w:r>
      </w:hyperlink>
    </w:p>
    <w:bookmarkEnd w:id="165"/>
    <w:bookmarkStart w:id="16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6"/>
    <w:bookmarkStart w:id="16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7">
        <w:r>
          <w:rPr>
            <w:rStyle w:val="Hyperlink"/>
          </w:rPr>
          <w:t xml:space="preserve">https://doi.org/10.31219/osf.io/f9rqg_v1</w:t>
        </w:r>
      </w:hyperlink>
      <w:r>
        <w:t xml:space="preserve">.</w:t>
      </w:r>
    </w:p>
    <w:bookmarkEnd w:id="168"/>
    <w:bookmarkStart w:id="17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9">
        <w:r>
          <w:rPr>
            <w:rStyle w:val="Hyperlink"/>
          </w:rPr>
          <w:t xml:space="preserve">https://doi.org/10.18637/jss.v034.i02</w:t>
        </w:r>
      </w:hyperlink>
    </w:p>
    <w:bookmarkEnd w:id="170"/>
    <w:bookmarkStart w:id="17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1">
        <w:r>
          <w:rPr>
            <w:rStyle w:val="Hyperlink"/>
          </w:rPr>
          <w:t xml:space="preserve">https://nixos.org/</w:t>
        </w:r>
      </w:hyperlink>
    </w:p>
    <w:bookmarkEnd w:id="172"/>
    <w:bookmarkStart w:id="17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3">
        <w:r>
          <w:rPr>
            <w:rStyle w:val="Hyperlink"/>
          </w:rPr>
          <w:t xml:space="preserve">https://doi.org/10.1080/0266476042000214501</w:t>
        </w:r>
      </w:hyperlink>
    </w:p>
    <w:bookmarkEnd w:id="174"/>
    <w:bookmarkStart w:id="17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5">
        <w:r>
          <w:rPr>
            <w:rStyle w:val="Hyperlink"/>
          </w:rPr>
          <w:t xml:space="preserve">https://doi.org/10.1007/s11121-021-01302-y</w:t>
        </w:r>
      </w:hyperlink>
    </w:p>
    <w:bookmarkEnd w:id="176"/>
    <w:bookmarkStart w:id="17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7">
        <w:r>
          <w:rPr>
            <w:rStyle w:val="Hyperlink"/>
          </w:rPr>
          <w:t xml:space="preserve">https://mc-stan.org/cmdstanr/</w:t>
        </w:r>
      </w:hyperlink>
    </w:p>
    <w:bookmarkEnd w:id="178"/>
    <w:bookmarkStart w:id="18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9">
        <w:r>
          <w:rPr>
            <w:rStyle w:val="Hyperlink"/>
          </w:rPr>
          <w:t xml:space="preserve">https://stat.columbia.edu/~gelman/book/</w:t>
        </w:r>
      </w:hyperlink>
    </w:p>
    <w:bookmarkEnd w:id="180"/>
    <w:bookmarkStart w:id="18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1">
        <w:r>
          <w:rPr>
            <w:rStyle w:val="Hyperlink"/>
          </w:rPr>
          <w:t xml:space="preserve">http://dx.doi.org/10.59350/7p1a4-0tw75</w:t>
        </w:r>
      </w:hyperlink>
    </w:p>
    <w:bookmarkEnd w:id="182"/>
    <w:bookmarkStart w:id="183"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83"/>
    <w:bookmarkStart w:id="185"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4">
        <w:r>
          <w:rPr>
            <w:rStyle w:val="Hyperlink"/>
          </w:rPr>
          <w:t xml:space="preserve">https://doi.org/10.1016/j.wocn.2016.08.006</w:t>
        </w:r>
      </w:hyperlink>
    </w:p>
    <w:bookmarkEnd w:id="185"/>
    <w:bookmarkStart w:id="187"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6">
        <w:r>
          <w:rPr>
            <w:rStyle w:val="Hyperlink"/>
          </w:rPr>
          <w:t xml:space="preserve">https://doi.org/10.1017/pan.2022.20</w:t>
        </w:r>
      </w:hyperlink>
    </w:p>
    <w:bookmarkEnd w:id="187"/>
    <w:bookmarkStart w:id="189"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8">
        <w:r>
          <w:rPr>
            <w:rStyle w:val="Hyperlink"/>
          </w:rPr>
          <w:t xml:space="preserve">https://CRAN.R-project.org/package=ordbetareg</w:t>
        </w:r>
      </w:hyperlink>
    </w:p>
    <w:bookmarkEnd w:id="189"/>
    <w:bookmarkStart w:id="191"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90">
        <w:r>
          <w:rPr>
            <w:rStyle w:val="Hyperlink"/>
          </w:rPr>
          <w:t xml:space="preserve">https://doi.org/10.21105/joss.00772</w:t>
        </w:r>
      </w:hyperlink>
    </w:p>
    <w:bookmarkEnd w:id="191"/>
    <w:bookmarkStart w:id="19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2">
        <w:r>
          <w:rPr>
            <w:rStyle w:val="Hyperlink"/>
          </w:rPr>
          <w:t xml:space="preserve">https://easystats.github.io/easystats/</w:t>
        </w:r>
      </w:hyperlink>
    </w:p>
    <w:bookmarkEnd w:id="193"/>
    <w:bookmarkStart w:id="19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4">
        <w:r>
          <w:rPr>
            <w:rStyle w:val="Hyperlink"/>
          </w:rPr>
          <w:t xml:space="preserve">https://doi.org/10.3389/fpsyg.2019.02767</w:t>
        </w:r>
      </w:hyperlink>
    </w:p>
    <w:bookmarkEnd w:id="195"/>
    <w:bookmarkStart w:id="19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6">
        <w:r>
          <w:rPr>
            <w:rStyle w:val="Hyperlink"/>
          </w:rPr>
          <w:t xml:space="preserve">https://doi.org/10.21105/joss.01541</w:t>
        </w:r>
      </w:hyperlink>
    </w:p>
    <w:bookmarkEnd w:id="197"/>
    <w:bookmarkStart w:id="199"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8">
        <w:r>
          <w:rPr>
            <w:rStyle w:val="Hyperlink"/>
          </w:rPr>
          <w:t xml:space="preserve">https://doi.org/10.1098/rsos.231713</w:t>
        </w:r>
      </w:hyperlink>
    </w:p>
    <w:bookmarkEnd w:id="199"/>
    <w:bookmarkStart w:id="201"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0">
        <w:r>
          <w:rPr>
            <w:rStyle w:val="Hyperlink"/>
          </w:rPr>
          <w:t xml:space="preserve">https://doi.org/10.1201/9780429029608</w:t>
        </w:r>
      </w:hyperlink>
    </w:p>
    <w:bookmarkEnd w:id="201"/>
    <w:bookmarkStart w:id="203"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2">
        <w:r>
          <w:rPr>
            <w:rStyle w:val="Hyperlink"/>
          </w:rPr>
          <w:t xml:space="preserve">https://doi.org/10.2307/2344614</w:t>
        </w:r>
      </w:hyperlink>
    </w:p>
    <w:bookmarkEnd w:id="203"/>
    <w:bookmarkStart w:id="205"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4">
        <w:r>
          <w:rPr>
            <w:rStyle w:val="Hyperlink"/>
          </w:rPr>
          <w:t xml:space="preserve">https://www.sciencedirect.com/science/article/pii/S0048969723041505</w:t>
        </w:r>
      </w:hyperlink>
    </w:p>
    <w:bookmarkEnd w:id="205"/>
    <w:bookmarkStart w:id="207"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6">
        <w:r>
          <w:rPr>
            <w:rStyle w:val="Hyperlink"/>
          </w:rPr>
          <w:t xml:space="preserve">https://doi.org/10.1093/oxfordjournals.pan.a004873</w:t>
        </w:r>
      </w:hyperlink>
    </w:p>
    <w:bookmarkEnd w:id="207"/>
    <w:bookmarkStart w:id="209"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8">
        <w:r>
          <w:rPr>
            <w:rStyle w:val="Hyperlink"/>
          </w:rPr>
          <w:t xml:space="preserve">https://www.R-project.org/</w:t>
        </w:r>
      </w:hyperlink>
    </w:p>
    <w:bookmarkEnd w:id="209"/>
    <w:bookmarkStart w:id="211"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0">
        <w:r>
          <w:rPr>
            <w:rStyle w:val="Hyperlink"/>
          </w:rPr>
          <w:t xml:space="preserve">https://docs.ropensci.org/rix/</w:t>
        </w:r>
      </w:hyperlink>
    </w:p>
    <w:bookmarkEnd w:id="211"/>
    <w:bookmarkStart w:id="213"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2">
        <w:r>
          <w:rPr>
            <w:rStyle w:val="Hyperlink"/>
          </w:rPr>
          <w:t xml:space="preserve">https://doi.org/10.1177/08902070241239834</w:t>
        </w:r>
      </w:hyperlink>
    </w:p>
    <w:bookmarkEnd w:id="213"/>
    <w:bookmarkStart w:id="215"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4">
        <w:r>
          <w:rPr>
            <w:rStyle w:val="Hyperlink"/>
          </w:rPr>
          <w:t xml:space="preserve">https://doi.org/10.31234/osf.io/4rznt</w:t>
        </w:r>
      </w:hyperlink>
    </w:p>
    <w:bookmarkEnd w:id="215"/>
    <w:bookmarkStart w:id="217"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6">
        <w:r>
          <w:rPr>
            <w:rStyle w:val="Hyperlink"/>
          </w:rPr>
          <w:t xml:space="preserve">https://doi.org/10.1001/jamanetworkopen.2023.53401</w:t>
        </w:r>
      </w:hyperlink>
    </w:p>
    <w:bookmarkEnd w:id="217"/>
    <w:bookmarkStart w:id="219"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8">
        <w:r>
          <w:rPr>
            <w:rStyle w:val="Hyperlink"/>
          </w:rPr>
          <w:t xml:space="preserve">https://mc-stan.org</w:t>
        </w:r>
      </w:hyperlink>
    </w:p>
    <w:bookmarkEnd w:id="219"/>
    <w:bookmarkStart w:id="221"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0">
        <w:r>
          <w:rPr>
            <w:rStyle w:val="Hyperlink"/>
          </w:rPr>
          <w:t xml:space="preserve">https://doi.org/10.1007/s11409-017-9175-0</w:t>
        </w:r>
      </w:hyperlink>
    </w:p>
    <w:bookmarkEnd w:id="221"/>
    <w:bookmarkStart w:id="223"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2">
        <w:r>
          <w:rPr>
            <w:rStyle w:val="Hyperlink"/>
          </w:rPr>
          <w:t xml:space="preserve">https://vuorre.com/posts/2019-02-18-analyze-analog-scale-ratings-with-zero-one-inflated-beta-models</w:t>
        </w:r>
      </w:hyperlink>
    </w:p>
    <w:bookmarkEnd w:id="223"/>
    <w:bookmarkStart w:id="225"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4">
        <w:r>
          <w:rPr>
            <w:rStyle w:val="Hyperlink"/>
          </w:rPr>
          <w:t xml:space="preserve">https://doi.org/10.1002/acp.3724</w:t>
        </w:r>
      </w:hyperlink>
    </w:p>
    <w:bookmarkEnd w:id="225"/>
    <w:bookmarkStart w:id="227"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6">
        <w:r>
          <w:rPr>
            <w:rStyle w:val="Hyperlink"/>
          </w:rPr>
          <w:t xml:space="preserve">https://doi.org/10.1111/gcb.17422</w:t>
        </w:r>
      </w:hyperlink>
    </w:p>
    <w:bookmarkEnd w:id="227"/>
    <w:bookmarkStart w:id="229"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8">
        <w:r>
          <w:rPr>
            <w:rStyle w:val="Hyperlink"/>
          </w:rPr>
          <w:t xml:space="preserve">https://doi.org/10.1037/mac0000003</w:t>
        </w:r>
      </w:hyperlink>
    </w:p>
    <w:bookmarkEnd w:id="229"/>
    <w:bookmarkEnd w:id="230"/>
    <w:bookmarkEnd w:id="231"/>
    <w:bookmarkEnd w:id="23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58">
    <w:p>
      <w:pPr>
        <w:pStyle w:val="FootnoteText"/>
      </w:pPr>
      <w:r>
        <w:rPr>
          <w:rStyle w:val="FootnoteReference"/>
        </w:rPr>
        <w:footnoteRef/>
      </w:r>
      <w:r>
        <w:t xml:space="preserve"> </w:t>
      </w:r>
      <w:r>
        <w:t xml:space="preserve">See an example of the fluent video here:</w:t>
      </w:r>
      <w:r>
        <w:t xml:space="preserve"> </w:t>
      </w:r>
      <w:hyperlink r:id="rId59">
        <w:r>
          <w:rPr>
            <w:rStyle w:val="Hyperlink"/>
          </w:rPr>
          <w:t xml:space="preserve">https://osf.io/hwzuk</w:t>
        </w:r>
      </w:hyperlink>
      <w:r>
        <w:t xml:space="preserve">. See an example of the disfluent video here:</w:t>
      </w:r>
      <w:r>
        <w:t xml:space="preserve"> </w:t>
      </w:r>
      <w:hyperlink r:id="rId60">
        <w:r>
          <w:rPr>
            <w:rStyle w:val="Hyperlink"/>
          </w:rPr>
          <w:t xml:space="preserve">https://osf.io/ra7be</w:t>
        </w:r>
      </w:hyperlink>
      <w:r>
        <w:t xml:space="preserve">.</w:t>
      </w:r>
    </w:p>
  </w:footnote>
  <w:footnote w:id="61">
    <w:p>
      <w:pPr>
        <w:pStyle w:val="FootnoteText"/>
      </w:pPr>
      <w:r>
        <w:rPr>
          <w:rStyle w:val="FootnoteReference"/>
        </w:rPr>
        <w:footnoteRef/>
      </w:r>
      <w:r>
        <w:t xml:space="preserve"> </w:t>
      </w:r>
      <w:r>
        <w:t xml:space="preserve">See an example of the fluent video here:</w:t>
      </w:r>
      <w:r>
        <w:t xml:space="preserve"> </w:t>
      </w:r>
      <w:hyperlink r:id="rId59">
        <w:r>
          <w:rPr>
            <w:rStyle w:val="Hyperlink"/>
          </w:rPr>
          <w:t xml:space="preserve">https://osf.io/hwzuk</w:t>
        </w:r>
      </w:hyperlink>
      <w:r>
        <w:t xml:space="preserve">. See an example of the disfluent video here:</w:t>
      </w:r>
      <w:r>
        <w:t xml:space="preserve"> </w:t>
      </w:r>
      <w:hyperlink r:id="rId60">
        <w:r>
          <w:rPr>
            <w:rStyle w:val="Hyperlink"/>
          </w:rPr>
          <w:t xml:space="preserve">https://osf.io/ra7be</w:t>
        </w:r>
      </w:hyperlink>
      <w:r>
        <w:t xml:space="preserve">.</w:t>
      </w:r>
    </w:p>
  </w:footnote>
  <w:footnote w:id="75">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6">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7">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23">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21" Target="media/rId21.svg"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93" Target="media/rId93.png" /><Relationship Type="http://schemas.openxmlformats.org/officeDocument/2006/relationships/image" Id="rId64" Target="media/rId64.png" /><Relationship Type="http://schemas.openxmlformats.org/officeDocument/2006/relationships/image" Id="rId141" Target="media/rId141.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81" Target="media/rId81.png" /><Relationship Type="http://schemas.openxmlformats.org/officeDocument/2006/relationships/image" Id="rId137" Target="media/rId137.png"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hyperlink" Id="rId181" Target="http://dx.doi.org/10.59350/7p1a4-0tw75" TargetMode="External" /><Relationship Type="http://schemas.openxmlformats.org/officeDocument/2006/relationships/hyperlink" Id="rId150" Target="https://CRAN.R-project.org/package=marginaleffects" TargetMode="External" /><Relationship Type="http://schemas.openxmlformats.org/officeDocument/2006/relationships/hyperlink" Id="rId188" Target="https://CRAN.R-project.org/package=ordbetareg" TargetMode="External" /><Relationship Type="http://schemas.openxmlformats.org/officeDocument/2006/relationships/hyperlink" Id="rId210" Target="https://docs.ropensci.org/rix/" TargetMode="External" /><Relationship Type="http://schemas.openxmlformats.org/officeDocument/2006/relationships/hyperlink" Id="rId216" Target="https://doi.org/10.1001/jamanetworkopen.2023.53401" TargetMode="External" /><Relationship Type="http://schemas.openxmlformats.org/officeDocument/2006/relationships/hyperlink" Id="rId224"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20" Target="https://doi.org/10.1007/s11409-017-9175-0" TargetMode="External" /><Relationship Type="http://schemas.openxmlformats.org/officeDocument/2006/relationships/hyperlink" Id="rId184" Target="https://doi.org/10.1016/j.wocn.2016.08.006" TargetMode="External" /><Relationship Type="http://schemas.openxmlformats.org/officeDocument/2006/relationships/hyperlink" Id="rId186" Target="https://doi.org/10.1017/pan.2022.20" TargetMode="External" /><Relationship Type="http://schemas.openxmlformats.org/officeDocument/2006/relationships/hyperlink" Id="rId228" Target="https://doi.org/10.1037/mac0000003" TargetMode="External" /><Relationship Type="http://schemas.openxmlformats.org/officeDocument/2006/relationships/hyperlink" Id="rId156"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06" Target="https://doi.org/10.1093/oxfordjournals.pan.a004873" TargetMode="External" /><Relationship Type="http://schemas.openxmlformats.org/officeDocument/2006/relationships/hyperlink" Id="rId198" Target="https://doi.org/10.1098/rsos.231713" TargetMode="External" /><Relationship Type="http://schemas.openxmlformats.org/officeDocument/2006/relationships/hyperlink" Id="rId226" Target="https://doi.org/10.1111/gcb.17422" TargetMode="External" /><Relationship Type="http://schemas.openxmlformats.org/officeDocument/2006/relationships/hyperlink" Id="rId212" Target="https://doi.org/10.1177/08902070241239834" TargetMode="External" /><Relationship Type="http://schemas.openxmlformats.org/officeDocument/2006/relationships/hyperlink" Id="rId162" Target="https://doi.org/10.1177/2515245918823199" TargetMode="External" /><Relationship Type="http://schemas.openxmlformats.org/officeDocument/2006/relationships/hyperlink" Id="rId200" Target="https://doi.org/10.1201/9780429029608" TargetMode="External" /><Relationship Type="http://schemas.openxmlformats.org/officeDocument/2006/relationships/hyperlink" Id="rId169" Target="https://doi.org/10.18637/jss.v034.i02" TargetMode="External" /><Relationship Type="http://schemas.openxmlformats.org/officeDocument/2006/relationships/hyperlink" Id="rId160" Target="https://doi.org/10.18637/jss.v080.i01" TargetMode="External" /><Relationship Type="http://schemas.openxmlformats.org/officeDocument/2006/relationships/hyperlink" Id="rId152" Target="https://doi.org/10.18637/jss.v111.i09" TargetMode="External" /><Relationship Type="http://schemas.openxmlformats.org/officeDocument/2006/relationships/hyperlink" Id="rId190" Target="https://doi.org/10.21105/joss.00772" TargetMode="External" /><Relationship Type="http://schemas.openxmlformats.org/officeDocument/2006/relationships/hyperlink" Id="rId196" Target="https://doi.org/10.21105/joss.01541" TargetMode="External" /><Relationship Type="http://schemas.openxmlformats.org/officeDocument/2006/relationships/hyperlink" Id="rId202" Target="https://doi.org/10.2307/2344614" TargetMode="External" /><Relationship Type="http://schemas.openxmlformats.org/officeDocument/2006/relationships/hyperlink" Id="rId154" Target="https://doi.org/10.2307/2983678" TargetMode="External" /><Relationship Type="http://schemas.openxmlformats.org/officeDocument/2006/relationships/hyperlink" Id="rId167" Target="https://doi.org/10.31219/osf.io/f9rqg_v1" TargetMode="External" /><Relationship Type="http://schemas.openxmlformats.org/officeDocument/2006/relationships/hyperlink" Id="rId214" Target="https://doi.org/10.31234/osf.io/4rznt" TargetMode="External" /><Relationship Type="http://schemas.openxmlformats.org/officeDocument/2006/relationships/hyperlink" Id="rId158" Target="https://doi.org/10.32614/RJ-2017-066" TargetMode="External" /><Relationship Type="http://schemas.openxmlformats.org/officeDocument/2006/relationships/hyperlink" Id="rId194" Target="https://doi.org/10.3389/fpsyg.2019.02767" TargetMode="External" /><Relationship Type="http://schemas.openxmlformats.org/officeDocument/2006/relationships/hyperlink" Id="rId164"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31" Target="https://github.com/saudiwin/ordbetareg_pack" TargetMode="External" /><Relationship Type="http://schemas.openxmlformats.org/officeDocument/2006/relationships/hyperlink" Id="rId218" Target="https://mc-stan.org" TargetMode="External" /><Relationship Type="http://schemas.openxmlformats.org/officeDocument/2006/relationships/hyperlink" Id="rId177" Target="https://mc-stan.org/cmdstan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57" Target="https://osf.io/6tyn4/" TargetMode="External" /><Relationship Type="http://schemas.openxmlformats.org/officeDocument/2006/relationships/hyperlink" Id="rId59" Target="https://osf.io/hwzuk" TargetMode="External" /><Relationship Type="http://schemas.openxmlformats.org/officeDocument/2006/relationships/hyperlink" Id="rId60" Target="https://osf.io/ra7be" TargetMode="External" /><Relationship Type="http://schemas.openxmlformats.org/officeDocument/2006/relationships/hyperlink" Id="rId179" Target="https://stat.columbia.edu/~gelman/book/" TargetMode="External" /><Relationship Type="http://schemas.openxmlformats.org/officeDocument/2006/relationships/hyperlink" Id="rId222" Target="https://vuorre.com/posts/2019-02-18-analyze-analog-scale-ratings-with-zero-one-inflated-beta-models" TargetMode="External" /><Relationship Type="http://schemas.openxmlformats.org/officeDocument/2006/relationships/hyperlink" Id="rId208" Target="https://www.R-project.org/" TargetMode="External" /><Relationship Type="http://schemas.openxmlformats.org/officeDocument/2006/relationships/hyperlink" Id="rId233" Target="https://www.routledge.com/Bayes-Rules-An-Introduction-to-Applied-Bayesian-Modeling/Johnson-Ott-Dogucu/p/book/9780367255398" TargetMode="External" /><Relationship Type="http://schemas.openxmlformats.org/officeDocument/2006/relationships/hyperlink" Id="rId204"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72" Target="pd" TargetMode="External" /></Relationships>
</file>

<file path=word/_rels/footnotes.xml.rels><?xml version="1.0" encoding="UTF-8"?><Relationships xmlns="http://schemas.openxmlformats.org/package/2006/relationships"><Relationship Type="http://schemas.openxmlformats.org/officeDocument/2006/relationships/hyperlink" Id="rId181" Target="http://dx.doi.org/10.59350/7p1a4-0tw75" TargetMode="External" /><Relationship Type="http://schemas.openxmlformats.org/officeDocument/2006/relationships/hyperlink" Id="rId150" Target="https://CRAN.R-project.org/package=marginaleffects" TargetMode="External" /><Relationship Type="http://schemas.openxmlformats.org/officeDocument/2006/relationships/hyperlink" Id="rId188" Target="https://CRAN.R-project.org/package=ordbetareg" TargetMode="External" /><Relationship Type="http://schemas.openxmlformats.org/officeDocument/2006/relationships/hyperlink" Id="rId210" Target="https://docs.ropensci.org/rix/" TargetMode="External" /><Relationship Type="http://schemas.openxmlformats.org/officeDocument/2006/relationships/hyperlink" Id="rId216" Target="https://doi.org/10.1001/jamanetworkopen.2023.53401" TargetMode="External" /><Relationship Type="http://schemas.openxmlformats.org/officeDocument/2006/relationships/hyperlink" Id="rId224"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20" Target="https://doi.org/10.1007/s11409-017-9175-0" TargetMode="External" /><Relationship Type="http://schemas.openxmlformats.org/officeDocument/2006/relationships/hyperlink" Id="rId184" Target="https://doi.org/10.1016/j.wocn.2016.08.006" TargetMode="External" /><Relationship Type="http://schemas.openxmlformats.org/officeDocument/2006/relationships/hyperlink" Id="rId186" Target="https://doi.org/10.1017/pan.2022.20" TargetMode="External" /><Relationship Type="http://schemas.openxmlformats.org/officeDocument/2006/relationships/hyperlink" Id="rId228" Target="https://doi.org/10.1037/mac0000003" TargetMode="External" /><Relationship Type="http://schemas.openxmlformats.org/officeDocument/2006/relationships/hyperlink" Id="rId156"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06" Target="https://doi.org/10.1093/oxfordjournals.pan.a004873" TargetMode="External" /><Relationship Type="http://schemas.openxmlformats.org/officeDocument/2006/relationships/hyperlink" Id="rId198" Target="https://doi.org/10.1098/rsos.231713" TargetMode="External" /><Relationship Type="http://schemas.openxmlformats.org/officeDocument/2006/relationships/hyperlink" Id="rId226" Target="https://doi.org/10.1111/gcb.17422" TargetMode="External" /><Relationship Type="http://schemas.openxmlformats.org/officeDocument/2006/relationships/hyperlink" Id="rId212" Target="https://doi.org/10.1177/08902070241239834" TargetMode="External" /><Relationship Type="http://schemas.openxmlformats.org/officeDocument/2006/relationships/hyperlink" Id="rId162" Target="https://doi.org/10.1177/2515245918823199" TargetMode="External" /><Relationship Type="http://schemas.openxmlformats.org/officeDocument/2006/relationships/hyperlink" Id="rId200" Target="https://doi.org/10.1201/9780429029608" TargetMode="External" /><Relationship Type="http://schemas.openxmlformats.org/officeDocument/2006/relationships/hyperlink" Id="rId169" Target="https://doi.org/10.18637/jss.v034.i02" TargetMode="External" /><Relationship Type="http://schemas.openxmlformats.org/officeDocument/2006/relationships/hyperlink" Id="rId160" Target="https://doi.org/10.18637/jss.v080.i01" TargetMode="External" /><Relationship Type="http://schemas.openxmlformats.org/officeDocument/2006/relationships/hyperlink" Id="rId152" Target="https://doi.org/10.18637/jss.v111.i09" TargetMode="External" /><Relationship Type="http://schemas.openxmlformats.org/officeDocument/2006/relationships/hyperlink" Id="rId190" Target="https://doi.org/10.21105/joss.00772" TargetMode="External" /><Relationship Type="http://schemas.openxmlformats.org/officeDocument/2006/relationships/hyperlink" Id="rId196" Target="https://doi.org/10.21105/joss.01541" TargetMode="External" /><Relationship Type="http://schemas.openxmlformats.org/officeDocument/2006/relationships/hyperlink" Id="rId202" Target="https://doi.org/10.2307/2344614" TargetMode="External" /><Relationship Type="http://schemas.openxmlformats.org/officeDocument/2006/relationships/hyperlink" Id="rId154" Target="https://doi.org/10.2307/2983678" TargetMode="External" /><Relationship Type="http://schemas.openxmlformats.org/officeDocument/2006/relationships/hyperlink" Id="rId167" Target="https://doi.org/10.31219/osf.io/f9rqg_v1" TargetMode="External" /><Relationship Type="http://schemas.openxmlformats.org/officeDocument/2006/relationships/hyperlink" Id="rId214" Target="https://doi.org/10.31234/osf.io/4rznt" TargetMode="External" /><Relationship Type="http://schemas.openxmlformats.org/officeDocument/2006/relationships/hyperlink" Id="rId158" Target="https://doi.org/10.32614/RJ-2017-066" TargetMode="External" /><Relationship Type="http://schemas.openxmlformats.org/officeDocument/2006/relationships/hyperlink" Id="rId194" Target="https://doi.org/10.3389/fpsyg.2019.02767" TargetMode="External" /><Relationship Type="http://schemas.openxmlformats.org/officeDocument/2006/relationships/hyperlink" Id="rId164"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31" Target="https://github.com/saudiwin/ordbetareg_pack" TargetMode="External" /><Relationship Type="http://schemas.openxmlformats.org/officeDocument/2006/relationships/hyperlink" Id="rId218" Target="https://mc-stan.org" TargetMode="External" /><Relationship Type="http://schemas.openxmlformats.org/officeDocument/2006/relationships/hyperlink" Id="rId177" Target="https://mc-stan.org/cmdstan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57" Target="https://osf.io/6tyn4/" TargetMode="External" /><Relationship Type="http://schemas.openxmlformats.org/officeDocument/2006/relationships/hyperlink" Id="rId59" Target="https://osf.io/hwzuk" TargetMode="External" /><Relationship Type="http://schemas.openxmlformats.org/officeDocument/2006/relationships/hyperlink" Id="rId60" Target="https://osf.io/ra7be" TargetMode="External" /><Relationship Type="http://schemas.openxmlformats.org/officeDocument/2006/relationships/hyperlink" Id="rId179" Target="https://stat.columbia.edu/~gelman/book/" TargetMode="External" /><Relationship Type="http://schemas.openxmlformats.org/officeDocument/2006/relationships/hyperlink" Id="rId222" Target="https://vuorre.com/posts/2019-02-18-analyze-analog-scale-ratings-with-zero-one-inflated-beta-models" TargetMode="External" /><Relationship Type="http://schemas.openxmlformats.org/officeDocument/2006/relationships/hyperlink" Id="rId208" Target="https://www.R-project.org/" TargetMode="External" /><Relationship Type="http://schemas.openxmlformats.org/officeDocument/2006/relationships/hyperlink" Id="rId233" Target="https://www.routledge.com/Bayes-Rules-An-Introduction-to-Applied-Bayesian-Modeling/Johnson-Ott-Dogucu/p/book/9780367255398" TargetMode="External" /><Relationship Type="http://schemas.openxmlformats.org/officeDocument/2006/relationships/hyperlink" Id="rId204"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72"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using the marginaleffects package.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9424</vt:lpwstr>
  </property>
  <property fmtid="{D5CDD505-2E9C-101B-9397-08002B2CF9AE}" pid="63" name="zerocitations">
    <vt:lpwstr>False</vt:lpwstr>
  </property>
</Properties>
</file>