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2.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11064</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(weakly informative) priors provided by {brms}. These priors are intentionally modest,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to illustrate variability and central tendency.</w:t>
      </w:r>
    </w:p>
    <w:p>
      <w:pPr>
        <w:pStyle w:val="FigureWithoutNote"/>
      </w:pPr>
      <w:r>
        <w:drawing>
          <wp:inline>
            <wp:extent cx="5504749" cy="4403799"/>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4403799"/>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 to 0.168.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3886     2767</w:t>
      </w:r>
      <w:r>
        <w:br/>
      </w:r>
      <w:r>
        <w:rPr>
          <w:rStyle w:val="VerbatimChar"/>
        </w:rPr>
        <w:t xml:space="preserve">FluencyFluent     0.08      0.04     0.00     0.17 1.00     3694     2873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4039     2628</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4403799"/>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0.351]</w:t>
            </w:r>
          </w:p>
        </w:tc>
      </w:tr>
      <w:tr>
        <w:tc>
          <w:tcPr/>
          <w:p>
            <w:pPr>
              <w:pStyle w:val="Compact"/>
            </w:pPr>
            <w:r>
              <w:t xml:space="preserve">Fluent</w:t>
            </w:r>
          </w:p>
        </w:tc>
        <w:tc>
          <w:tcPr/>
          <w:p>
            <w:pPr>
              <w:pStyle w:val="Compact"/>
            </w:pPr>
            <w:r>
              <w:t xml:space="preserve">0.353</w:t>
            </w:r>
          </w:p>
        </w:tc>
        <w:tc>
          <w:tcPr/>
          <w:p>
            <w:pPr>
              <w:pStyle w:val="Compact"/>
            </w:pPr>
            <w:r>
              <w:t xml:space="preserve">[0.3, 0.408]</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4403799"/>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4403799"/>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0.055</w:t>
            </w:r>
          </w:p>
        </w:tc>
        <w:tc>
          <w:tcPr/>
          <w:p>
            <w:pPr>
              <w:pStyle w:val="Compact"/>
            </w:pPr>
            <w:r>
              <w:t xml:space="preserve">[-0.018, 0.125]</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194"/>
        <w:tblLayout w:type="fixed"/>
        <w:tblLook w:firstRow="1" w:lastRow="0" w:firstColumn="0" w:lastColumn="0" w:noHBand="0" w:noVBand="0" w:val="0020"/>
      </w:tblPr>
      <w:tblGrid>
        <w:gridCol w:w="2310"/>
        <w:gridCol w:w="880"/>
        <w:gridCol w:w="18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0.044</w:t>
            </w:r>
          </w:p>
        </w:tc>
        <w:tc>
          <w:tcPr/>
          <w:p>
            <w:pPr>
              <w:pStyle w:val="Compact"/>
            </w:pPr>
            <w:r>
              <w:t xml:space="preserve">[-0.033, 0.12]</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94"/>
        <w:tblLayout w:type="fixed"/>
        <w:tblLook w:firstRow="1" w:lastRow="0" w:firstColumn="0" w:lastColumn="0" w:noHBand="0" w:noVBand="0" w:val="0020"/>
      </w:tblPr>
      <w:tblGrid>
        <w:gridCol w:w="2310"/>
        <w:gridCol w:w="77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2.67</w:t>
            </w:r>
          </w:p>
        </w:tc>
        <w:tc>
          <w:tcPr/>
          <w:p>
            <w:pPr>
              <w:pStyle w:val="Compact"/>
            </w:pPr>
            <w:r>
              <w:t xml:space="preserve">[-0.901, 6.669]</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4403799"/>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5"/>
      </w:r>
    </w:p>
    <w:bookmarkStart w:id="141"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6"/>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7"/>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8"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8"/>
        </w:tc>
      </w:tr>
    </w:tbl>
    <w:p>
      <w:pPr>
        <w:pStyle w:val="Heading4"/>
        <w:rPr>
          <w:vanish/>
          <w:specVanish/>
        </w:rPr>
      </w:pPr>
      <w:r>
        <w:t>Marginal Effects.</w:t>
      </w:r>
      <w:r>
        <w:t xml:space="preserve"> </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39" w:name="tbl-ordbeta"/>
    <w:p>
      <w:pPr>
        <w:pStyle w:val="FigureTitle"/>
      </w:pPr>
      <w:r>
        <w:t xml:space="preserve">Table 7</w:t>
      </w:r>
    </w:p>
    <w:p>
      <w:pPr>
        <w:pStyle w:val="Caption"/>
      </w:pPr>
      <w:r>
        <w:t xml:space="preserve">Marginal effect of fluency ordered beta model</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0.062</w:t>
            </w:r>
          </w:p>
        </w:tc>
        <w:tc>
          <w:tcPr/>
          <w:p>
            <w:pPr>
              <w:pStyle w:val="Compact"/>
            </w:pPr>
            <w:r>
              <w:t xml:space="preserve">[-0.016, 0.138]</w:t>
            </w:r>
          </w:p>
        </w:tc>
      </w:tr>
    </w:tbl>
    <w:bookmarkEnd w:id="139"/>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0"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[-3.56, -2.44]</w:t>
            </w:r>
          </w:p>
        </w:tc>
      </w:tr>
      <w:tr>
        <w:tc>
          <w:tcPr/>
          <w:p>
            <w:pPr>
              <w:pStyle w:val="Compact"/>
            </w:pPr>
            <w:r>
              <w:t xml:space="preserve">cutone</w:t>
            </w:r>
          </w:p>
        </w:tc>
        <w:tc>
          <w:tcPr/>
          <w:p>
            <w:pPr>
              <w:pStyle w:val="Compact"/>
            </w:pPr>
            <w:r>
              <w:t xml:space="preserve">1.85</w:t>
            </w:r>
          </w:p>
        </w:tc>
        <w:tc>
          <w:tcPr/>
          <w:p>
            <w:pPr>
              <w:pStyle w:val="Compact"/>
            </w:pPr>
            <w:r>
              <w:t xml:space="preserve">[1.65, 2.07]</w:t>
            </w:r>
          </w:p>
        </w:tc>
      </w:tr>
    </w:tbl>
    <w:bookmarkEnd w:id="140"/>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1"/>
    <w:bookmarkStart w:id="146"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5"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3" name="Picture"/>
            <a:graphic>
              <a:graphicData uri="http://schemas.openxmlformats.org/drawingml/2006/picture">
                <pic:pic>
                  <pic:nvPicPr>
                    <pic:cNvPr descr="ms_files/figure-docx/fig-ppcheckord-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bookmarkEnd w:id="145"/>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6"/>
    <w:bookmarkStart w:id="151"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4403799"/>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4403799"/>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5">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11064</vt:lpwstr>
  </property>
  <property fmtid="{D5CDD505-2E9C-101B-9397-08002B2CF9AE}" pid="67" name="zerocitations">
    <vt:lpwstr>False</vt:lpwstr>
  </property>
</Properties>
</file>