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2.png" ContentType="image/png"/>
  <Override PartName="/word/media/rId56.png" ContentType="image/png"/>
  <Override PartName="/word/media/rId87.png" ContentType="image/png"/>
  <Override PartName="/word/media/rId148.png" ContentType="image/png"/>
  <Override PartName="/word/media/rId137.png" ContentType="image/png"/>
  <Override PartName="/word/media/rId78.png" ContentType="image/png"/>
  <Override PartName="/word/media/rId73.png" ContentType="image/png"/>
  <Override PartName="/word/media/rId11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11263</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4"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analysis"/>
    <w:p>
      <w:pPr>
        <w:pStyle w:val="Heading3"/>
      </w:pPr>
      <w:r>
        <w:t xml:space="preserve">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0.002 to 0.17.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3559     2968</w:t>
      </w:r>
      <w:r>
        <w:br/>
      </w:r>
      <w:r>
        <w:rPr>
          <w:rStyle w:val="VerbatimChar"/>
        </w:rPr>
        <w:t xml:space="preserve">FluencyFluent     0.08      0.04     0.00     0.17 1.00     3703     2859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3967     3103</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7"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fluency factor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0.304</w:t>
            </w:r>
          </w:p>
        </w:tc>
        <w:tc>
          <w:tcPr/>
          <w:p>
            <w:pPr>
              <w:pStyle w:val="Compact"/>
            </w:pPr>
            <w:r>
              <w:t xml:space="preserve">[0.254, 0.36]</w:t>
            </w:r>
          </w:p>
        </w:tc>
      </w:tr>
      <w:tr>
        <w:tc>
          <w:tcPr/>
          <w:p>
            <w:pPr>
              <w:pStyle w:val="Compact"/>
            </w:pPr>
            <w:r>
              <w:t xml:space="preserve">Fluent</w:t>
            </w:r>
          </w:p>
        </w:tc>
        <w:tc>
          <w:tcPr/>
          <w:p>
            <w:pPr>
              <w:pStyle w:val="Compact"/>
            </w:pPr>
            <w:r>
              <w:t xml:space="preserve">0.349</w:t>
            </w:r>
          </w:p>
        </w:tc>
        <w:tc>
          <w:tcPr/>
          <w:p>
            <w:pPr>
              <w:pStyle w:val="Compact"/>
            </w:pPr>
            <w:r>
              <w:t xml:space="preserve">[0.303, 0.399]</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5"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t>
            </w:r>
            <m:oMath>
              <m:r>
                <m:t>μ</m:t>
              </m:r>
            </m:oMath>
            <w:r>
              <w:t xml:space="preserve">) for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 (</w:t>
      </w:r>
      <m:oMath>
        <m:r>
          <m:t>μ</m:t>
        </m:r>
      </m:oMath>
      <w:r>
        <w:t xml:space="preserve">)</w:t>
      </w:r>
    </w:p>
    <w:tbl>
      <w:tblPr>
        <w:tblStyle w:val="Table"/>
        <w:tblW w:type="pct" w:w="3681"/>
        <w:tblLayout w:type="fixed"/>
        <w:tblLook w:firstRow="1" w:lastRow="0" w:firstColumn="0" w:lastColumn="0" w:noHBand="0" w:noVBand="0" w:val="0020"/>
      </w:tblPr>
      <w:tblGrid>
        <w:gridCol w:w="2310"/>
        <w:gridCol w:w="880"/>
        <w:gridCol w:w="187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 0.116]</w:t>
            </w:r>
          </w:p>
        </w:tc>
        <w:tc>
          <w:tcPr/>
          <w:p>
            <w:pPr>
              <w:pStyle w:val="Compact"/>
            </w:pPr>
            <w:r>
              <w:t xml:space="preserve">0.88</w:t>
            </w:r>
          </w:p>
        </w:tc>
      </w:tr>
    </w:tbl>
    <w:bookmarkEnd w:id="102"/>
    <w:p>
      <w:pPr>
        <w:pStyle w:val="Heading4"/>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 The pd also indicates the effect is non-significant (</w:t>
      </w:r>
      <w:r>
        <w:rPr>
          <w:i/>
          <w:iCs/>
        </w:rPr>
        <w:t xml:space="preserve">p</w:t>
      </w:r>
      <w:r>
        <w:t xml:space="preserve"> </w:t>
      </w:r>
      <w:r>
        <w:t xml:space="preserve">&gt; .05). In the basic regression model above, the ROPE value was extracted using the {bayestestR} package. The ROPE can also be obtained with the {marginaleffects} package by specifying the equivalence bounds argument in</w:t>
      </w:r>
      <w:r>
        <w:t xml:space="preserve"> </w:t>
      </w:r>
      <w:r>
        <w:rPr>
          <w:rStyle w:val="VerbatimChar"/>
        </w:rPr>
        <w:t xml:space="preserve">avg_comparisons()</w:t>
      </w:r>
      <w:r>
        <w:t xml:space="preserve"> </w:t>
      </w:r>
      <w:r>
        <w:t xml:space="preserve">(</w:t>
      </w:r>
      <w:r>
        <w:rPr>
          <w:b/>
          <w:bCs/>
        </w:rPr>
        <w:t xml:space="preserve">?@lst-margeeffectrope</w:t>
      </w:r>
      <w:r>
        <w:t xml:space="preserve">). Running the code below returns a ROPE of 23%, indicating insufficient evidence to conclude that the effect exceeds 2%.</w:t>
      </w:r>
    </w:p>
    <w:p>
      <w:pPr>
        <w:pStyle w:val="Heading4"/>
        <w:rPr>
          <w:vanish/>
          <w:specVanish/>
        </w:rPr>
      </w:pPr>
      <w:r>
        <w:t>\phi difference.</w:t>
      </w:r>
      <w:r>
        <w:t xml:space="preserve"> </w:t>
      </w:r>
    </w:p>
    <w:p>
      <w:pPr>
        <w:pStyle w:val="BodyText"/>
      </w:pPr>
      <w:r>
        <w:t xml:space="preserve">In addition, 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3"/>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4"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4"/>
    </w:p>
    <w:bookmarkEnd w:id="105"/>
    <w:bookmarkStart w:id="106"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6"/>
    <w:bookmarkEnd w:id="107"/>
    <w:bookmarkStart w:id="118"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8"/>
        </w:tc>
      </w:tr>
    </w:tbl>
    <w:bookmarkStart w:id="109"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09"/>
    <w:bookmarkStart w:id="112"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0"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0.043</w:t>
            </w:r>
          </w:p>
        </w:tc>
        <w:tc>
          <w:tcPr/>
          <w:p>
            <w:pPr>
              <w:pStyle w:val="Compact"/>
            </w:pPr>
            <w:r>
              <w:t xml:space="preserve">[-0.032, 0.117]</w:t>
            </w:r>
          </w:p>
        </w:tc>
        <w:tc>
          <w:tcPr/>
          <w:p>
            <w:pPr>
              <w:pStyle w:val="Compact"/>
            </w:pPr>
            <w:r>
              <w:t xml:space="preserve">0.876</w:t>
            </w:r>
          </w:p>
        </w:tc>
      </w:tr>
    </w:tbl>
    <w:bookmarkEnd w:id="110"/>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1"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81"/>
        <w:tblLayout w:type="fixed"/>
        <w:tblLook w:firstRow="1" w:lastRow="0" w:firstColumn="0" w:lastColumn="0" w:noHBand="0" w:noVBand="0" w:val="0020"/>
      </w:tblPr>
      <w:tblGrid>
        <w:gridCol w:w="2310"/>
        <w:gridCol w:w="77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2.68</w:t>
            </w:r>
          </w:p>
        </w:tc>
        <w:tc>
          <w:tcPr/>
          <w:p>
            <w:pPr>
              <w:pStyle w:val="Compact"/>
            </w:pPr>
            <w:r>
              <w:t xml:space="preserve">[-0.822, 6.583]</w:t>
            </w:r>
          </w:p>
        </w:tc>
        <w:tc>
          <w:tcPr/>
          <w:p>
            <w:pPr>
              <w:pStyle w:val="Compact"/>
            </w:pPr>
            <w:r>
              <w:t xml:space="preserve">0.93</w:t>
            </w:r>
          </w:p>
        </w:tc>
      </w:tr>
    </w:tbl>
    <w:bookmarkEnd w:id="111"/>
    <w:bookmarkEnd w:id="112"/>
    <w:bookmarkStart w:id="117"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6"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4" name="Picture"/>
            <a:graphic>
              <a:graphicData uri="http://schemas.openxmlformats.org/drawingml/2006/picture">
                <pic:pic>
                  <pic:nvPicPr>
                    <pic:cNvPr descr="ms_files/figure-docx/fig-zi-plot-1.png" id="115" name="Picture"/>
                    <pic:cNvPicPr>
                      <a:picLocks noChangeArrowheads="1" noChangeAspect="1"/>
                    </pic:cNvPicPr>
                  </pic:nvPicPr>
                  <pic:blipFill>
                    <a:blip r:embed="rId113"/>
                    <a:stretch>
                      <a:fillRect/>
                    </a:stretch>
                  </pic:blipFill>
                  <pic:spPr bwMode="auto">
                    <a:xfrm>
                      <a:off x="0" y="0"/>
                      <a:ext cx="5504749" cy="4403799"/>
                    </a:xfrm>
                    <a:prstGeom prst="rect">
                      <a:avLst/>
                    </a:prstGeom>
                    <a:noFill/>
                    <a:ln w="9525">
                      <a:noFill/>
                      <a:headEnd/>
                      <a:tailEnd/>
                    </a:ln>
                  </pic:spPr>
                </pic:pic>
              </a:graphicData>
            </a:graphic>
          </wp:inline>
        </w:drawing>
      </w:r>
    </w:p>
    <w:bookmarkEnd w:id="116"/>
    <w:bookmarkEnd w:id="117"/>
    <w:bookmarkEnd w:id="118"/>
    <w:bookmarkStart w:id="128"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19"/>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3"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1" name="Picture"/>
            <a:graphic>
              <a:graphicData uri="http://schemas.openxmlformats.org/drawingml/2006/picture">
                <pic:pic>
                  <pic:nvPicPr>
                    <pic:cNvPr descr="ms_files/figure-docx/fig-zoib-1.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bookmarkEnd w:id="123"/>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4"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4"/>
        </w:tc>
      </w:tr>
    </w:tbl>
    <w:bookmarkStart w:id="125"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5"/>
    <w:bookmarkStart w:id="127"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6"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6"/>
        </w:tc>
      </w:tr>
    </w:tbl>
    <w:bookmarkEnd w:id="127"/>
    <w:bookmarkEnd w:id="128"/>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29"/>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0"/>
      </w:r>
    </w:p>
    <w:bookmarkStart w:id="136"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lst-ordbeta"/>
          <w:p>
            <w:pPr>
              <w:jc w:val="center"/>
            </w:pPr>
            <w:pPr>
              <w:jc w:val="start"/>
              <w:spacing w:before="200"/>
              <w:pStyle w:val="ImageCaption"/>
            </w:pPr>
            <w:r>
              <w:t xml:space="preserve">Listing 17: Load {ordbetareg}</w:t>
            </w:r>
          </w:p>
          <w:p>
            <w:pPr>
              <w:pStyle w:val="SourceCode"/>
              <w:jc w:val="center"/>
            </w:pPr>
            <w:r>
              <w:rPr>
                <w:rStyle w:val="FunctionTok"/>
              </w:rPr>
              <w:t xml:space="preserve">library</w:t>
            </w:r>
            <w:r>
              <w:rPr>
                <w:rStyle w:val="NormalTok"/>
              </w:rPr>
              <w:t xml:space="preserve">(ordbetareg)</w:t>
            </w:r>
          </w:p>
          <w:bookmarkEnd w:id="131"/>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2"/>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3"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3"/>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4"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[-0.016, 0.133]</w:t>
            </w:r>
          </w:p>
        </w:tc>
        <w:tc>
          <w:tcPr/>
          <w:p>
            <w:pPr>
              <w:pStyle w:val="Compact"/>
            </w:pPr>
            <w:r>
              <w:t xml:space="preserve">0.945</w:t>
            </w:r>
          </w:p>
        </w:tc>
      </w:tr>
    </w:tbl>
    <w:bookmarkEnd w:id="134"/>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5"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[-3.54, -2.42]</w:t>
            </w:r>
          </w:p>
        </w:tc>
      </w:tr>
      <w:tr>
        <w:tc>
          <w:tcPr/>
          <w:p>
            <w:pPr>
              <w:pStyle w:val="Compact"/>
            </w:pPr>
            <w:r>
              <w:t xml:space="preserve">cutone</w:t>
            </w:r>
          </w:p>
        </w:tc>
        <w:tc>
          <w:tcPr/>
          <w:p>
            <w:pPr>
              <w:pStyle w:val="Compact"/>
            </w:pPr>
            <w:r>
              <w:t xml:space="preserve">1.85</w:t>
            </w:r>
          </w:p>
        </w:tc>
        <w:tc>
          <w:tcPr/>
          <w:p>
            <w:pPr>
              <w:pStyle w:val="Compact"/>
            </w:pPr>
            <w:r>
              <w:t xml:space="preserve">[1.65, 2.07]</w:t>
            </w:r>
          </w:p>
        </w:tc>
      </w:tr>
    </w:tbl>
    <w:bookmarkEnd w:id="135"/>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6"/>
    <w:bookmarkStart w:id="14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0"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8" name="Picture"/>
            <a:graphic>
              <a:graphicData uri="http://schemas.openxmlformats.org/drawingml/2006/picture">
                <pic:pic>
                  <pic:nvPicPr>
                    <pic:cNvPr descr="ms_files/figure-docx/fig-ppcheckord-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1"/>
    <w:bookmarkStart w:id="146"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5"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3" name="Picture"/>
            <a:graphic>
              <a:graphicData uri="http://schemas.openxmlformats.org/drawingml/2006/picture">
                <pic:pic>
                  <pic:nvPicPr>
                    <pic:cNvPr descr="ms_files/figure-docx/fig-heiss-1.png" id="144" name="Picture"/>
                    <pic:cNvPicPr>
                      <a:picLocks noChangeArrowheads="1" noChangeAspect="1"/>
                    </pic:cNvPicPr>
                  </pic:nvPicPr>
                  <pic:blipFill>
                    <a:blip r:embed="rId142"/>
                    <a:stretch>
                      <a:fillRect/>
                    </a:stretch>
                  </pic:blipFill>
                  <pic:spPr bwMode="auto">
                    <a:xfrm>
                      <a:off x="0" y="0"/>
                      <a:ext cx="5504749" cy="4403799"/>
                    </a:xfrm>
                    <a:prstGeom prst="rect">
                      <a:avLst/>
                    </a:prstGeom>
                    <a:noFill/>
                    <a:ln w="9525">
                      <a:noFill/>
                      <a:headEnd/>
                      <a:tailEnd/>
                    </a:ln>
                  </pic:spPr>
                </pic:pic>
              </a:graphicData>
            </a:graphic>
          </wp:inline>
        </w:drawing>
      </w:r>
    </w:p>
    <w:bookmarkEnd w:id="145"/>
    <w:bookmarkEnd w:id="146"/>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7"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-0.829</w:t>
            </w:r>
          </w:p>
        </w:tc>
        <w:tc>
          <w:tcPr/>
          <w:p>
            <w:pPr>
              <w:pStyle w:val="Compact"/>
            </w:pPr>
            <w:r>
              <w:t xml:space="preserve">-0.832</w:t>
            </w:r>
          </w:p>
        </w:tc>
        <w:tc>
          <w:tcPr/>
          <w:p>
            <w:pPr>
              <w:pStyle w:val="Compact"/>
            </w:pPr>
            <w:r>
              <w:t xml:space="preserve">-0.864</w:t>
            </w:r>
          </w:p>
        </w:tc>
      </w:tr>
      <w:tr>
        <w:tc>
          <w:tcPr/>
          <w:p>
            <w:pPr>
              <w:pStyle w:val="Compact"/>
            </w:pPr>
          </w:p>
        </w:tc>
        <w:tc>
          <w:tcPr/>
          <w:p>
            <w:pPr>
              <w:pStyle w:val="Compact"/>
            </w:pPr>
            <w:r>
              <w:rPr>
                <w:i/>
                <w:iCs/>
              </w:rPr>
              <w:t xml:space="preserve">Cr.I</w:t>
            </w:r>
          </w:p>
        </w:tc>
        <w:tc>
          <w:tcPr/>
          <w:p>
            <w:pPr>
              <w:pStyle w:val="Compact"/>
            </w:pPr>
            <w:r>
              <w:rPr>
                <w:i/>
                <w:iCs/>
              </w:rPr>
              <w:t xml:space="preserve">[0.2, 0.314]</w:t>
            </w:r>
          </w:p>
        </w:tc>
        <w:tc>
          <w:tcPr/>
          <w:p>
            <w:pPr>
              <w:pStyle w:val="Compact"/>
            </w:pPr>
            <w:r>
              <w:rPr>
                <w:i/>
                <w:iCs/>
              </w:rPr>
              <w:t xml:space="preserve">[-1.078, -0.576]</w:t>
            </w:r>
          </w:p>
        </w:tc>
        <w:tc>
          <w:tcPr/>
          <w:p>
            <w:pPr>
              <w:pStyle w:val="Compact"/>
            </w:pPr>
            <w:r>
              <w:rPr>
                <w:i/>
                <w:iCs/>
              </w:rPr>
              <w:t xml:space="preserve">[-1.099, -0.55]</w:t>
            </w:r>
          </w:p>
        </w:tc>
        <w:tc>
          <w:tcPr/>
          <w:p>
            <w:pPr>
              <w:pStyle w:val="Compact"/>
            </w:pPr>
            <w:r>
              <w:rPr>
                <w:i/>
                <w:iCs/>
              </w:rPr>
              <w:t xml:space="preserve">[-1.093, -0.566]</w:t>
            </w:r>
          </w:p>
        </w:tc>
        <w:tc>
          <w:tcPr/>
          <w:p>
            <w:pPr>
              <w:pStyle w:val="Compact"/>
            </w:pPr>
            <w:r>
              <w:rPr>
                <w:i/>
                <w:iCs/>
              </w:rPr>
              <w:t xml:space="preserve">[-1.111, -0.606]</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0.203</w:t>
            </w:r>
          </w:p>
        </w:tc>
        <w:tc>
          <w:tcPr/>
          <w:p>
            <w:pPr>
              <w:pStyle w:val="Compact"/>
            </w:pPr>
            <w:r>
              <w:t xml:space="preserve">0.200</w:t>
            </w:r>
          </w:p>
        </w:tc>
        <w:tc>
          <w:tcPr/>
          <w:p>
            <w:pPr>
              <w:pStyle w:val="Compact"/>
            </w:pPr>
            <w:r>
              <w:t xml:space="preserve">0.201</w:t>
            </w:r>
          </w:p>
        </w:tc>
        <w:tc>
          <w:tcPr/>
          <w:p>
            <w:pPr>
              <w:pStyle w:val="Compact"/>
            </w:pPr>
            <w:r>
              <w:t xml:space="preserve">0.260</w:t>
            </w:r>
          </w:p>
        </w:tc>
      </w:tr>
      <w:tr>
        <w:tc>
          <w:tcPr/>
          <w:p>
            <w:pPr>
              <w:pStyle w:val="Compact"/>
            </w:pPr>
          </w:p>
        </w:tc>
        <w:tc>
          <w:tcPr/>
          <w:p>
            <w:pPr>
              <w:pStyle w:val="Compact"/>
            </w:pPr>
            <w:r>
              <w:rPr>
                <w:i/>
                <w:iCs/>
              </w:rPr>
              <w:t xml:space="preserve">Cr.I</w:t>
            </w:r>
          </w:p>
        </w:tc>
        <w:tc>
          <w:tcPr/>
          <w:p>
            <w:pPr>
              <w:pStyle w:val="Compact"/>
            </w:pPr>
            <w:r>
              <w:rPr>
                <w:i/>
                <w:iCs/>
              </w:rPr>
              <w:t xml:space="preserve">[0.002, 0.17]</w:t>
            </w:r>
          </w:p>
        </w:tc>
        <w:tc>
          <w:tcPr/>
          <w:p>
            <w:pPr>
              <w:pStyle w:val="Compact"/>
            </w:pPr>
            <w:r>
              <w:rPr>
                <w:i/>
                <w:iCs/>
              </w:rPr>
              <w:t xml:space="preserve">[-0.135, 0.536]</w:t>
            </w:r>
          </w:p>
        </w:tc>
        <w:tc>
          <w:tcPr/>
          <w:p>
            <w:pPr>
              <w:pStyle w:val="Compact"/>
            </w:pPr>
            <w:r>
              <w:rPr>
                <w:i/>
                <w:iCs/>
              </w:rPr>
              <w:t xml:space="preserve">[-0.144, 0.544]</w:t>
            </w:r>
          </w:p>
        </w:tc>
        <w:tc>
          <w:tcPr/>
          <w:p>
            <w:pPr>
              <w:pStyle w:val="Compact"/>
            </w:pPr>
            <w:r>
              <w:rPr>
                <w:i/>
                <w:iCs/>
              </w:rPr>
              <w:t xml:space="preserve">[-0.156, 0.552]</w:t>
            </w:r>
          </w:p>
        </w:tc>
        <w:tc>
          <w:tcPr/>
          <w:p>
            <w:pPr>
              <w:pStyle w:val="Compact"/>
            </w:pPr>
            <w:r>
              <w:rPr>
                <w:i/>
                <w:iCs/>
              </w:rPr>
              <w:t xml:space="preserve">[-0.066, 0.575]</w:t>
            </w:r>
          </w:p>
        </w:tc>
      </w:tr>
      <w:tr>
        <w:tc>
          <w:tcPr/>
          <w:p>
            <w:pPr>
              <w:pStyle w:val="Compact"/>
            </w:pPr>
          </w:p>
        </w:tc>
        <w:tc>
          <w:tcPr/>
          <w:p>
            <w:pPr>
              <w:pStyle w:val="Compact"/>
            </w:pPr>
            <w:r>
              <w:rPr>
                <w:i/>
                <w:iCs/>
              </w:rPr>
              <w:t xml:space="preserve">pd</w:t>
            </w:r>
          </w:p>
        </w:tc>
        <w:tc>
          <w:tcPr/>
          <w:p>
            <w:pPr>
              <w:pStyle w:val="Compact"/>
            </w:pPr>
            <w:r>
              <w:t xml:space="preserve">_0.977*_</w:t>
            </w:r>
          </w:p>
        </w:tc>
        <w:tc>
          <w:tcPr/>
          <w:p>
            <w:pPr>
              <w:pStyle w:val="Compact"/>
            </w:pPr>
            <w:r>
              <w:rPr>
                <w:i/>
                <w:iCs/>
              </w:rPr>
              <w:t xml:space="preserve">0.884</w:t>
            </w:r>
          </w:p>
        </w:tc>
        <w:tc>
          <w:tcPr/>
          <w:p>
            <w:pPr>
              <w:pStyle w:val="Compact"/>
            </w:pPr>
            <w:r>
              <w:rPr>
                <w:i/>
                <w:iCs/>
              </w:rPr>
              <w:t xml:space="preserve">0.876</w:t>
            </w:r>
          </w:p>
        </w:tc>
        <w:tc>
          <w:tcPr/>
          <w:p>
            <w:pPr>
              <w:pStyle w:val="Compact"/>
            </w:pPr>
            <w:r>
              <w:rPr>
                <w:i/>
                <w:iCs/>
              </w:rPr>
              <w:t xml:space="preserve">0.879</w:t>
            </w:r>
          </w:p>
        </w:tc>
        <w:tc>
          <w:tcPr/>
          <w:p>
            <w:pPr>
              <w:pStyle w:val="Compact"/>
            </w:pPr>
            <w:r>
              <w:rPr>
                <w:i/>
                <w:iCs/>
              </w:rPr>
              <w:t xml:space="preserve">0.945</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[0.181,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1.605</w:t>
            </w:r>
          </w:p>
        </w:tc>
        <w:tc>
          <w:tcPr/>
          <w:p>
            <w:pPr>
              <w:pStyle w:val="Compact"/>
            </w:pPr>
            <w:r>
              <w:t xml:space="preserve">1.602</w:t>
            </w:r>
          </w:p>
        </w:tc>
        <w:tc>
          <w:tcPr/>
          <w:p>
            <w:pPr>
              <w:pStyle w:val="Compact"/>
            </w:pPr>
            <w:r>
              <w:t xml:space="preserve">1.601</w:t>
            </w:r>
          </w:p>
        </w:tc>
        <w:tc>
          <w:tcPr/>
          <w:p>
            <w:pPr>
              <w:pStyle w:val="Compact"/>
            </w:pPr>
            <w:r>
              <w:t xml:space="preserve">1.614</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1.988]</w:t>
            </w:r>
          </w:p>
        </w:tc>
        <w:tc>
          <w:tcPr/>
          <w:p>
            <w:pPr>
              <w:pStyle w:val="Compact"/>
            </w:pPr>
            <w:r>
              <w:rPr>
                <w:i/>
                <w:iCs/>
              </w:rPr>
              <w:t xml:space="preserve">[1.189, 2]</w:t>
            </w:r>
          </w:p>
        </w:tc>
        <w:tc>
          <w:tcPr/>
          <w:p>
            <w:pPr>
              <w:pStyle w:val="Compact"/>
            </w:pPr>
            <w:r>
              <w:rPr>
                <w:i/>
                <w:iCs/>
              </w:rPr>
              <w:t xml:space="preserve">[1.185, 1.993]</w:t>
            </w:r>
          </w:p>
        </w:tc>
        <w:tc>
          <w:tcPr/>
          <w:p>
            <w:pPr>
              <w:pStyle w:val="Compact"/>
            </w:pPr>
            <w:r>
              <w:rPr>
                <w:i/>
                <w:iCs/>
              </w:rPr>
              <w:t xml:space="preserve">[1.22, 1.979]</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0.424</w:t>
            </w:r>
          </w:p>
        </w:tc>
        <w:tc>
          <w:tcPr/>
          <w:p>
            <w:pPr>
              <w:pStyle w:val="Compact"/>
            </w:pPr>
            <w:r>
              <w:t xml:space="preserve">0.427</w:t>
            </w:r>
          </w:p>
        </w:tc>
        <w:tc>
          <w:tcPr/>
          <w:p>
            <w:pPr>
              <w:pStyle w:val="Compact"/>
            </w:pPr>
            <w:r>
              <w:t xml:space="preserve">0.403</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[-0.131, 0.971]</w:t>
            </w:r>
          </w:p>
        </w:tc>
        <w:tc>
          <w:tcPr/>
          <w:p>
            <w:pPr>
              <w:pStyle w:val="Compact"/>
            </w:pPr>
            <w:r>
              <w:rPr>
                <w:i/>
                <w:iCs/>
              </w:rPr>
              <w:t xml:space="preserve">[-0.137, 0.993]</w:t>
            </w:r>
          </w:p>
        </w:tc>
        <w:tc>
          <w:tcPr/>
          <w:p>
            <w:pPr>
              <w:pStyle w:val="Compact"/>
            </w:pPr>
            <w:r>
              <w:rPr>
                <w:i/>
                <w:iCs/>
              </w:rPr>
              <w:t xml:space="preserve">[-0.154, 1.006]</w:t>
            </w:r>
          </w:p>
        </w:tc>
        <w:tc>
          <w:tcPr/>
          <w:p>
            <w:pPr>
              <w:pStyle w:val="Compact"/>
            </w:pPr>
            <w:r>
              <w:rPr>
                <w:i/>
                <w:iCs/>
              </w:rPr>
              <w:t xml:space="preserve">[-0.152, 0.965]</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0.928</w:t>
            </w:r>
          </w:p>
        </w:tc>
        <w:tc>
          <w:tcPr/>
          <w:p>
            <w:pPr>
              <w:pStyle w:val="Compact"/>
            </w:pPr>
            <w:r>
              <w:rPr>
                <w:i/>
                <w:iCs/>
              </w:rPr>
              <w:t xml:space="preserve">0.930</w:t>
            </w:r>
          </w:p>
        </w:tc>
        <w:tc>
          <w:tcPr/>
          <w:p>
            <w:pPr>
              <w:pStyle w:val="Compact"/>
            </w:pPr>
            <w:r>
              <w:rPr>
                <w:i/>
                <w:iCs/>
              </w:rPr>
              <w:t xml:space="preserve">0.925</w:t>
            </w:r>
          </w:p>
        </w:tc>
        <w:tc>
          <w:tcPr/>
          <w:p>
            <w:pPr>
              <w:pStyle w:val="Compact"/>
            </w:pPr>
            <w:r>
              <w:rPr>
                <w:i/>
                <w:iCs/>
              </w:rPr>
              <w:t xml:space="preserve">0.917</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-1.668</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[-2.47, -0.945]</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-2.133</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[-4.786, -0.327]</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-1.546</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[-2.279, -0.871]</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-2.245</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[-4.674, -0.473]</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_0.996***_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-2.076</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[-4.602, -0.286]</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_0.990**_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0.356</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[-6.271, 5.905]</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0.579</w:t>
            </w:r>
          </w:p>
        </w:tc>
        <w:tc>
          <w:tcPr/>
          <w:p>
            <w:pPr>
              <w:pStyle w:val="Compact"/>
            </w:pPr>
            <w:r>
              <w:rPr>
                <w:i/>
                <w:iCs/>
              </w:rPr>
              <w:t xml:space="preserve">-</w:t>
            </w:r>
          </w:p>
        </w:tc>
      </w:tr>
    </w:tbl>
    <w:bookmarkEnd w:id="147"/>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1"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ZIB (C) and ZOIB (D).</w:t>
      </w:r>
    </w:p>
    <w:p>
      <w:pPr>
        <w:pStyle w:val="FigureWithoutNote"/>
      </w:pPr>
      <w:r>
        <w:drawing>
          <wp:inline>
            <wp:extent cx="5943600" cy="4754880"/>
            <wp:effectExtent b="0" l="0" r="0" t="0"/>
            <wp:docPr descr="" title="" id="149" name="Picture"/>
            <a:graphic>
              <a:graphicData uri="http://schemas.openxmlformats.org/drawingml/2006/picture">
                <pic:pic>
                  <pic:nvPicPr>
                    <pic:cNvPr descr="ms_files/figure-docx/fig-ppcheckall-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 using the {marginaleffects} package.</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19">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29">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0">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2" Target="media/rId142.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8" Target="media/rId148.png" /><Relationship Type="http://schemas.openxmlformats.org/officeDocument/2006/relationships/image" Id="rId137" Target="media/rId137.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11263</vt:lpwstr>
  </property>
  <property fmtid="{D5CDD505-2E9C-101B-9397-08002B2CF9AE}" pid="66" name="zerocitations">
    <vt:lpwstr>False</vt:lpwstr>
  </property>
</Properties>
</file>