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bookmarkStart w:id="21" w:name="introduction"/>
    <w:p>
      <w:pPr>
        <w:pStyle w:val="Heading1"/>
      </w:pPr>
      <w:r>
        <w:rPr>
          <w:rStyle w:val="SectionNumber"/>
        </w:rPr>
        <w:t xml:space="preserve">1</w:t>
      </w:r>
      <w:r>
        <w:tab/>
      </w:r>
      <w:r>
        <w:t xml:space="preserve">Introduction</w:t>
      </w:r>
    </w:p>
    <w:bookmarkStart w:id="20" w:name="data"/>
    <w:p>
      <w:pPr>
        <w:pStyle w:val="Heading2"/>
      </w:pPr>
      <w:r>
        <w:rPr>
          <w:rStyle w:val="SectionNumber"/>
        </w:rPr>
        <w:t xml:space="preserve">1.1</w:t>
      </w:r>
      <w:r>
        <w:tab/>
      </w:r>
      <w:r>
        <w:t xml:space="preserve">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"data/class_wide_1.csv"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bookmarkEnd w:id="20"/>
    <w:bookmarkEnd w:id="21"/>
    <w:bookmarkStart w:id="30" w:name="clustering"/>
    <w:p>
      <w:pPr>
        <w:pStyle w:val="Heading1"/>
      </w:pPr>
      <w:r>
        <w:rPr>
          <w:rStyle w:val="SectionNumber"/>
        </w:rPr>
        <w:t xml:space="preserve">2</w:t>
      </w:r>
      <w:r>
        <w:tab/>
      </w:r>
      <w:r>
        <w:t xml:space="preserve">Clustering</w:t>
      </w:r>
    </w:p>
    <w:bookmarkStart w:id="29" w:name="introduction-1"/>
    <w:p>
      <w:pPr>
        <w:pStyle w:val="Heading2"/>
      </w:pPr>
      <w:r>
        <w:rPr>
          <w:rStyle w:val="SectionNumber"/>
        </w:rPr>
        <w:t xml:space="preserve">2.1</w:t>
      </w:r>
      <w:r>
        <w:tab/>
      </w:r>
      <w:r>
        <w:t xml:space="preserve">Introduction</w:t>
      </w:r>
    </w:p>
    <w:p>
      <w:pPr>
        <w:pStyle w:val="FirstParagraph"/>
      </w:pPr>
      <w:r>
        <w:t xml:space="preserve">In this task, individuals heard spoken speech tokens and freely classified them into groups. Using hierarchical clustering we aim to see what clusters or groups appear as a result of the free classification task.</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p>
    <w:bookmarkStart w:id="22" w:name="data-preparation"/>
    <w:p>
      <w:pPr>
        <w:pStyle w:val="Heading3"/>
      </w:pPr>
      <w:r>
        <w:rPr>
          <w:rStyle w:val="SectionNumber"/>
        </w:rPr>
        <w:t xml:space="preserve">2.1.1</w:t>
      </w:r>
      <w:r>
        <w:tab/>
      </w:r>
      <w:r>
        <w:t xml:space="preserve">Data Preparation</w:t>
      </w:r>
    </w:p>
    <w:p>
      <w:pPr>
        <w:numPr>
          <w:ilvl w:val="0"/>
          <w:numId w:val="1001"/>
        </w:numPr>
        <w:pStyle w:val="Compact"/>
      </w:pPr>
      <w:r>
        <w:t xml:space="preserve">Rows are observations (individuals) and columns are variables</w:t>
      </w:r>
    </w:p>
    <w:p>
      <w:pPr>
        <w:numPr>
          <w:ilvl w:val="0"/>
          <w:numId w:val="1001"/>
        </w:numPr>
        <w:pStyle w:val="Compact"/>
      </w:pPr>
      <w:r>
        <w:t xml:space="preserve">Any missing value in the data must be removed or estimated.</w:t>
      </w:r>
    </w:p>
    <w:p>
      <w:pPr>
        <w:numPr>
          <w:ilvl w:val="0"/>
          <w:numId w:val="1001"/>
        </w:numPr>
        <w:pStyle w:val="Compact"/>
      </w:pPr>
      <w:r>
        <w:t xml:space="preserve">The data must be standardized (i.e., scaled) to make variables comparable (I am not doing this here)</w:t>
      </w:r>
    </w:p>
    <w:bookmarkEnd w:id="22"/>
    <w:bookmarkStart w:id="23" w:name="read-in-the-data"/>
    <w:p>
      <w:pPr>
        <w:pStyle w:val="Heading3"/>
      </w:pPr>
      <w:r>
        <w:rPr>
          <w:rStyle w:val="SectionNumber"/>
        </w:rPr>
        <w:t xml:space="preserve">2.1.2</w:t>
      </w:r>
      <w:r>
        <w:tab/>
      </w:r>
      <w:r>
        <w:t xml:space="preserve">Read in the data</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p>
    <w:tbl>
      <w:tblPr>
        <w:tblStyle w:val="Table"/>
        <w:tblW w:type="pct" w:w="4999.999999999996"/>
        <w:tblLook w:firstRow="1" w:lastRow="0" w:firstColumn="0" w:lastColumn="0" w:noHBand="0" w:noVBand="0"/>
      </w:tblPr>
      <w:tblGrid>
        <w:gridCol w:w="324"/>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tblGrid>
      <w:tr>
        <w:trPr>
          <w:cnfStyle w:firstRow="1"/>
        </w:trPr>
        <w:tc>
          <w:tcPr>
            <w:tcBorders>
              <w:bottom w:val="single"/>
            </w:tcBorders>
            <w:vAlign w:val="bottom"/>
          </w:tcP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78</w:t>
            </w:r>
          </w:p>
        </w:tc>
        <w:tc>
          <w:tcPr>
            <w:tcBorders>
              <w:bottom w:val="single"/>
            </w:tcBorders>
            <w:vAlign w:val="bottom"/>
          </w:tcPr>
          <w:p>
            <w:pPr>
              <w:pStyle w:val="Compact"/>
              <w:jc w:val="right"/>
            </w:pPr>
            <w:r>
              <w:t xml:space="preserve">87</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91</w:t>
            </w:r>
          </w:p>
        </w:tc>
        <w:tc>
          <w:tcPr>
            <w:tcBorders>
              <w:bottom w:val="single"/>
            </w:tcBorders>
            <w:vAlign w:val="bottom"/>
          </w:tcPr>
          <w:p>
            <w:pPr>
              <w:pStyle w:val="Compact"/>
              <w:jc w:val="right"/>
            </w:pPr>
            <w:r>
              <w:t xml:space="preserve">96</w:t>
            </w:r>
          </w:p>
        </w:tc>
        <w:tc>
          <w:tcPr>
            <w:tcBorders>
              <w:bottom w:val="single"/>
            </w:tcBorders>
            <w:vAlign w:val="bottom"/>
          </w:tcPr>
          <w:p>
            <w:pPr>
              <w:pStyle w:val="Compact"/>
              <w:jc w:val="right"/>
            </w:pPr>
            <w:r>
              <w:t xml:space="preserve">105</w:t>
            </w:r>
          </w:p>
        </w:tc>
        <w:tc>
          <w:tcPr>
            <w:tcBorders>
              <w:bottom w:val="single"/>
            </w:tcBorders>
            <w:vAlign w:val="bottom"/>
          </w:tcPr>
          <w:p>
            <w:pPr>
              <w:pStyle w:val="Compact"/>
              <w:jc w:val="right"/>
            </w:pPr>
            <w:r>
              <w:t xml:space="preserve">110</w:t>
            </w:r>
          </w:p>
        </w:tc>
        <w:tc>
          <w:tcPr>
            <w:tcBorders>
              <w:bottom w:val="single"/>
            </w:tcBorders>
            <w:vAlign w:val="bottom"/>
          </w:tcPr>
          <w:p>
            <w:pPr>
              <w:pStyle w:val="Compact"/>
              <w:jc w:val="right"/>
            </w:pPr>
            <w:r>
              <w:t xml:space="preserve">111</w:t>
            </w:r>
          </w:p>
        </w:tc>
        <w:tc>
          <w:tcPr>
            <w:tcBorders>
              <w:bottom w:val="single"/>
            </w:tcBorders>
            <w:vAlign w:val="bottom"/>
          </w:tcPr>
          <w:p>
            <w:pPr>
              <w:pStyle w:val="Compact"/>
              <w:jc w:val="right"/>
            </w:pPr>
            <w:r>
              <w:t xml:space="preserve">115</w:t>
            </w:r>
          </w:p>
        </w:tc>
        <w:tc>
          <w:tcPr>
            <w:tcBorders>
              <w:bottom w:val="single"/>
            </w:tcBorders>
            <w:vAlign w:val="bottom"/>
          </w:tcPr>
          <w:p>
            <w:pPr>
              <w:pStyle w:val="Compact"/>
              <w:jc w:val="right"/>
            </w:pPr>
            <w:r>
              <w:t xml:space="preserve">121</w:t>
            </w:r>
          </w:p>
        </w:tc>
        <w:tc>
          <w:tcPr>
            <w:tcBorders>
              <w:bottom w:val="single"/>
            </w:tcBorders>
            <w:vAlign w:val="bottom"/>
          </w:tcPr>
          <w:p>
            <w:pPr>
              <w:pStyle w:val="Compact"/>
              <w:jc w:val="right"/>
            </w:pPr>
            <w:r>
              <w:t xml:space="preserve">123</w:t>
            </w:r>
          </w:p>
        </w:tc>
        <w:tc>
          <w:tcPr>
            <w:tcBorders>
              <w:bottom w:val="single"/>
            </w:tcBorders>
            <w:vAlign w:val="bottom"/>
          </w:tcPr>
          <w:p>
            <w:pPr>
              <w:pStyle w:val="Compact"/>
              <w:jc w:val="right"/>
            </w:pPr>
            <w:r>
              <w:t xml:space="preserve">125</w:t>
            </w:r>
          </w:p>
        </w:tc>
        <w:tc>
          <w:tcPr>
            <w:tcBorders>
              <w:bottom w:val="single"/>
            </w:tcBorders>
            <w:vAlign w:val="bottom"/>
          </w:tcPr>
          <w:p>
            <w:pPr>
              <w:pStyle w:val="Compact"/>
              <w:jc w:val="right"/>
            </w:pPr>
            <w:r>
              <w:t xml:space="preserve">132</w:t>
            </w:r>
          </w:p>
        </w:tc>
        <w:tc>
          <w:tcPr>
            <w:tcBorders>
              <w:bottom w:val="single"/>
            </w:tcBorders>
            <w:vAlign w:val="bottom"/>
          </w:tcPr>
          <w:p>
            <w:pPr>
              <w:pStyle w:val="Compact"/>
              <w:jc w:val="right"/>
            </w:pPr>
            <w:r>
              <w:t xml:space="preserve">133</w:t>
            </w:r>
          </w:p>
        </w:tc>
        <w:tc>
          <w:tcPr>
            <w:tcBorders>
              <w:bottom w:val="single"/>
            </w:tcBorders>
            <w:vAlign w:val="bottom"/>
          </w:tcPr>
          <w:p>
            <w:pPr>
              <w:pStyle w:val="Compact"/>
              <w:jc w:val="right"/>
            </w:pPr>
            <w:r>
              <w:t xml:space="preserve">135</w:t>
            </w:r>
          </w:p>
        </w:tc>
        <w:tc>
          <w:tcPr>
            <w:tcBorders>
              <w:bottom w:val="single"/>
            </w:tcBorders>
            <w:vAlign w:val="bottom"/>
          </w:tcPr>
          <w:p>
            <w:pPr>
              <w:pStyle w:val="Compact"/>
              <w:jc w:val="right"/>
            </w:pPr>
            <w:r>
              <w:t xml:space="preserve">148</w:t>
            </w:r>
          </w:p>
        </w:tc>
        <w:tc>
          <w:tcPr>
            <w:tcBorders>
              <w:bottom w:val="single"/>
            </w:tcBorders>
            <w:vAlign w:val="bottom"/>
          </w:tcPr>
          <w:p>
            <w:pPr>
              <w:pStyle w:val="Compact"/>
              <w:jc w:val="right"/>
            </w:pPr>
            <w:r>
              <w:t xml:space="preserve">151</w:t>
            </w:r>
          </w:p>
        </w:tc>
        <w:tc>
          <w:tcPr>
            <w:tcBorders>
              <w:bottom w:val="single"/>
            </w:tcBorders>
            <w:vAlign w:val="bottom"/>
          </w:tcPr>
          <w:p>
            <w:pPr>
              <w:pStyle w:val="Compact"/>
              <w:jc w:val="right"/>
            </w:pPr>
            <w:r>
              <w:t xml:space="preserve">152</w:t>
            </w:r>
          </w:p>
        </w:tc>
        <w:tc>
          <w:tcPr>
            <w:tcBorders>
              <w:bottom w:val="single"/>
            </w:tcBorders>
            <w:vAlign w:val="bottom"/>
          </w:tcPr>
          <w:p>
            <w:pPr>
              <w:pStyle w:val="Compact"/>
              <w:jc w:val="right"/>
            </w:pPr>
            <w:r>
              <w:t xml:space="preserve">153</w:t>
            </w:r>
          </w:p>
        </w:tc>
        <w:tc>
          <w:tcPr>
            <w:tcBorders>
              <w:bottom w:val="single"/>
            </w:tcBorders>
            <w:vAlign w:val="bottom"/>
          </w:tcPr>
          <w:p>
            <w:pPr>
              <w:pStyle w:val="Compact"/>
              <w:jc w:val="right"/>
            </w:pPr>
            <w:r>
              <w:t xml:space="preserve">155</w:t>
            </w:r>
          </w:p>
        </w:tc>
        <w:tc>
          <w:tcPr>
            <w:tcBorders>
              <w:bottom w:val="single"/>
            </w:tcBorders>
            <w:vAlign w:val="bottom"/>
          </w:tcPr>
          <w:p>
            <w:pPr>
              <w:pStyle w:val="Compact"/>
              <w:jc w:val="right"/>
            </w:pPr>
            <w:r>
              <w:t xml:space="preserve">156</w:t>
            </w:r>
          </w:p>
        </w:tc>
        <w:tc>
          <w:tcPr>
            <w:tcBorders>
              <w:bottom w:val="single"/>
            </w:tcBorders>
            <w:vAlign w:val="bottom"/>
          </w:tcPr>
          <w:p>
            <w:pPr>
              <w:pStyle w:val="Compact"/>
              <w:jc w:val="right"/>
            </w:pPr>
            <w:r>
              <w:t xml:space="preserve">157</w:t>
            </w:r>
          </w:p>
        </w:tc>
        <w:tc>
          <w:tcPr>
            <w:tcBorders>
              <w:bottom w:val="single"/>
            </w:tcBorders>
            <w:vAlign w:val="bottom"/>
          </w:tcPr>
          <w:p>
            <w:pPr>
              <w:pStyle w:val="Compact"/>
              <w:jc w:val="right"/>
            </w:pPr>
            <w:r>
              <w:t xml:space="preserve">158</w:t>
            </w:r>
          </w:p>
        </w:tc>
        <w:tc>
          <w:tcPr>
            <w:tcBorders>
              <w:bottom w:val="single"/>
            </w:tcBorders>
            <w:vAlign w:val="bottom"/>
          </w:tcPr>
          <w:p>
            <w:pPr>
              <w:pStyle w:val="Compact"/>
              <w:jc w:val="right"/>
            </w:pPr>
            <w:r>
              <w:t xml:space="preserve">159</w:t>
            </w:r>
          </w:p>
        </w:tc>
        <w:tc>
          <w:tcPr>
            <w:tcBorders>
              <w:bottom w:val="single"/>
            </w:tcBorders>
            <w:vAlign w:val="bottom"/>
          </w:tcPr>
          <w:p>
            <w:pPr>
              <w:pStyle w:val="Compact"/>
              <w:jc w:val="right"/>
            </w:pPr>
            <w:r>
              <w:t xml:space="preserve">160</w:t>
            </w:r>
          </w:p>
        </w:tc>
        <w:tc>
          <w:tcPr>
            <w:tcBorders>
              <w:bottom w:val="single"/>
            </w:tcBorders>
            <w:vAlign w:val="bottom"/>
          </w:tcPr>
          <w:p>
            <w:pPr>
              <w:pStyle w:val="Compact"/>
              <w:jc w:val="right"/>
            </w:pPr>
            <w:r>
              <w:t xml:space="preserve">161</w:t>
            </w:r>
          </w:p>
        </w:tc>
        <w:tc>
          <w:tcPr>
            <w:tcBorders>
              <w:bottom w:val="single"/>
            </w:tcBorders>
            <w:vAlign w:val="bottom"/>
          </w:tcPr>
          <w:p>
            <w:pPr>
              <w:pStyle w:val="Compact"/>
              <w:jc w:val="right"/>
            </w:pPr>
            <w:r>
              <w:t xml:space="preserve">162</w:t>
            </w:r>
          </w:p>
        </w:tc>
        <w:tc>
          <w:tcPr>
            <w:tcBorders>
              <w:bottom w:val="single"/>
            </w:tcBorders>
            <w:vAlign w:val="bottom"/>
          </w:tcPr>
          <w:p>
            <w:pPr>
              <w:pStyle w:val="Compact"/>
              <w:jc w:val="right"/>
            </w:pPr>
            <w:r>
              <w:t xml:space="preserve">163</w:t>
            </w:r>
          </w:p>
        </w:tc>
        <w:tc>
          <w:tcPr>
            <w:tcBorders>
              <w:bottom w:val="single"/>
            </w:tcBorders>
            <w:vAlign w:val="bottom"/>
          </w:tcPr>
          <w:p>
            <w:pPr>
              <w:pStyle w:val="Compact"/>
              <w:jc w:val="right"/>
            </w:pPr>
            <w:r>
              <w:t xml:space="preserve">164</w:t>
            </w:r>
          </w:p>
        </w:tc>
        <w:tc>
          <w:tcPr>
            <w:tcBorders>
              <w:bottom w:val="single"/>
            </w:tcBorders>
            <w:vAlign w:val="bottom"/>
          </w:tcPr>
          <w:p>
            <w:pPr>
              <w:pStyle w:val="Compact"/>
              <w:jc w:val="right"/>
            </w:pPr>
            <w:r>
              <w:t xml:space="preserve">165</w:t>
            </w:r>
          </w:p>
        </w:tc>
        <w:tc>
          <w:tcPr>
            <w:tcBorders>
              <w:bottom w:val="single"/>
            </w:tcBorders>
            <w:vAlign w:val="bottom"/>
          </w:tcPr>
          <w:p>
            <w:pPr>
              <w:pStyle w:val="Compact"/>
              <w:jc w:val="right"/>
            </w:pPr>
            <w:r>
              <w:t xml:space="preserve">166</w:t>
            </w:r>
          </w:p>
        </w:tc>
        <w:tc>
          <w:tcPr>
            <w:tcBorders>
              <w:bottom w:val="single"/>
            </w:tcBorders>
            <w:vAlign w:val="bottom"/>
          </w:tcPr>
          <w:p>
            <w:pPr>
              <w:pStyle w:val="Compact"/>
              <w:jc w:val="right"/>
            </w:pPr>
            <w:r>
              <w:t xml:space="preserve">167</w:t>
            </w:r>
          </w:p>
        </w:tc>
        <w:tc>
          <w:tcPr>
            <w:tcBorders>
              <w:bottom w:val="single"/>
            </w:tcBorders>
            <w:vAlign w:val="bottom"/>
          </w:tcPr>
          <w:p>
            <w:pPr>
              <w:pStyle w:val="Compact"/>
              <w:jc w:val="right"/>
            </w:pPr>
            <w:r>
              <w:t xml:space="preserve">168</w:t>
            </w:r>
          </w:p>
        </w:tc>
        <w:tc>
          <w:tcPr>
            <w:tcBorders>
              <w:bottom w:val="single"/>
            </w:tcBorders>
            <w:vAlign w:val="bottom"/>
          </w:tcPr>
          <w:p>
            <w:pPr>
              <w:pStyle w:val="Compact"/>
              <w:jc w:val="right"/>
            </w:pPr>
            <w:r>
              <w:t xml:space="preserve">169</w:t>
            </w:r>
          </w:p>
        </w:tc>
      </w:tr>
      <w:tr>
        <w:tc>
          <w:p>
            <w:pPr>
              <w:pStyle w:val="Compact"/>
              <w:jc w:val="left"/>
            </w:pPr>
            <w:r>
              <w:t xml:space="preserve">bengali_9</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bengali_13</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14</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12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1</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7</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10</w:t>
            </w:r>
          </w:p>
        </w:tc>
        <w:tc>
          <w:p>
            <w:pPr>
              <w:pStyle w:val="Compact"/>
              <w:jc w:val="right"/>
            </w:pPr>
            <w:r>
              <w:t xml:space="preserve">6</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4</w:t>
            </w:r>
          </w:p>
        </w:tc>
      </w:tr>
      <w:tr>
        <w:tc>
          <w:p>
            <w:pPr>
              <w:pStyle w:val="Compact"/>
              <w:jc w:val="left"/>
            </w:pPr>
            <w:r>
              <w:t xml:space="preserve">bengali_16</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11</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6</w:t>
            </w:r>
          </w:p>
        </w:tc>
        <w:tc>
          <w:p>
            <w:pPr>
              <w:pStyle w:val="Compact"/>
              <w:jc w:val="right"/>
            </w:pPr>
            <w:r>
              <w:t xml:space="preserve">10</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4</w:t>
            </w:r>
          </w:p>
        </w:tc>
      </w:tr>
      <w:tr>
        <w:tc>
          <w:p>
            <w:pPr>
              <w:pStyle w:val="Compact"/>
              <w:jc w:val="left"/>
            </w:pPr>
            <w:r>
              <w:t xml:space="preserve">gujarati_5</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14</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2</w:t>
            </w:r>
          </w:p>
        </w:tc>
        <w:tc>
          <w:p>
            <w:pPr>
              <w:pStyle w:val="Compact"/>
              <w:jc w:val="right"/>
            </w:pPr>
            <w:r>
              <w:t xml:space="preserve">2</w:t>
            </w:r>
          </w:p>
        </w:tc>
        <w:tc>
          <w:p>
            <w:pPr>
              <w:pStyle w:val="Compact"/>
              <w:jc w:val="right"/>
            </w:pPr>
            <w:r>
              <w:t xml:space="preserve">8</w:t>
            </w:r>
          </w:p>
        </w:tc>
        <w:tc>
          <w:p>
            <w:pPr>
              <w:pStyle w:val="Compact"/>
              <w:jc w:val="right"/>
            </w:pPr>
            <w:r>
              <w:t xml:space="preserve">10</w:t>
            </w:r>
          </w:p>
        </w:tc>
        <w:tc>
          <w:p>
            <w:pPr>
              <w:pStyle w:val="Compact"/>
              <w:jc w:val="right"/>
            </w:pPr>
            <w:r>
              <w:t xml:space="preserve">3</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left"/>
            </w:pPr>
            <w:r>
              <w:t xml:space="preserve">gujarati_13</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4</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2</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6</w:t>
            </w:r>
          </w:p>
        </w:tc>
      </w:tr>
      <w:tr>
        <w:tc>
          <w:p>
            <w:pPr>
              <w:pStyle w:val="Compact"/>
              <w:jc w:val="left"/>
            </w:pPr>
            <w:r>
              <w:t xml:space="preserve">gujarati_14</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3</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15</w:t>
            </w:r>
          </w:p>
        </w:tc>
        <w:tc>
          <w:p>
            <w:pPr>
              <w:pStyle w:val="Compact"/>
              <w:jc w:val="right"/>
            </w:pPr>
            <w:r>
              <w:t xml:space="preserve">8</w:t>
            </w:r>
          </w:p>
        </w:tc>
        <w:tc>
          <w:p>
            <w:pPr>
              <w:pStyle w:val="Compact"/>
              <w:jc w:val="right"/>
            </w:pPr>
            <w:r>
              <w:t xml:space="preserve">8</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11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6</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w:t>
            </w:r>
          </w:p>
        </w:tc>
      </w:tr>
    </w:tbl>
    <w:bookmarkEnd w:id="23"/>
    <w:bookmarkStart w:id="25" w:name="agglomerative-hierarchical-clustering"/>
    <w:p>
      <w:pPr>
        <w:pStyle w:val="Heading3"/>
      </w:pPr>
      <w:r>
        <w:rPr>
          <w:rStyle w:val="SectionNumber"/>
        </w:rPr>
        <w:t xml:space="preserve">2.1.3</w:t>
      </w:r>
      <w:r>
        <w:tab/>
      </w:r>
      <w:r>
        <w:t xml:space="preserve">Agglomerative Hierarchical Clustering</w:t>
      </w:r>
    </w:p>
    <w:p>
      <w:pPr>
        <w:pStyle w:val="FirstParagraph"/>
      </w:pPr>
      <w:r>
        <w:t xml:space="preserve">I am going to cluster the data using average link clustering. Average link clustering computes all pairwise dissimilarities between the elements, and considers the average of these dissimilarities as the distance between clusters.</w:t>
      </w:r>
    </w:p>
    <w:p>
      <w:pPr>
        <w:pStyle w:val="SourceCode"/>
      </w:pP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5-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In the dendrogram displayed above, each leaf corresponds to one observation. As we move up the tree, observations that are similar to each other are combined into branches, which are themselves fused at a higher height.</w:t>
      </w:r>
    </w:p>
    <w:p>
      <w:pPr>
        <w:pStyle w:val="BodyText"/>
      </w:pPr>
      <w:r>
        <w:t xml:space="preserve">The height of the fusion, provided on the vertical axis, indicates the (dis)similarity between two observations. The higher the height of the fusion, the less similar the observations are. Note that, conclusions about the proximity of two observations can be drawn only based on the height where branches containing those two observations first are fused. We cannot use the proximity of two observations along the horizontal axis as a criteria of their similarity.</w:t>
      </w:r>
    </w:p>
    <w:p>
      <w:pPr>
        <w:pStyle w:val="BodyText"/>
      </w:pPr>
      <w:r>
        <w:t xml:space="preserve">The height of the cut to the dendrogram controls the number of clusters obtained. It plays the same role as the k in k-means clustering. In order to identify sub-groups (i.e. clusters), we can cut the dendrogram with cutree:</w:t>
      </w:r>
    </w:p>
    <w:p>
      <w:pPr>
        <w:pStyle w:val="SourceCode"/>
      </w:pPr>
      <w:r>
        <w:rPr>
          <w:rStyle w:val="CommentTok"/>
        </w:rPr>
        <w:t xml:space="preserve"># Ward's method</w:t>
      </w:r>
      <w:r>
        <w:br/>
      </w:r>
      <w:r>
        <w:rPr>
          <w:rStyle w:val="NormalTok"/>
        </w:rPr>
        <w:t xml:space="preserve">hc5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Cut tree into 4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w:t>
      </w:r>
      <w:r>
        <w:br/>
      </w:r>
      <w:r>
        <w:rPr>
          <w:rStyle w:val="VerbatimChar"/>
        </w:rPr>
        <w:t xml:space="preserve">##  9 18 18</w:t>
      </w:r>
    </w:p>
    <w:p>
      <w:pPr>
        <w:pStyle w:val="SourceCode"/>
      </w:pPr>
      <w:r>
        <w:rPr>
          <w:rStyle w:val="DocumentationTok"/>
        </w:rPr>
        <w:t xml:space="preserve">## sub_grp</w:t>
      </w:r>
      <w:r>
        <w:br/>
      </w:r>
      <w:r>
        <w:rPr>
          <w:rStyle w:val="DocumentationTok"/>
        </w:rPr>
        <w:t xml:space="preserve">##  1  2  3  4 </w:t>
      </w:r>
      <w:r>
        <w:br/>
      </w:r>
      <w:r>
        <w:rPr>
          <w:rStyle w:val="DocumentationTok"/>
        </w:rPr>
        <w:t xml:space="preserve">##  7 12 19 12</w:t>
      </w:r>
    </w:p>
    <w:bookmarkEnd w:id="25"/>
    <w:bookmarkStart w:id="28" w:name="visualize-clusters-on-dendrogram"/>
    <w:p>
      <w:pPr>
        <w:pStyle w:val="Heading3"/>
      </w:pPr>
      <w:r>
        <w:rPr>
          <w:rStyle w:val="SectionNumber"/>
        </w:rPr>
        <w:t xml:space="preserve">2.1.4</w:t>
      </w:r>
      <w:r>
        <w:tab/>
      </w:r>
      <w:r>
        <w:t xml:space="preserve">Visualize clusters on dendrogram</w:t>
      </w:r>
    </w:p>
    <w:p>
      <w:pPr>
        <w:pStyle w:val="SourceCode"/>
      </w:pPr>
      <w:r>
        <w:rPr>
          <w:rStyle w:val="FunctionTok"/>
        </w:rPr>
        <w:t xml:space="preserve">plot</w:t>
      </w:r>
      <w:r>
        <w:rPr>
          <w:rStyle w:val="NormalTok"/>
        </w:rPr>
        <w:t xml:space="preserve">(hc5,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7-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From this, we glean that 3 clusters seem to be adequate. Generally participants groups speakers into 3 clusters/groups:</w:t>
      </w:r>
    </w:p>
    <w:p>
      <w:pPr>
        <w:numPr>
          <w:ilvl w:val="0"/>
          <w:numId w:val="1002"/>
        </w:numPr>
      </w:pPr>
      <w:r>
        <w:t xml:space="preserve">English/African: Clust 1</w:t>
      </w:r>
    </w:p>
    <w:p>
      <w:pPr>
        <w:numPr>
          <w:ilvl w:val="0"/>
          <w:numId w:val="1002"/>
        </w:numPr>
      </w:pPr>
      <w:r>
        <w:t xml:space="preserve">Indo/European: Clust 2</w:t>
      </w:r>
    </w:p>
    <w:p>
      <w:pPr>
        <w:numPr>
          <w:ilvl w:val="0"/>
          <w:numId w:val="1002"/>
        </w:numPr>
      </w:pPr>
      <w:r>
        <w:t xml:space="preserve">Asian: Clust 3</w:t>
      </w:r>
    </w:p>
    <w:p>
      <w:pPr>
        <w:pStyle w:val="SourceCode"/>
      </w:pPr>
      <w:r>
        <w:rPr>
          <w:rStyle w:val="NormalTok"/>
        </w:rPr>
        <w:t xml:space="preserve">clust_data </w:t>
      </w:r>
      <w:r>
        <w:rPr>
          <w:rStyle w:val="OtherTok"/>
        </w:rPr>
        <w:t xml:space="preserve">&lt;-</w:t>
      </w:r>
      <w:r>
        <w:rPr>
          <w:rStyle w:val="NormalTok"/>
        </w:rPr>
        <w:t xml:space="preserve"> clust_data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sub_grp)</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9-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bookmarkEnd w:id="28"/>
    <w:bookmarkEnd w:id="29"/>
    <w:bookmarkEnd w:id="30"/>
    <w:bookmarkStart w:id="31" w:name="full-code"/>
    <w:p>
      <w:pPr>
        <w:pStyle w:val="Heading1"/>
      </w:pPr>
      <w:r>
        <w:rPr>
          <w:rStyle w:val="SectionNumber"/>
        </w:rPr>
        <w:t xml:space="preserve">3</w:t>
      </w:r>
      <w:r>
        <w:tab/>
      </w:r>
      <w:r>
        <w:t xml:space="preserve">Full Code</w:t>
      </w:r>
    </w:p>
    <w:p>
      <w:pPr>
        <w:pStyle w:val="FirstParagraph"/>
      </w:pPr>
      <w:r>
        <w:t xml:space="preserve">The full script of executive code contained in this document is reproduced here.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"data/class_wide_1.csv"</w:t>
      </w:r>
      <w:r>
        <w:rPr>
          <w:rStyle w:val="NormalTok"/>
        </w:rPr>
        <w:t xml:space="preserv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br/>
      </w:r>
      <w:r>
        <w:br/>
      </w: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r>
        <w:br/>
      </w:r>
      <w:r>
        <w:br/>
      </w: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br/>
      </w:r>
      <w:r>
        <w:rPr>
          <w:rStyle w:val="CommentTok"/>
        </w:rPr>
        <w:t xml:space="preserve"># Ward's method</w:t>
      </w:r>
      <w:r>
        <w:br/>
      </w:r>
      <w:r>
        <w:rPr>
          <w:rStyle w:val="NormalTok"/>
        </w:rPr>
        <w:t xml:space="preserve">hc5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Cut tree into 4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rPr>
          <w:rStyle w:val="DocumentationTok"/>
        </w:rPr>
        <w:t xml:space="preserve">## sub_grp</w:t>
      </w:r>
      <w:r>
        <w:br/>
      </w:r>
      <w:r>
        <w:rPr>
          <w:rStyle w:val="DocumentationTok"/>
        </w:rPr>
        <w:t xml:space="preserve">##  1  2  3  4 </w:t>
      </w:r>
      <w:r>
        <w:br/>
      </w:r>
      <w:r>
        <w:rPr>
          <w:rStyle w:val="DocumentationTok"/>
        </w:rPr>
        <w:t xml:space="preserve">##  7 12 19 12</w:t>
      </w:r>
      <w:r>
        <w:br/>
      </w:r>
      <w:r>
        <w:br/>
      </w:r>
      <w:r>
        <w:rPr>
          <w:rStyle w:val="FunctionTok"/>
        </w:rPr>
        <w:t xml:space="preserve">plot</w:t>
      </w:r>
      <w:r>
        <w:rPr>
          <w:rStyle w:val="NormalTok"/>
        </w:rPr>
        <w:t xml:space="preserve">(hc5,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r>
        <w:br/>
      </w:r>
      <w:r>
        <w:br/>
      </w:r>
      <w:r>
        <w:br/>
      </w:r>
      <w:r>
        <w:rPr>
          <w:rStyle w:val="NormalTok"/>
        </w:rPr>
        <w:t xml:space="preserve">clust_data </w:t>
      </w:r>
      <w:r>
        <w:rPr>
          <w:rStyle w:val="OtherTok"/>
        </w:rPr>
        <w:t xml:space="preserve">&lt;-</w:t>
      </w:r>
      <w:r>
        <w:rPr>
          <w:rStyle w:val="NormalTok"/>
        </w:rPr>
        <w:t xml:space="preserve"> clust_data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bookmarkEnd w:id="31"/>
    <w:bookmarkStart w:id="32" w:name="references"/>
    <w:p>
      <w:pPr>
        <w:pStyle w:val="Heading1"/>
      </w:pPr>
      <w:r>
        <w:rPr>
          <w:rStyle w:val="SectionNumber"/>
        </w:rPr>
        <w:t xml:space="preserve">4</w:t>
      </w:r>
      <w:r>
        <w:tab/>
      </w:r>
      <w:r>
        <w:t xml:space="preserve">References</w:t>
      </w:r>
    </w:p>
    <w:bookmarkEnd w:id="32"/>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2021-03-30T19:31:05Z</dcterms:created>
  <dcterms:modified xsi:type="dcterms:W3CDTF">2021-03-30T19:31:05Z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