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Loss of root oxygen transport, a pulse of dead biomass and persistent flooding should all favour methane. Limited observations agree: creek methane rose 45% after a dieback in the Gulf of Mexico (39),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(40), this is a question about a growing climate feedback.</w:t>
      </w:r>
    </w:p>
    <w:p>
      <w:pPr>
        <w:pStyle w:val="BodyText"/>
      </w:pPr>
      <w:r>
        <w:t xml:space="preserve">As part of NASA’s BlueFlux campaign (41, 42),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(43, 44) to measure the area of each surface; the US-Skr eddy-covariance tower and CARAFE airborne eddy covariance (45, 46)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(51)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(51).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(52),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S9).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(36), and it omits peat collapse after root death (62)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(63), which lose active root-driven transport but keep a passive pathway and a decomposing source. Per-area stem emission in ghost forest was ~40 times that of intact forest, matching the eightfold rise in dead mangrove stems elsewhere (19)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(64, 65), and the proportion of intense cyclones is projected to rise (40). Because recovery restores the sink, the feedback strengthens the case for conserving intact mangrove and restoring damaged stands. Where impounded, hypersaline water persists, as at our ghost sites, restoring tidal exchange may favour recruitment (66). But the regenerating stand still emitted as much methane as ghost forest, so the methane benefit of restoration should be measured rather than assumed. Blue-carbon crediting should carry both an accurate methane baseline and a permanence-risk term for disturbance (67, 68).</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p>
      <w:pPr>
        <w:pStyle w:val="Compact"/>
        <w:numPr>
          <w:ilvl w:val="0"/>
          <w:numId w:val="1001"/>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1"/>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1"/>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1"/>
        </w:numPr>
      </w:pPr>
      <w:r>
        <w:t xml:space="preserve">Xiong, L., Lagomasino, D. &amp; Poulter, B. BlueFlux: Terrestrial lidar scans of mangrove forests, Everglades, FL, USA, 2022–2023. ORNL DAAC (2024). https://doi.org/10.3334/ORNLDAAC/2311</w:t>
      </w:r>
    </w:p>
    <w:p>
      <w:pPr>
        <w:pStyle w:val="Compact"/>
        <w:numPr>
          <w:ilvl w:val="0"/>
          <w:numId w:val="1001"/>
        </w:numPr>
      </w:pPr>
      <w:r>
        <w:t xml:space="preserve">Krauss, K. W. et al. Woody debris in the mangrove forests of South Florida. Biotropica 37, 9–15 (2005). https://doi.org/10.1111/j.1744-7429.2005.03058.x</w:t>
      </w:r>
    </w:p>
    <w:p>
      <w:pPr>
        <w:pStyle w:val="Compact"/>
        <w:numPr>
          <w:ilvl w:val="0"/>
          <w:numId w:val="1001"/>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1"/>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1"/>
        </w:numPr>
      </w:pPr>
      <w:r>
        <w:t xml:space="preserve">Kljun, N., Calanca, P., Rotach, M. W. &amp; Schmid, H. P. A simple two-dimensional parameterisation for Flux Footprint Prediction (FFP). Geosci. Model Dev. 8, 3695–3713 (2015). https://doi.org/10.5194/gmd-8-3695-2015</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chamber flux dataset and analysis workflow at [repository URL]; airborne fluxes from (46) (ORNL DAAC); tower data from AmeriFlux US-Skr.</w:t>
      </w:r>
    </w:p>
    <w:p>
      <w:r>
        <w:pict>
          <v:rect style="width:0;height:1.5pt" o:hralign="center" o:hrstd="t" o:hr="t"/>
        </w:pict>
      </w:r>
    </w:p>
    <w:bookmarkEnd w:id="32"/>
    <w:bookmarkStart w:id="35" w:name="supplementary-materials"/>
    <w:p>
      <w:pPr>
        <w:pStyle w:val="Heading2"/>
      </w:pPr>
      <w:r>
        <w:t xml:space="preserve">Supplementary Materials</w:t>
      </w:r>
    </w:p>
    <w:bookmarkStart w:id="33" w:name="materials-and-methods"/>
    <w:p>
      <w:pPr>
        <w:pStyle w:val="Heading3"/>
      </w:pPr>
      <w:r>
        <w:t xml:space="preserve">Materials and Methods</w:t>
      </w:r>
    </w:p>
    <w:p>
      <w:pPr>
        <w:pStyle w:val="FirstParagraph"/>
      </w:pPr>
      <w:r>
        <w:rPr>
          <w:b/>
          <w:bCs/>
        </w:rPr>
        <w:t xml:space="preserve">Study system.</w:t>
      </w:r>
      <w:r>
        <w:t xml:space="preserve"> </w:t>
      </w:r>
      <w:r>
        <w:t xml:space="preserve">We worked in mangrove forests of the southwest Florida coast in and near Everglades National Park, across three classes along a hurricane-disturbance gradient. The two ghost-forest sites (FLM30, CP40) lost their canopy when Hurricane Irma (September 2017) drove storm surge and ponding across the region (36); five years later they retained standing dead trunks and roots with no canopy recovery. The regenerating site (BL60) was also damaged but supported active recruitment beneath a low, discontinuous canopy. The intact sites (SRS5, SRS6) are tall riverine forests on the Shark River that sustained comparatively little damage.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The climate is subtropical, with ~70% of the 1,000–1,700 mm annual rainfall falling in the May–October wet season. Single-visit measurements at Marco Island, Rookery Bay and the SE-1 scrub-mangrove ecotone gave additional context. Sites and coordinates are in table S1.</w:t>
      </w:r>
    </w:p>
    <w:p>
      <w:pPr>
        <w:pStyle w:val="BodyText"/>
      </w:pPr>
      <w:r>
        <w:rPr>
          <w:b/>
          <w:bCs/>
        </w:rPr>
        <w:t xml:space="preserve">Campaigns and design.</w:t>
      </w:r>
      <w:r>
        <w:t xml:space="preserve"> </w:t>
      </w:r>
      <w:r>
        <w:t xml:space="preserve">Repeat measurements spanned October 2022 (late wet season) and March 2023 (dry season), each with chamber fluxes, TLS and environmental sampling at the five core sites. CARAFE airborne flights were part of the wider BlueFlux campaign (41), with deployments in April 2022, October 2022, February 2023, April 2023 and July 2024; October 2022 and February/April 2023 bracket our ground campaigns. Bottom-up budgets (chambers × TLS) were compared with the tower and airborne fluxes.</w:t>
      </w:r>
    </w:p>
    <w:p>
      <w:pPr>
        <w:pStyle w:val="BodyText"/>
      </w:pPr>
      <w:r>
        <w:rPr>
          <w:b/>
          <w:bCs/>
        </w:rPr>
        <w:t xml:space="preserve">Chamber fluxes.</w:t>
      </w:r>
      <w:r>
        <w:t xml:space="preserve"> </w:t>
      </w:r>
      <w:r>
        <w:t xml:space="preserve">CH4 and CO2 were measured with closed dynamic chambers connected to portable analyzers (three ABB/LGR GLA131 microportable greenhouse-gas analyzers and one Picarro G4301), logging at 1 Hz (LGR) or ~0.2 Hz (Picarro). Chambers were matched to each surface (fig. S1): four elliptical stem-chamber sizes (40–462 cm2) sealed to bark with modelling clay at 0, 50 and 100 cm above the sediment (and 150 cm where possible); prop-root chambers on individual</w:t>
      </w:r>
      <w:r>
        <w:t xml:space="preserve"> </w:t>
      </w:r>
      <w:r>
        <w:rPr>
          <w:i/>
          <w:iCs/>
        </w:rPr>
        <w:t xml:space="preserve">R. mangle</w:t>
      </w:r>
      <w:r>
        <w:t xml:space="preserve"> </w:t>
      </w:r>
      <w:r>
        <w:t xml:space="preserve">roots; a transparent leaf chamber enclosing a branch cluster (to determine flux direction and approximate magnitude); open-bottom soil cylinders (23.5 cm diameter) in the wet season and PVC soil collars (14.3 or 19.4 cm) inserted ≥1 h before sampling in the dry season; and floating chambers (19.4 cm) on surface water. Soil chambers included pneumatophores, whose density was recorded. Chambers used closed-loop tubing with inline desiccant, were leak-tested before each measurement, and had system volumes computed for each chamber–analyzer combination. Measurements covered all four species, including standing dead trunks at ghost sites (≥5 stems per species per site; 10 soil collars per plot). In total, 752 fluxes were analysed: stems (n = 476), soil (118), water (47 floating-chamber placements), prop roots (65), downed wood (27) and leaves (19).</w:t>
      </w:r>
    </w:p>
    <w:p>
      <w:pPr>
        <w:pStyle w:val="BodyText"/>
      </w:pPr>
      <w:r>
        <w:rPr>
          <w:b/>
          <w:bCs/>
        </w:rPr>
        <w:t xml:space="preserve">Flux calculation.</w:t>
      </w:r>
      <w:r>
        <w:t xml:space="preserve"> </w:t>
      </w:r>
      <w:r>
        <w:t xml:space="preserve">Fluxes were computed with goFlux (69), fitting linear and Hutchinson–Mosier (70, 71) models and reporting the best-fit flux, corrected for chamber volume, area, air temperature and pressure (from the US-Skr tower). Minimum detectable fluxes were computed per measurement; below-detection fluxes were retained. Measurements with analyzer artefacts were excluded (data S1). Water-surface methane was partitioned into diffusive and ebullitive components by removing bubble steps from the concentration series and fitting the diffusive flux to the corrected series (fig. S4).</w:t>
      </w:r>
    </w:p>
    <w:p>
      <w:pPr>
        <w:pStyle w:val="BodyText"/>
      </w:pPr>
      <w:r>
        <w:rPr>
          <w:b/>
          <w:bCs/>
        </w:rPr>
        <w:t xml:space="preserve">Terrestrial laser scanning.</w:t>
      </w:r>
      <w:r>
        <w:t xml:space="preserve"> </w:t>
      </w:r>
      <w:r>
        <w:t xml:space="preserve">Plot structure was measured with a RIEGL VZ-400i scanner (1,550 nm; 0.03° resolution) and Trimble R8/R6 GNSS (44, 72). Scans from multiple positions per plot</w:t>
      </w:r>
      <w:r>
        <w:t xml:space="preserve"> </w:t>
      </w:r>
      <w:r>
        <w:rPr>
          <w:i/>
          <w:iCs/>
        </w:rPr>
        <w:t xml:space="preserve">[CHECK with L. Powell: number of scan positions per plot]</w:t>
      </w:r>
      <w:r>
        <w:t xml:space="preserve"> </w:t>
      </w:r>
      <w:r>
        <w:t xml:space="preserve">were registered by iterative closest point and multi-station adjustment in RiSCAN PRO, georeferenced to WGS 84 / UTM 17N, segmented into wood (trunk, branch, prop root) and leaf, and summarized as surface area per 0.5 m height bin per unit ground area. Because the scanner sees the water surface rather than the sediment in flooded plots, heights were corrected to the sediment surface using water depth at scan time</w:t>
      </w:r>
      <w:r>
        <w:t xml:space="preserve"> </w:t>
      </w:r>
      <w:r>
        <w:rPr>
          <w:i/>
          <w:iCs/>
        </w:rPr>
        <w:t xml:space="preserve">[PLACEHOLDER — final segmentation and surface-area methods from L. Powell and L. Xiong]</w:t>
      </w:r>
      <w:r>
        <w:t xml:space="preserve">.</w:t>
      </w:r>
    </w:p>
    <w:p>
      <w:pPr>
        <w:pStyle w:val="BodyText"/>
      </w:pPr>
      <w:r>
        <w:rPr>
          <w:b/>
          <w:bCs/>
        </w:rPr>
        <w:t xml:space="preserve">Stand budgets.</w:t>
      </w:r>
      <w:r>
        <w:t xml:space="preserve"> </w:t>
      </w:r>
      <w:r>
        <w:t xml:space="preserve">Stand CH4 and respiration budgets multiplied each component’s flux density by its area per unit ground area and summed across components. Stem flux was integrated over height using the measured profile, modelled relative to the water surface so that the emission peak moves with water level; only surface above the water emits. Inundation set which surfaces emit: ghost sites were fully flooded in the wet season, and the exposed fraction in the dry season was budgeted as soil; tidal intact sites were weighted by the share of the forest floor under water from hourly FCE LTER water levels. Downed-wood area came from regional woody-debris volumes (73, 74). Net CO2 exchange was respiration minus gross primary production, with ecosystem respiration built from chamber fluxes plus a literature canopy-respiration term (75) and gross primary production from the US-Skr tower; ghost-forest photosynthesis was taken as negligible.</w:t>
      </w:r>
    </w:p>
    <w:p>
      <w:pPr>
        <w:pStyle w:val="BodyText"/>
      </w:pPr>
      <w:r>
        <w:rPr>
          <w:b/>
          <w:bCs/>
        </w:rPr>
        <w:t xml:space="preserve">Tower and airborne fluxes.</w:t>
      </w:r>
      <w:r>
        <w:t xml:space="preserve"> </w:t>
      </w:r>
      <w:r>
        <w:t xml:space="preserve">The US-Skr tower (SRS6) measures CO2 and CH4 by eddy covariance on a 30 m tower</w:t>
      </w:r>
      <w:r>
        <w:t xml:space="preserve"> </w:t>
      </w:r>
      <w:r>
        <w:rPr>
          <w:i/>
          <w:iCs/>
        </w:rPr>
        <w:t xml:space="preserve">[CHECK: instruments and heights]</w:t>
      </w:r>
      <w:r>
        <w:t xml:space="preserve"> </w:t>
      </w:r>
      <w:r>
        <w:t xml:space="preserve">(51). CARAFE measured CO2 and CH4 from a Beechcraft King Air A90 at ~90 m with a Picarro G2311-f (10 Hz), a Picarro G2401m calibrated to NOAA/WMO standards, and an Aventech AIMMS-20 wind probe (46). Fluxes were computed by continuous wavelet transform along straight legs (&gt;15 km, roll &lt;5°, altitude within ±10 m), assigned to two-dimensional footprints (76), and disaggregated to intact and ghost forest by multilinear regression on footprint land cover (49, 50). Midday airborne CO2 was converted to daily values for comparison with daily chamber budgets.</w:t>
      </w:r>
    </w:p>
    <w:p>
      <w:pPr>
        <w:pStyle w:val="BodyText"/>
      </w:pPr>
      <w:r>
        <w:rPr>
          <w:b/>
          <w:bCs/>
        </w:rPr>
        <w:t xml:space="preserve">Porewater geochemistry.</w:t>
      </w:r>
      <w:r>
        <w:t xml:space="preserve"> </w:t>
      </w:r>
      <w:r>
        <w:t xml:space="preserve">Porewater was sampled in October 2022 and March 2023 (mostly ~40 cm; dissolved CH4 by headspace gas chromatography and salinity)</w:t>
      </w:r>
      <w:r>
        <w:t xml:space="preserve"> </w:t>
      </w:r>
      <w:r>
        <w:rPr>
          <w:i/>
          <w:iCs/>
        </w:rPr>
        <w:t xml:space="preserve">[CHECK: 2022–23 sampler and GC protocol]</w:t>
      </w:r>
      <w:r>
        <w:t xml:space="preserve">, and as depth profiles (surface water and 0, 15, 45 and 90 cm) at SRS5, SRS6, BL60 and CP40 in October 2025 using PushPoint samplers. Field measurements included temperature, pH, conductivity, dissolved oxygen and redox potential (Hanna HI98494), and total dissolved sulfide and iron (Hach DR900). Dissolved CH4, CO2 and their δ13C were measured by headspace equilibration on a Picarro G2201-i; dissolved organic carbon, major ions and alkalinity at the Yale Analytical and Stable Isotope Center; and inorganic nitrogen at Yale</w:t>
      </w:r>
      <w:r>
        <w:t xml:space="preserve"> </w:t>
      </w:r>
      <w:r>
        <w:rPr>
          <w:i/>
          <w:iCs/>
        </w:rPr>
        <w:t xml:space="preserve">[CHECK: method and dilution]</w:t>
      </w:r>
      <w:r>
        <w:t xml:space="preserve">. Intact-site ammonium was compared with FCE LTER porewater monitoring (52).</w:t>
      </w:r>
    </w:p>
    <w:p>
      <w:pPr>
        <w:pStyle w:val="BodyText"/>
      </w:pPr>
      <w:r>
        <w:rPr>
          <w:b/>
          <w:bCs/>
        </w:rPr>
        <w:t xml:space="preserve">Sediment metagenomes.</w:t>
      </w:r>
      <w:r>
        <w:t xml:space="preserve"> </w:t>
      </w:r>
      <w:r>
        <w:rPr>
          <w:i/>
          <w:iCs/>
        </w:rPr>
        <w:t xml:space="preserve">[PLACEHOLDER — Peccia lab: sampling, extraction, sequencing, profiling, marker genes (mcrA, mttB/mtbB/mtmB, pmoA/mmoX), normalization by sediment mass and organic carbon.]</w:t>
      </w:r>
    </w:p>
    <w:p>
      <w:pPr>
        <w:pStyle w:val="BodyText"/>
      </w:pPr>
      <w:r>
        <w:rPr>
          <w:b/>
          <w:bCs/>
        </w:rPr>
        <w:t xml:space="preserve">Radiative forcing and regional scaling.</w:t>
      </w:r>
      <w:r>
        <w:t xml:space="preserve"> </w:t>
      </w:r>
      <w:r>
        <w:t xml:space="preserve">CH4 was converted to CO2 equivalents with AR6 global warming potentials (GWP20 = 81.2, GWP100 = 27.9) (7), with GWP* (55) for the intact-to-ghost change. The switch is the intact-to-ghost difference in net forcing. Lateral-export framings used published Shark River syntheses (60). The regional estimate multiplies the per-area switch by the area of 2017 hurricane dieback (61), computed in an equal-area projection and attributed to Irma or Maria by territory, with a Florida bound from (36).</w:t>
      </w:r>
    </w:p>
    <w:p>
      <w:pPr>
        <w:pStyle w:val="BodyText"/>
      </w:pPr>
      <w:r>
        <w:rPr>
          <w:b/>
          <w:bCs/>
        </w:rPr>
        <w:t xml:space="preserve">Statistics.</w:t>
      </w:r>
      <w:r>
        <w:t xml:space="preserve"> </w:t>
      </w:r>
      <w:r>
        <w:t xml:space="preserve">Fluxes were transformed with the inverse hyperbolic sine. Component means and 95% intervals used bootstrap resampling (5,000 iterations). Woody flux by height used a location-scale generalized additive model with class-specific height smooths and tree and site-campaign random effects. Porewater structure used principal-components analysis of 13 centred, scaled variables. Budget and forcing uncertainty was propagated by Monte Carlo (5,000 draws) over chamber fluxes, canopy respiration, downed-wood area, tidal timing and tower photosynthesis. Analyses used R (≥4.3); the workflow is at [repository URL].</w:t>
      </w:r>
    </w:p>
    <w:bookmarkEnd w:id="33"/>
    <w:bookmarkStart w:id="34" w:name="supplementary-text-figures-and-tables"/>
    <w:p>
      <w:pPr>
        <w:pStyle w:val="Heading3"/>
      </w:pPr>
      <w:r>
        <w:t xml:space="preserve">Supplementary Text, figures and tables</w:t>
      </w:r>
    </w:p>
    <w:p>
      <w:pPr>
        <w:pStyle w:val="FirstParagraph"/>
      </w:pPr>
      <w:r>
        <w:t xml:space="preserve">Supplementary Text S1–S11; figs. S1–S10 (currently ED1–ED10 in the NCC draft); tables S1–S11; data S1 (chamber flux dataset).</w:t>
      </w:r>
      <w:r>
        <w:t xml:space="preserve"> </w:t>
      </w:r>
      <w:r>
        <w:rPr>
          <w:i/>
          <w:iCs/>
        </w:rPr>
        <w:t xml:space="preserve">[To assemble from manuscript/SI/manuscript_NCC_SI.md.]</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2026-10-03T09:58:28Z</dcterms:created>
  <dcterms:modified xsi:type="dcterms:W3CDTF">2026-10-03T09:58:28Z</dcterms:modified>
</cp:coreProperties>
</file>

<file path=docProps/custom.xml><?xml version="1.0" encoding="utf-8"?>
<Properties xmlns="http://schemas.openxmlformats.org/officeDocument/2006/custom-properties" xmlns:vt="http://schemas.openxmlformats.org/officeDocument/2006/docPropsVTypes"/>
</file>