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S16;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S4;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four deployments in April 2022, October 2022, February 2023 and April 2023;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S5: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S1). No flux was removed for being small, negative or below detection. Summary statistics of component rates (table S6;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S8) weights a high-tide state (flooded floor: water-surface flux, no soil or downed-wood flux) and a low-tide state (exposed floor). Alternatives (an all-or-nothing switch, the 2010–2023 hydrology, an equal split, and the floor mean ±1.96 SE) are compared in table S3;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[PRELIMINARY: read from the logger display; replace with the logger file, barometrically corrected with US-Skr air pressure]</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inhibition of leaf respiration in the light, the JULES default (Clark et al. 2011; Huntingford et al. 2017; based on Atkin et al. 2000; daytime when shortwave &gt;5 W m−2),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S1).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version 2-5 (Fuentes et al. 2024; data S2); the site and flux system are described in Barr et al. (2010). Net exchange was the PI-provided NEE, or FC + SC where NEE was missing. GPP was partitioned with the gap-filling and partitioning script of S. Malone, adapted to our pipeline,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S9).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S10). Midday CO2 was converted to daily values for comparison with the daily chamber budgets.</w:t>
      </w:r>
      <w:r>
        <w:t xml:space="preserve"> </w:t>
      </w:r>
      <w:r>
        <w:rPr>
          <w:i/>
          <w:iCs/>
        </w:rPr>
        <w:t xml:space="preserve">[CHECK — airborne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run on an SRI gas chromatograph (SRI Instruments) at Yale (December 2023)</w:t>
      </w:r>
      <w:r>
        <w:t xml:space="preserve"> </w:t>
      </w:r>
      <w:r>
        <w:rPr>
          <w:i/>
          <w:iCs/>
        </w:rPr>
        <w:t xml:space="preserve">[CHECK: model number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[CHECK with M. Zhang: sample dilution for the sulfide reading]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S2).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S5),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S6).</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S11).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S12). Profiles are shown for live, flooded stems in the wet season, excluding random effects, back-transformed with sinh. Adding species changed little (table S12).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S13 lists every literature-derived value, its source, how it was converted and used, and the alternatives considered; table S14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S3).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co2-closure-caveats"/>
    <w:p>
      <w:pPr>
        <w:pStyle w:val="Heading2"/>
      </w:pPr>
      <w:r>
        <w:t xml:space="preserve">Text S1.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S10).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4"/>
    <w:bookmarkStart w:id="35" w:name="X6ddd9388d40dd2fc8e1a3d4b6cd64926b272c8e"/>
    <w:p>
      <w:pPr>
        <w:pStyle w:val="Heading2"/>
      </w:pPr>
      <w:r>
        <w:t xml:space="preserve">Text S2.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 Surface-water values are listed in table S15.</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35"/>
    <w:bookmarkStart w:id="36" w:name="text-s3.-regenerating-stand"/>
    <w:p>
      <w:pPr>
        <w:pStyle w:val="Heading2"/>
      </w:pPr>
      <w:r>
        <w:t xml:space="preserve">Text S3.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6"/>
    <w:bookmarkStart w:id="37" w:name="text-s4.-context-sites"/>
    <w:p>
      <w:pPr>
        <w:pStyle w:val="Heading2"/>
      </w:pPr>
      <w:r>
        <w:t xml:space="preserve">Text S4. Context sites</w:t>
      </w:r>
    </w:p>
    <w:p>
      <w:pPr>
        <w:pStyle w:val="FirstParagraph"/>
      </w:pPr>
      <w:r>
        <w:t xml:space="preserve">Single dry-season visits place the core results in a wider context (table S16);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37"/>
    <w:bookmarkStart w:id="38" w:name="X722c2c18e3dbeb738a51d3615e1b1c530e4845b"/>
    <w:p>
      <w:pPr>
        <w:pStyle w:val="Heading2"/>
      </w:pPr>
      <w:r>
        <w:t xml:space="preserve">Text S5.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38"/>
    <w:bookmarkStart w:id="39" w:name="X0b4ee575d6c8370ebdc094741bf76bb778b3430"/>
    <w:p>
      <w:pPr>
        <w:pStyle w:val="Heading2"/>
      </w:pPr>
      <w:r>
        <w:t xml:space="preserve">Text S6.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bookmarkEnd w:id="39"/>
    <w:bookmarkStart w:id="40" w:name="text-s7.-stem-height-extrapolation"/>
    <w:p>
      <w:pPr>
        <w:pStyle w:val="Heading2"/>
      </w:pPr>
      <w:r>
        <w:t xml:space="preserve">Text S7.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40"/>
    <w:bookmarkStart w:id="41" w:name="text-s8.-tide-and-inundation"/>
    <w:p>
      <w:pPr>
        <w:pStyle w:val="Heading2"/>
      </w:pPr>
      <w:r>
        <w:t xml:space="preserve">Text S8.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S8);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S3). An airborne check by campaign (table S10) favours the flooded representation in October 2022 and March 2023.</w:t>
      </w:r>
    </w:p>
    <w:bookmarkEnd w:id="41"/>
    <w:bookmarkStart w:id="42" w:name="text-s9.-downed-wood"/>
    <w:p>
      <w:pPr>
        <w:pStyle w:val="Heading2"/>
      </w:pPr>
      <w:r>
        <w:t xml:space="preserve">Text S9.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S3).</w:t>
      </w:r>
    </w:p>
    <w:bookmarkEnd w:id="42"/>
    <w:bookmarkStart w:id="43" w:name="text-s10.-monte-carlo-uncertainty"/>
    <w:p>
      <w:pPr>
        <w:pStyle w:val="Heading2"/>
      </w:pPr>
      <w:r>
        <w:t xml:space="preserve">Text S10.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S11.</w:t>
      </w:r>
    </w:p>
    <w:bookmarkEnd w:id="43"/>
    <w:bookmarkStart w:id="44" w:name="X6973ca52a2564d6d027f8b1ebc3932becdac374"/>
    <w:p>
      <w:pPr>
        <w:pStyle w:val="Heading2"/>
      </w:pPr>
      <w:r>
        <w:t xml:space="preserve">Text S11.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S3.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4"/>
    <w:bookmarkStart w:id="45"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mean soil emission of 1.6 nmol m−2 s−1 at the Piñones reserve and ~39 at the two most urbanized sites of the San Juan Bay Estuary, Puerto Rico (Martin et al. 2020); 3–59 (zone means of 4–82 mg CH4 m−2 d−1) across sewage-effluent-affected zones in southwest Puerto Rico (Sotomayor et al. 1994);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S8).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S7).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S10);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S2):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S2).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S11; table S3).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S1):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S2.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S3.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S4.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S5.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S6.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S9.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S10. Airborne end-member fluxes</w:t>
      </w:r>
      <w:r>
        <w:t xml:space="preserve"> </w:t>
      </w:r>
      <w:r>
        <w:t xml:space="preserve">(two-class disaggregation, Delaria et al. 2024) and the airborne check of the ghost-forest inundation representation (text S8).</w:t>
      </w:r>
      <w:r>
        <w:t xml:space="preserve"> </w:t>
      </w:r>
      <w:r>
        <w:rPr>
          <w:i/>
          <w:iCs/>
        </w:rPr>
        <w:t xml:space="preserve">[Confirm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S11.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S12.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S13.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S9).</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S9)</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S8;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S1)</w:t>
            </w:r>
          </w:p>
        </w:tc>
      </w:tr>
    </w:tbl>
    <w:p>
      <w:pPr>
        <w:pStyle w:val="BodyText"/>
      </w:pPr>
      <w:r>
        <w:rPr>
          <w:b/>
          <w:bCs/>
        </w:rPr>
        <w:t xml:space="preserve">Table S14.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pPr>
        <w:pStyle w:val="BodyText"/>
      </w:pPr>
      <w:r>
        <w:rPr>
          <w:b/>
          <w:bCs/>
        </w:rPr>
        <w:t xml:space="preserve">Table S15. Plot surface water, October 2025</w:t>
      </w:r>
      <w:r>
        <w:t xml:space="preserve"> </w:t>
      </w:r>
      <w:r>
        <w:t xml:space="preserve">(text S2). SRS5 and SRS6 salinity, O2, pH and alkalinity are from the adjacent river-survey station on 22 October 2025 (Vaughn and Raymond 2024; M16); O2 after the sensor offset correction (M16); –, not measured.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Site</w:t>
            </w:r>
          </w:p>
        </w:tc>
        <w:tc>
          <w:tcPr/>
          <w:p>
            <w:pPr>
              <w:pStyle w:val="Compact"/>
            </w:pPr>
            <w:r>
              <w:t xml:space="preserve">Salinity (PSU)</w:t>
            </w:r>
          </w:p>
        </w:tc>
        <w:tc>
          <w:tcPr/>
          <w:p>
            <w:pPr>
              <w:pStyle w:val="Compact"/>
            </w:pPr>
            <w:r>
              <w:t xml:space="preserve">O2 (% sat.)</w:t>
            </w:r>
          </w:p>
        </w:tc>
        <w:tc>
          <w:tcPr/>
          <w:p>
            <w:pPr>
              <w:pStyle w:val="Compact"/>
            </w:pPr>
            <w:r>
              <w:t xml:space="preserve">pH</w:t>
            </w:r>
          </w:p>
        </w:tc>
        <w:tc>
          <w:tcPr/>
          <w:p>
            <w:pPr>
              <w:pStyle w:val="Compact"/>
            </w:pPr>
            <w:r>
              <w:t xml:space="preserve">Redox (mV)</w:t>
            </w:r>
          </w:p>
        </w:tc>
        <w:tc>
          <w:tcPr/>
          <w:p>
            <w:pPr>
              <w:pStyle w:val="Compact"/>
            </w:pPr>
            <w:r>
              <w:t xml:space="preserve">CH4 (µM)</w:t>
            </w:r>
          </w:p>
        </w:tc>
        <w:tc>
          <w:tcPr/>
          <w:p>
            <w:pPr>
              <w:pStyle w:val="Compact"/>
            </w:pPr>
            <w:r>
              <w:t xml:space="preserve">δ13C-CH4 (‰)</w:t>
            </w:r>
          </w:p>
        </w:tc>
        <w:tc>
          <w:tcPr/>
          <w:p>
            <w:pPr>
              <w:pStyle w:val="Compact"/>
            </w:pPr>
            <w:r>
              <w:t xml:space="preserve">CO2 (µM)</w:t>
            </w:r>
          </w:p>
        </w:tc>
        <w:tc>
          <w:tcPr/>
          <w:p>
            <w:pPr>
              <w:pStyle w:val="Compact"/>
            </w:pPr>
            <w:r>
              <w:t xml:space="preserve">Alkalinity (mM)</w:t>
            </w:r>
          </w:p>
        </w:tc>
        <w:tc>
          <w:tcPr/>
          <w:p>
            <w:pPr>
              <w:pStyle w:val="Compact"/>
            </w:pPr>
            <w:r>
              <w:t xml:space="preserve">DOC (mg L−1)</w:t>
            </w:r>
          </w:p>
        </w:tc>
        <w:tc>
          <w:tcPr/>
          <w:p>
            <w:pPr>
              <w:pStyle w:val="Compact"/>
            </w:pPr>
            <w:r>
              <w:t xml:space="preserve">Sulfide (mM)</w:t>
            </w:r>
          </w:p>
        </w:tc>
        <w:tc>
          <w:tcPr/>
          <w:p>
            <w:pPr>
              <w:pStyle w:val="Compact"/>
            </w:pPr>
            <w:r>
              <w:t xml:space="preserve">Fe (µM)</w:t>
            </w:r>
          </w:p>
        </w:tc>
        <w:tc>
          <w:tcPr/>
          <w:p>
            <w:pPr>
              <w:pStyle w:val="Compact"/>
            </w:pPr>
            <w:r>
              <w:t xml:space="preserve">NH4+ (µM)</w:t>
            </w:r>
          </w:p>
        </w:tc>
      </w:tr>
      <w:tr>
        <w:tc>
          <w:tcPr/>
          <w:p>
            <w:pPr>
              <w:pStyle w:val="Compact"/>
            </w:pPr>
            <w:r>
              <w:t xml:space="preserve">SRS5</w:t>
            </w:r>
          </w:p>
        </w:tc>
        <w:tc>
          <w:tcPr/>
          <w:p>
            <w:pPr>
              <w:pStyle w:val="Compact"/>
            </w:pPr>
            <w:r>
              <w:t xml:space="preserve">9.3</w:t>
            </w:r>
          </w:p>
        </w:tc>
        <w:tc>
          <w:tcPr/>
          <w:p>
            <w:pPr>
              <w:pStyle w:val="Compact"/>
            </w:pPr>
            <w:r>
              <w:t xml:space="preserve">69</w:t>
            </w:r>
          </w:p>
        </w:tc>
        <w:tc>
          <w:tcPr/>
          <w:p>
            <w:pPr>
              <w:pStyle w:val="Compact"/>
            </w:pPr>
            <w:r>
              <w:t xml:space="preserve">7.43</w:t>
            </w:r>
          </w:p>
        </w:tc>
        <w:tc>
          <w:tcPr/>
          <w:p>
            <w:pPr>
              <w:pStyle w:val="Compact"/>
            </w:pPr>
            <w:r>
              <w:t xml:space="preserve">–</w:t>
            </w:r>
          </w:p>
        </w:tc>
        <w:tc>
          <w:tcPr/>
          <w:p>
            <w:pPr>
              <w:pStyle w:val="Compact"/>
            </w:pPr>
            <w:r>
              <w:t xml:space="preserve">0.29</w:t>
            </w:r>
          </w:p>
        </w:tc>
        <w:tc>
          <w:tcPr/>
          <w:p>
            <w:pPr>
              <w:pStyle w:val="Compact"/>
            </w:pPr>
            <w:r>
              <w:t xml:space="preserve">-72.4</w:t>
            </w:r>
          </w:p>
        </w:tc>
        <w:tc>
          <w:tcPr/>
          <w:p>
            <w:pPr>
              <w:pStyle w:val="Compact"/>
            </w:pPr>
            <w:r>
              <w:t xml:space="preserve">575</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SRS6</w:t>
            </w:r>
          </w:p>
        </w:tc>
        <w:tc>
          <w:tcPr/>
          <w:p>
            <w:pPr>
              <w:pStyle w:val="Compact"/>
            </w:pPr>
            <w:r>
              <w:t xml:space="preserve">15.5</w:t>
            </w:r>
          </w:p>
        </w:tc>
        <w:tc>
          <w:tcPr/>
          <w:p>
            <w:pPr>
              <w:pStyle w:val="Compact"/>
            </w:pPr>
            <w:r>
              <w:t xml:space="preserve">70</w:t>
            </w:r>
          </w:p>
        </w:tc>
        <w:tc>
          <w:tcPr/>
          <w:p>
            <w:pPr>
              <w:pStyle w:val="Compact"/>
            </w:pPr>
            <w:r>
              <w:t xml:space="preserve">7.49</w:t>
            </w:r>
          </w:p>
        </w:tc>
        <w:tc>
          <w:tcPr/>
          <w:p>
            <w:pPr>
              <w:pStyle w:val="Compact"/>
            </w:pPr>
            <w:r>
              <w:t xml:space="preserve">–</w:t>
            </w:r>
          </w:p>
        </w:tc>
        <w:tc>
          <w:tcPr/>
          <w:p>
            <w:pPr>
              <w:pStyle w:val="Compact"/>
            </w:pPr>
            <w:r>
              <w:t xml:space="preserve">0.46</w:t>
            </w:r>
          </w:p>
        </w:tc>
        <w:tc>
          <w:tcPr/>
          <w:p>
            <w:pPr>
              <w:pStyle w:val="Compact"/>
            </w:pPr>
            <w:r>
              <w:t xml:space="preserve">-75.5</w:t>
            </w:r>
          </w:p>
        </w:tc>
        <w:tc>
          <w:tcPr/>
          <w:p>
            <w:pPr>
              <w:pStyle w:val="Compact"/>
            </w:pPr>
            <w:r>
              <w:t xml:space="preserve">589</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BL60</w:t>
            </w:r>
          </w:p>
        </w:tc>
        <w:tc>
          <w:tcPr/>
          <w:p>
            <w:pPr>
              <w:pStyle w:val="Compact"/>
            </w:pPr>
            <w:r>
              <w:t xml:space="preserve">3.4</w:t>
            </w:r>
          </w:p>
        </w:tc>
        <w:tc>
          <w:tcPr/>
          <w:p>
            <w:pPr>
              <w:pStyle w:val="Compact"/>
            </w:pPr>
            <w:r>
              <w:t xml:space="preserve">1</w:t>
            </w:r>
          </w:p>
        </w:tc>
        <w:tc>
          <w:tcPr/>
          <w:p>
            <w:pPr>
              <w:pStyle w:val="Compact"/>
            </w:pPr>
            <w:r>
              <w:t xml:space="preserve">6.78</w:t>
            </w:r>
          </w:p>
        </w:tc>
        <w:tc>
          <w:tcPr/>
          <w:p>
            <w:pPr>
              <w:pStyle w:val="Compact"/>
            </w:pPr>
            <w:r>
              <w:t xml:space="preserve">-243</w:t>
            </w:r>
          </w:p>
        </w:tc>
        <w:tc>
          <w:tcPr/>
          <w:p>
            <w:pPr>
              <w:pStyle w:val="Compact"/>
            </w:pPr>
            <w:r>
              <w:t xml:space="preserve">86.61</w:t>
            </w:r>
          </w:p>
        </w:tc>
        <w:tc>
          <w:tcPr/>
          <w:p>
            <w:pPr>
              <w:pStyle w:val="Compact"/>
            </w:pPr>
            <w:r>
              <w:t xml:space="preserve">-78.6</w:t>
            </w:r>
          </w:p>
        </w:tc>
        <w:tc>
          <w:tcPr/>
          <w:p>
            <w:pPr>
              <w:pStyle w:val="Compact"/>
            </w:pPr>
            <w:r>
              <w:t xml:space="preserve">1096</w:t>
            </w:r>
          </w:p>
        </w:tc>
        <w:tc>
          <w:tcPr/>
          <w:p>
            <w:pPr>
              <w:pStyle w:val="Compact"/>
            </w:pPr>
            <w:r>
              <w:t xml:space="preserve">6.1</w:t>
            </w:r>
          </w:p>
        </w:tc>
        <w:tc>
          <w:tcPr/>
          <w:p>
            <w:pPr>
              <w:pStyle w:val="Compact"/>
            </w:pPr>
            <w:r>
              <w:t xml:space="preserve">66.8</w:t>
            </w:r>
          </w:p>
        </w:tc>
        <w:tc>
          <w:tcPr/>
          <w:p>
            <w:pPr>
              <w:pStyle w:val="Compact"/>
            </w:pPr>
            <w:r>
              <w:t xml:space="preserve">0.06</w:t>
            </w:r>
          </w:p>
        </w:tc>
        <w:tc>
          <w:tcPr/>
          <w:p>
            <w:pPr>
              <w:pStyle w:val="Compact"/>
            </w:pPr>
            <w:r>
              <w:t xml:space="preserve">1.8</w:t>
            </w:r>
          </w:p>
        </w:tc>
        <w:tc>
          <w:tcPr/>
          <w:p>
            <w:pPr>
              <w:pStyle w:val="Compact"/>
            </w:pPr>
            <w:r>
              <w:t xml:space="preserve">27</w:t>
            </w:r>
          </w:p>
        </w:tc>
      </w:tr>
      <w:tr>
        <w:tc>
          <w:tcPr/>
          <w:p>
            <w:pPr>
              <w:pStyle w:val="Compact"/>
            </w:pPr>
            <w:r>
              <w:t xml:space="preserve">CP40</w:t>
            </w:r>
          </w:p>
        </w:tc>
        <w:tc>
          <w:tcPr/>
          <w:p>
            <w:pPr>
              <w:pStyle w:val="Compact"/>
            </w:pPr>
            <w:r>
              <w:t xml:space="preserve">20.8</w:t>
            </w:r>
          </w:p>
        </w:tc>
        <w:tc>
          <w:tcPr/>
          <w:p>
            <w:pPr>
              <w:pStyle w:val="Compact"/>
            </w:pPr>
            <w:r>
              <w:t xml:space="preserve">88</w:t>
            </w:r>
          </w:p>
        </w:tc>
        <w:tc>
          <w:tcPr/>
          <w:p>
            <w:pPr>
              <w:pStyle w:val="Compact"/>
            </w:pPr>
            <w:r>
              <w:t xml:space="preserve">8.43</w:t>
            </w:r>
          </w:p>
        </w:tc>
        <w:tc>
          <w:tcPr/>
          <w:p>
            <w:pPr>
              <w:pStyle w:val="Compact"/>
            </w:pPr>
            <w:r>
              <w:t xml:space="preserve">-113</w:t>
            </w:r>
          </w:p>
        </w:tc>
        <w:tc>
          <w:tcPr/>
          <w:p>
            <w:pPr>
              <w:pStyle w:val="Compact"/>
            </w:pPr>
            <w:r>
              <w:t xml:space="preserve">2.74</w:t>
            </w:r>
          </w:p>
        </w:tc>
        <w:tc>
          <w:tcPr/>
          <w:p>
            <w:pPr>
              <w:pStyle w:val="Compact"/>
            </w:pPr>
            <w:r>
              <w:t xml:space="preserve">-70.6</w:t>
            </w:r>
          </w:p>
        </w:tc>
        <w:tc>
          <w:tcPr/>
          <w:p>
            <w:pPr>
              <w:pStyle w:val="Compact"/>
            </w:pPr>
            <w:r>
              <w:t xml:space="preserve">35</w:t>
            </w:r>
          </w:p>
        </w:tc>
        <w:tc>
          <w:tcPr/>
          <w:p>
            <w:pPr>
              <w:pStyle w:val="Compact"/>
            </w:pPr>
            <w:r>
              <w:t xml:space="preserve">4.7</w:t>
            </w:r>
          </w:p>
        </w:tc>
        <w:tc>
          <w:tcPr/>
          <w:p>
            <w:pPr>
              <w:pStyle w:val="Compact"/>
            </w:pPr>
            <w:r>
              <w:t xml:space="preserve">36.9</w:t>
            </w:r>
          </w:p>
        </w:tc>
        <w:tc>
          <w:tcPr/>
          <w:p>
            <w:pPr>
              <w:pStyle w:val="Compact"/>
            </w:pPr>
            <w:r>
              <w:t xml:space="preserve">0.54</w:t>
            </w:r>
          </w:p>
        </w:tc>
        <w:tc>
          <w:tcPr/>
          <w:p>
            <w:pPr>
              <w:pStyle w:val="Compact"/>
            </w:pPr>
            <w:r>
              <w:t xml:space="preserve">0.4</w:t>
            </w:r>
          </w:p>
        </w:tc>
        <w:tc>
          <w:tcPr/>
          <w:p>
            <w:pPr>
              <w:pStyle w:val="Compact"/>
            </w:pPr>
            <w:r>
              <w:t xml:space="preserve">140</w:t>
            </w:r>
          </w:p>
        </w:tc>
      </w:tr>
    </w:tbl>
    <w:p>
      <w:pPr>
        <w:pStyle w:val="BodyText"/>
      </w:pPr>
      <w:r>
        <w:rPr>
          <w:b/>
          <w:bCs/>
        </w:rPr>
        <w:t xml:space="preserve">Table S16. Component CH4 rates at all sites, campaigns pooled</w:t>
      </w:r>
      <w:r>
        <w:t xml:space="preserve"> </w:t>
      </w:r>
      <w:r>
        <w:t xml:space="preserve">(nmol m−2 s−1 per m2 of surface; 95% CI; context sites MI, RB10, SE1 alongside the core sites; text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J. R. Evans, M. C. Ball, H. Lambers, T. L. Pons, Leaf respiration of snow gum in the light and dark: interactions between temperature and irradiance.</w:t>
      </w:r>
      <w:r>
        <w:t xml:space="preserve"> </w:t>
      </w:r>
      <w:r>
        <w:rPr>
          <w:i/>
          <w:iCs/>
        </w:rPr>
        <w:t xml:space="preserve">Plant Physiol.</w:t>
      </w:r>
      <w:r>
        <w:t xml:space="preserve"> </w:t>
      </w:r>
      <w:r>
        <w:rPr>
          <w:b/>
          <w:bCs/>
        </w:rPr>
        <w:t xml:space="preserve">122</w:t>
      </w:r>
      <w:r>
        <w:t xml:space="preserve">, 915–923 (2000).</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D. B. Clark et al., The Joint UK Land Environment Simulator (JULES), model description – Part 2: Carbon fluxes and vegetation dynamics.</w:t>
      </w:r>
      <w:r>
        <w:t xml:space="preserve"> </w:t>
      </w:r>
      <w:r>
        <w:rPr>
          <w:i/>
          <w:iCs/>
        </w:rPr>
        <w:t xml:space="preserve">Geosci. Model Dev.</w:t>
      </w:r>
      <w:r>
        <w:t xml:space="preserve"> </w:t>
      </w:r>
      <w:r>
        <w:rPr>
          <w:b/>
          <w:bCs/>
        </w:rPr>
        <w:t xml:space="preserve">4</w:t>
      </w:r>
      <w:r>
        <w:t xml:space="preserve">, 701–722 (2011).</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2026-10-08T21:46:17Z</dcterms:created>
  <dcterms:modified xsi:type="dcterms:W3CDTF">2026-10-08T21:46:17Z</dcterms:modified>
</cp:coreProperties>
</file>

<file path=docProps/custom.xml><?xml version="1.0" encoding="utf-8"?>
<Properties xmlns="http://schemas.openxmlformats.org/officeDocument/2006/custom-properties" xmlns:vt="http://schemas.openxmlformats.org/officeDocument/2006/docPropsVTypes"/>
</file>