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83.png" ContentType="image/png"/>
  <Override PartName="/word/media/rId92.png" ContentType="image/png"/>
  <Override PartName="/word/media/rId47.png" ContentType="image/png"/>
  <Override PartName="/word/media/rId59.png" ContentType="image/png"/>
  <Override PartName="/word/media/rId62.png" ContentType="image/png"/>
  <Override PartName="/word/media/rId89.png" ContentType="image/png"/>
  <Override PartName="/word/media/rId56.png" ContentType="image/png"/>
  <Override PartName="/word/media/rId65.png" ContentType="image/png"/>
  <Override PartName="/word/media/rId50.png" ContentType="image/png"/>
  <Override PartName="/word/media/rId80.png" ContentType="image/png"/>
  <Override PartName="/word/media/rId86.png" ContentType="image/png"/>
  <Override PartName="/word/media/rId71.png" ContentType="image/png"/>
  <Override PartName="/word/media/rId77.png" ContentType="image/png"/>
  <Override PartName="/word/media/rId98.png" ContentType="image/png"/>
  <Override PartName="/word/media/rId68.png" ContentType="image/png"/>
  <Override PartName="/word/media/rId53.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CO2 estimated marginal means by species and status are shown in fig. S6F.</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intact-class uncertainty is dominated by the exposed-soil fraction and the scanned root area, and ghost-class uncertainty by water-surface flux variability (component standard errors in fig. S10). For net forcing, canopy leaf respiration (Rd25 and LAI) and tower GPP dominate the intact interval and the CH4 budget dominates the ghost interval.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S12).</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1" w:name="supplementary-figures"/>
    <w:p>
      <w:pPr>
        <w:pStyle w:val="Heading1"/>
      </w:pPr>
      <w:r>
        <w:t xml:space="preserve">Supplementary Figures</w:t>
      </w:r>
    </w:p>
    <w:p>
      <w:pPr>
        <w:pStyle w:val="FirstParagraph"/>
      </w:pPr>
      <w:r>
        <w:drawing>
          <wp:inline>
            <wp:extent cx="5334000" cy="7577893"/>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577893"/>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designs: stem chambers at several heights, prop-root chamber, soil collar and cylinder, floating water chamber, leaf chamber and downed-wood chamber.</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diamonds at −2 cm mark chambers without a recorded water depth; triangles mark dissolved-gas samples. (b) Water-surface CH4 flux by campaign and site, coloured by recorded chamber position (in plot, off plot or open water, unlabelled).</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4889500"/>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4889500"/>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ebullitive water-surface CH4 by site and season; bars, means ± SE (shown where n &gt; 3); points, individual measurements. (b) Example placements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 season). Lines, least-squares fits ± 95% CI; r, Pearson correlation (CH4 on the inverse-hyperbolic-sine scale); ρ, Spearman correlation. Marco Island collars had no pneumatophores.</w:t>
      </w:r>
    </w:p>
    <w:p>
      <w:pPr>
        <w:pStyle w:val="BodyText"/>
      </w:pPr>
      <w:r>
        <w:drawing>
          <wp:inline>
            <wp:extent cx="5334000" cy="5482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Stem CH4 (a–c) and CO2 (d–f) by height class and forest class: (a, d) density ridges; (b, e) individual measurements with box plots and means for groups with n &gt; 3; (c) fitted woody-surface CH4 height profiles by class ± 95% CI (live stem, flooded, wet season; M20); (f) CO2 estimated marginal means (95% CI) by species and live/dead status from a linear mixed-effects model (M20).</w:t>
      </w:r>
    </w:p>
    <w:p>
      <w:pPr>
        <w:pStyle w:val="BodyText"/>
      </w:pPr>
      <w:r>
        <w:drawing>
          <wp:inline>
            <wp:extent cx="5334000" cy="1852083"/>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drawing>
          <wp:inline>
            <wp:extent cx="5334000" cy="1926166"/>
            <wp:effectExtent b="0" l="0" r="0" t="0"/>
            <wp:docPr descr="" title="" id="72" name="Picture"/>
            <a:graphic>
              <a:graphicData uri="http://schemas.openxmlformats.org/drawingml/2006/picture">
                <pic:pic>
                  <pic:nvPicPr>
                    <pic:cNvPr descr="output/figures/other/si_S7b_extrap_sensitivity.png" id="73" name="Picture"/>
                    <pic:cNvPicPr>
                      <a:picLocks noChangeArrowheads="1" noChangeAspect="1"/>
                    </pic:cNvPicPr>
                  </pic:nvPicPr>
                  <pic:blipFill>
                    <a:blip r:embed="rId71"/>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by height with exponential-decay fits by forest class to positive fluxes up to 1.5 m (solid), extrapolated above it and clamped at zero (dashed; shaded zone); inverse-hyperbolic-sine axis. (b) Total plot CH4 (mg m−2 d−1) under six extrapolation rules by site and campaign, with non-stem components held constant and high tide at tidal sites; x axes differ by site.</w:t>
      </w:r>
    </w:p>
    <w:p>
      <w:pPr>
        <w:pStyle w:val="BodyText"/>
      </w:pPr>
      <w:r>
        <w:drawing>
          <wp:inline>
            <wp:extent cx="5334000" cy="2667000"/>
            <wp:effectExtent b="0" l="0" r="0" t="0"/>
            <wp:docPr descr="" title="" id="75" name="Picture"/>
            <a:graphic>
              <a:graphicData uri="http://schemas.openxmlformats.org/drawingml/2006/picture">
                <pic:pic>
                  <pic:nvPicPr>
                    <pic:cNvPr descr="output/figures/other/SA_by_segment_height_fixedY.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area (m2 per 0.5 m height bin per plot) by segment class (trunk, branch, prop root) for the four scanned plots; dashed line, 1.5 m chamber height limit.</w:t>
      </w:r>
    </w:p>
    <w:p>
      <w:pPr>
        <w:pStyle w:val="BodyText"/>
      </w:pPr>
      <w:r>
        <w:drawing>
          <wp:inline>
            <wp:extent cx="5334000" cy="2222500"/>
            <wp:effectExtent b="0" l="0" r="0" t="0"/>
            <wp:docPr descr="" title="" id="78" name="Picture"/>
            <a:graphic>
              <a:graphicData uri="http://schemas.openxmlformats.org/drawingml/2006/picture">
                <pic:pic>
                  <pic:nvPicPr>
                    <pic:cNvPr descr="output/figures/other/si_S9_tide_scenarios.png" id="79" name="Picture"/>
                    <pic:cNvPicPr>
                      <a:picLocks noChangeArrowheads="1" noChangeAspect="1"/>
                    </pic:cNvPicPr>
                  </pic:nvPicPr>
                  <pic:blipFill>
                    <a:blip r:embed="rId77"/>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Total plot CH4 by site and campaign at high and low tide (tidal sites) or non-tidal (ghost sites), under exponential or zero stem extrapolation above 1.5 m (text S2; table S10); log axis.</w:t>
      </w:r>
    </w:p>
    <w:p>
      <w:pPr>
        <w:pStyle w:val="BodyText"/>
      </w:pPr>
      <w:r>
        <w:drawing>
          <wp:inline>
            <wp:extent cx="5334000" cy="2518833"/>
            <wp:effectExtent b="0" l="0" r="0" t="0"/>
            <wp:docPr descr="" title="" id="81" name="Picture"/>
            <a:graphic>
              <a:graphicData uri="http://schemas.openxmlformats.org/drawingml/2006/picture">
                <pic:pic>
                  <pic:nvPicPr>
                    <pic:cNvPr descr="output/figures/other/si_S10_mc_uncertainty.png" id="82" name="Picture"/>
                    <pic:cNvPicPr>
                      <a:picLocks noChangeArrowheads="1" noChangeAspect="1"/>
                    </pic:cNvPicPr>
                  </pic:nvPicPr>
                  <pic:blipFill>
                    <a:blip r:embed="rId80"/>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Monte Carlo standard error of each CH4 component (joint flux-rate and surface-area uncertainty) by site and campaign, at high tide for tidal sites; components with zero uncertainty omitted (text S4); log axis.</w:t>
      </w:r>
    </w:p>
    <w:p>
      <w:pPr>
        <w:pStyle w:val="BodyText"/>
      </w:pPr>
      <w:r>
        <w:drawing>
          <wp:inline>
            <wp:extent cx="5334000" cy="3852333"/>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Porewater dissolved CH4 (A) and salinity (B) by site, sampling round (October 2022, March 2023, October 2025) and depth, including FLM30.</w:t>
      </w:r>
    </w:p>
    <w:p>
      <w:pPr>
        <w:pStyle w:val="BodyText"/>
      </w:pPr>
      <w:r>
        <w:drawing>
          <wp:inline>
            <wp:extent cx="5334000" cy="2518833"/>
            <wp:effectExtent b="0" l="0" r="0" t="0"/>
            <wp:docPr descr="" title="" id="87" name="Picture"/>
            <a:graphic>
              <a:graphicData uri="http://schemas.openxmlformats.org/drawingml/2006/picture">
                <pic:pic>
                  <pic:nvPicPr>
                    <pic:cNvPr descr="output/figures/other/si_S12_carbonate.png" id="88" name="Picture"/>
                    <pic:cNvPicPr>
                      <a:picLocks noChangeArrowheads="1" noChangeAspect="1"/>
                    </pic:cNvPicPr>
                  </pic:nvPicPr>
                  <pic:blipFill>
                    <a:blip r:embed="rId86"/>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carbonate chemistry (October 2025; 0–90 cm, surface water excluded). (a) Total alkalinity against DIC calculated from pH and alkalinity, with the 1:1 line (dashed) and least-squares fits by site. (b) Total alkalinity against salinity, with class regressions (95% CI), Pearson r and n by class, and a conservative-mixing reference (dashed; end-members salinity 0, 3,000 µM and salinity 35, 2,400 µM; text S7). Fill, forest class; shape, site.</w:t>
      </w:r>
    </w:p>
    <w:p>
      <w:pPr>
        <w:pStyle w:val="BodyText"/>
      </w:pPr>
      <w:r>
        <w:drawing>
          <wp:inline>
            <wp:extent cx="5334000" cy="1852083"/>
            <wp:effectExtent b="0" l="0" r="0" t="0"/>
            <wp:docPr descr="" title="" id="90" name="Picture"/>
            <a:graphic>
              <a:graphicData uri="http://schemas.openxmlformats.org/drawingml/2006/picture">
                <pic:pic>
                  <pic:nvPicPr>
                    <pic:cNvPr descr="output/figures/other/pub_SI_salinity_vs_ch4_bysite.png" id="91" name="Picture"/>
                    <pic:cNvPicPr>
                      <a:picLocks noChangeArrowheads="1" noChangeAspect="1"/>
                    </pic:cNvPicPr>
                  </pic:nvPicPr>
                  <pic:blipFill>
                    <a:blip r:embed="rId89"/>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salinity against dissolved CH4 by site (site × round × depth means, including surface water) for the three sampling rounds (October 2022, March 2023, October 2025). Fill, forest class; shape, round; CH4 on a log(1 + x) axis.</w:t>
      </w:r>
    </w:p>
    <w:p>
      <w:pPr>
        <w:pStyle w:val="BodyText"/>
      </w:pPr>
      <w:r>
        <w:drawing>
          <wp:inline>
            <wp:extent cx="5334000" cy="4741333"/>
            <wp:effectExtent b="0" l="0" r="0" t="0"/>
            <wp:docPr descr="" title="" id="93" name="Picture"/>
            <a:graphic>
              <a:graphicData uri="http://schemas.openxmlformats.org/drawingml/2006/picture">
                <pic:pic>
                  <pic:nvPicPr>
                    <pic:cNvPr descr="output/figures/other/fig_carbon_budget.png" id="94" name="Picture"/>
                    <pic:cNvPicPr>
                      <a:picLocks noChangeArrowheads="1" noChangeAspect="1"/>
                    </pic:cNvPicPr>
                  </pic:nvPicPr>
                  <pic:blipFill>
                    <a:blip r:embed="rId92"/>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and methane budgets. (A) Carbon budget schematic (as Fig. 5A) for intact and ghost forest (g C m−2 yr−1; arrow width proportional to the square root of the flux, one scale for both). Solid arrows are measured here: GPP (tower) and CO2 and CH4 from each surface (chambers × scanned area), shown as mean ± 1 SE across the four plot × campaign estimates. Translucent, dashed arrows are literature values with their published ranges: litterfall, root production, wood mortality, wood increment, burial and lateral export (DIC, DOC, POC, dissolved CH4), for intact forest only. The closure residual (net exchange minus lateral export, burial and wood increment; M18, text S10) is 423 g C m−2 yr−1, with a range of −182 to 595 when the half-ranges of its terms are combined in quadrature. The imbalance is therefore within the uncertainty of lateral export.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657600"/>
            <wp:effectExtent b="0" l="0" r="0" t="0"/>
            <wp:docPr descr="" title="" id="96" name="Picture"/>
            <a:graphic>
              <a:graphicData uri="http://schemas.openxmlformats.org/drawingml/2006/picture">
                <pic:pic>
                  <pic:nvPicPr>
                    <pic:cNvPr descr="output/gpp/plots/US-Skr_GPP_mean_diurnal_cycle.png" id="97" name="Picture"/>
                    <pic:cNvPicPr>
                      <a:picLocks noChangeArrowheads="1" noChangeAspect="1"/>
                    </pic:cNvPicPr>
                  </pic:nvPicPr>
                  <pic:blipFill>
                    <a:blip r:embed="rId95"/>
                    <a:stretch>
                      <a:fillRect/>
                    </a:stretch>
                  </pic:blipFill>
                  <pic:spPr bwMode="auto">
                    <a:xfrm>
                      <a:off x="0" y="0"/>
                      <a:ext cx="5334000" cy="36576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Lines, monthly mean half-hourly GPP; ribbons, mean bootstrap 95% interval (partitioning-parameter uncertainty); local standard time.</w:t>
      </w:r>
    </w:p>
    <w:p>
      <w:pPr>
        <w:pStyle w:val="BodyText"/>
      </w:pPr>
      <w:r>
        <w:drawing>
          <wp:inline>
            <wp:extent cx="5334000" cy="4741333"/>
            <wp:effectExtent b="0" l="0" r="0" t="0"/>
            <wp:docPr descr="" title="" id="99" name="Picture"/>
            <a:graphic>
              <a:graphicData uri="http://schemas.openxmlformats.org/drawingml/2006/picture">
                <pic:pic>
                  <pic:nvPicPr>
                    <pic:cNvPr descr="output/figures/other/site_closure_comparison.png" id="100" name="Picture"/>
                    <pic:cNvPicPr>
                      <a:picLocks noChangeArrowheads="1" noChangeAspect="1"/>
                    </pic:cNvPicPr>
                  </pic:nvPicPr>
                  <pic:blipFill>
                    <a:blip r:embed="rId9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Class-mean bottom-up CH4 by component and campaign compared with the airborne estimate. (a) Stacked component contributions (nmol m−2 ground s−1); dashed outlines mark classes with assumed structure (no TLS: regenerating, scrub and context sites); diamonds, airborne class flux ± SE (intact and ghost only). (b) Component coverage: chambers per class and campaign; white cells with 0, component not measured on that visit; pale cells, class not visited.</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1"/>
    <w:bookmarkStart w:id="102"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2"/>
    <w:bookmarkStart w:id="103"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Barr, J. G. &amp; Fuentes, J. D. et al. AmeriFlux BASE US-Skr Shark River Slough (Tower SRS-6) Everglades, version 2-5. AmeriFlux AMP (dataset). [CHECK: DOI and creator list]</w:t>
            </w:r>
          </w:p>
        </w:tc>
        <w:tc>
          <w:tcPr/>
          <w:p>
            <w:pPr>
              <w:pStyle w:val="Compact"/>
            </w:pPr>
            <w:r>
              <w:t xml:space="preserve">Tower NEE, GPP partitioning, air temperature and pressure for chamber fluxes, Q10</w:t>
            </w:r>
          </w:p>
        </w:tc>
      </w:tr>
      <w:tr>
        <w:tc>
          <w:tcPr/>
          <w:p>
            <w:pPr>
              <w:pStyle w:val="Compact"/>
            </w:pPr>
            <w:r>
              <w:t xml:space="preserve">Castañeda-Moya, E. et al. Water level at the FCE LTER mangrove sites SRS5 and SRS6. Environmental Data Initiative, knb-lter-fce.1168.15 (dataset). [CHECK: title and DOI]</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Litterfall production of mangrove forests along Shark River Slough and Taylor Slough, Everglades National Park (FCE LTER). Environmental Data Initiative, knb-lter-fce.1195.12 (dataset). [CHECK: title and DOI]</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et al. [CARAFE airborne flux data for BlueFlux]. ORNL DAAC (dataset). [CHECK: DAAC dataset ID]</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public archive]</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[BlueFlux aquatic transect dissolved CO2 and CH4, Shark River, October 2022; CHECK citation]</w:t>
            </w:r>
          </w:p>
        </w:tc>
        <w:tc>
          <w:tcPr/>
          <w:p>
            <w:pPr>
              <w:pStyle w:val="Compact"/>
            </w:pPr>
            <w:r>
              <w:t xml:space="preserve">Dissolved gas at SRS6 for the October 2022 water-surface flux (M8)</w:t>
            </w:r>
          </w:p>
        </w:tc>
      </w:tr>
    </w:tbl>
    <w:p>
      <w:r>
        <w:pict>
          <v:rect style="width:0;height:1.5pt" o:hralign="center" o:hrstd="t" o:hr="t"/>
        </w:pict>
      </w:r>
    </w:p>
    <w:bookmarkEnd w:id="103"/>
    <w:bookmarkStart w:id="104"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IPCC, Ch. 7,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89" Target="media/rId89.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5" Target="media/rId9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2026-10-03T17:14:36Z</dcterms:created>
  <dcterms:modified xsi:type="dcterms:W3CDTF">2026-10-03T17:14:36Z</dcterms:modified>
</cp:coreProperties>
</file>

<file path=docProps/custom.xml><?xml version="1.0" encoding="utf-8"?>
<Properties xmlns="http://schemas.openxmlformats.org/officeDocument/2006/custom-properties" xmlns:vt="http://schemas.openxmlformats.org/officeDocument/2006/docPropsVTypes"/>
</file>