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83.png" ContentType="image/png"/>
  <Override PartName="/word/media/rId47.png" ContentType="image/png"/>
  <Override PartName="/word/media/rId59.png" ContentType="image/png"/>
  <Override PartName="/word/media/rId62.png" ContentType="image/png"/>
  <Override PartName="/word/media/rId56.png" ContentType="image/png"/>
  <Override PartName="/word/media/rId65.png" ContentType="image/png"/>
  <Override PartName="/word/media/rId50.png" ContentType="image/png"/>
  <Override PartName="/word/media/rId80.png" ContentType="image/png"/>
  <Override PartName="/word/media/rId86.png" ContentType="image/png"/>
  <Override PartName="/word/media/rId89.png" ContentType="image/png"/>
  <Override PartName="/word/media/rId77.png" ContentType="image/png"/>
  <Override PartName="/word/media/rId74.png" ContentType="image/png"/>
  <Override PartName="/word/media/rId92.png" ContentType="image/png"/>
  <Override PartName="/word/media/rId68.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 Against the long-term records (fig. S14), October 2022 was unusually wet (SRS6 water level above the typical October range) with tower CH4 near its seasonal maximum, whereas March 2023 had tower CH4 below the typical March range and high midday CO2 uptake; the two campaigns therefore bracket the seasonal range of CH4 rather than sample its mean, and the warmest months (July–September) were not sampled.</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S14).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5D),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S6,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stand CH4 in each tide state is shown in fig. S9.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+2,775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S11). For net forcing, canopy leaf respiration (Rd25 and LAI) and tower GPP dominate the intact interval and the CH4 budget dominates the ghost interval. The intervals of the two states do not overlap: intact −5,233 to −1,939 and ghost +1,922 to +3,978 g CO2-eq m−2 yr−1 at GWP20 (−5,294 to −2,035 and +1,491 to +3,263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Assigning BL60 stem and root areas midway between the ghost and intact classes and its measured inundated share (0.33 of depth readings with standing water) gives ~33 g CH4 m−2 yr−1 (32.7 exposed to 33.3 flooded), above both ghost (~12) and intact (~1.5) forest. This first-order estimate assumes intermediate structure and rests on pooled campaigns; it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S13).</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Fig. S10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5A). Lateral export of dissolved CH4 from intact forest (~0.35 g C m−2 yr−1; Yau et al. 2024, an analogue) is small beside stand emission (1.1 g C m−2 yr−1).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95"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59266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chamber position (above the flooded forest floor, or in a channel or open water at the tidal sites; the ghost and regenerating sites have no channels); bars, arithmetic means. At the two tidal sites where both positions were sampled (SRS5, SRS6; March 2023), flux did not differ between them (Wilcoxon p = 0.29 and 1), so channel and open-water placements neither missed nor inflated water hotspots.</w:t>
      </w:r>
    </w:p>
    <w:p>
      <w:pPr>
        <w:pStyle w:val="BodyText"/>
      </w:pPr>
      <w:r>
        <w:drawing>
          <wp:inline>
            <wp:extent cx="5334000" cy="6815666"/>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3407833"/>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4593166"/>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6371166"/>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72" name="Picture"/>
            <a:graphic>
              <a:graphicData uri="http://schemas.openxmlformats.org/drawingml/2006/picture">
                <pic:pic>
                  <pic:nvPicPr>
                    <pic:cNvPr descr="output/figures/other/SA_by_segment_height_fixedY.png" id="73" name="Picture"/>
                    <pic:cNvPicPr>
                      <a:picLocks noChangeArrowheads="1" noChangeAspect="1"/>
                    </pic:cNvPicPr>
                  </pic:nvPicPr>
                  <pic:blipFill>
                    <a:blip r:embed="rId7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2963333"/>
            <wp:effectExtent b="0" l="0" r="0" t="0"/>
            <wp:docPr descr="" title="" id="75" name="Picture"/>
            <a:graphic>
              <a:graphicData uri="http://schemas.openxmlformats.org/drawingml/2006/picture">
                <pic:pic>
                  <pic:nvPicPr>
                    <pic:cNvPr descr="output/figures/other/si_tide_states.png" id="76" name="Picture"/>
                    <pic:cNvPicPr>
                      <a:picLocks noChangeArrowheads="1" noChangeAspect="1"/>
                    </pic:cNvPicPr>
                  </pic:nvPicPr>
                  <pic:blipFill>
                    <a:blip r:embed="rId74"/>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4593166"/>
            <wp:effectExtent b="0" l="0" r="0" t="0"/>
            <wp:docPr descr="" title="" id="78" name="Picture"/>
            <a:graphic>
              <a:graphicData uri="http://schemas.openxmlformats.org/drawingml/2006/picture">
                <pic:pic>
                  <pic:nvPicPr>
                    <pic:cNvPr descr="output/figures/other/si_sensitivity_switch.png" id="79" name="Picture"/>
                    <pic:cNvPicPr>
                      <a:picLocks noChangeArrowheads="1" noChangeAspect="1"/>
                    </pic:cNvPicPr>
                  </pic:nvPicPr>
                  <pic:blipFill>
                    <a:blip r:embed="rId77"/>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Sensitivity of the intact-to-ghost switch (GWP20) to analytical choices, one at a time (text S9; table S10). Vertical line, central case (6,409 g CO2-eq m−2 yr−1); points left of it lower the switch, right of it raise it. Analytical choices keep the switch between ~5,600 and ~8,000 (GWP100: ~5,100–7,300); only carbon-balance framings that count lateral export or storage alone lower it further.</w:t>
      </w:r>
    </w:p>
    <w:p>
      <w:pPr>
        <w:pStyle w:val="BodyText"/>
      </w:pPr>
      <w:r>
        <w:drawing>
          <wp:inline>
            <wp:extent cx="5334000" cy="2667000"/>
            <wp:effectExtent b="0" l="0" r="0" t="0"/>
            <wp:docPr descr="" title="" id="81" name="Picture"/>
            <a:graphic>
              <a:graphicData uri="http://schemas.openxmlformats.org/drawingml/2006/picture">
                <pic:pic>
                  <pic:nvPicPr>
                    <pic:cNvPr descr="output/figures/other/si_S10_mc_uncertainty.png" id="82" name="Picture"/>
                    <pic:cNvPicPr>
                      <a:picLocks noChangeArrowheads="1" noChangeAspect="1"/>
                    </pic:cNvPicPr>
                  </pic:nvPicPr>
                  <pic:blipFill>
                    <a:blip r:embed="rId80"/>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S4); inverse-hyperbolic-sine axis; components that are always zero omitted.</w:t>
      </w:r>
    </w:p>
    <w:p>
      <w:pPr>
        <w:pStyle w:val="BodyText"/>
      </w:pPr>
      <w:r>
        <w:drawing>
          <wp:inline>
            <wp:extent cx="5334000" cy="5482166"/>
            <wp:effectExtent b="0" l="0" r="0" t="0"/>
            <wp:docPr descr="" title="" id="84" name="Picture"/>
            <a:graphic>
              <a:graphicData uri="http://schemas.openxmlformats.org/drawingml/2006/picture">
                <pic:pic>
                  <pic:nvPicPr>
                    <pic:cNvPr descr="output/figures/other/ed_porewater_rounds.png" id="85" name="Picture"/>
                    <pic:cNvPicPr>
                      <a:picLocks noChangeArrowheads="1" noChangeAspect="1"/>
                    </pic:cNvPicPr>
                  </pic:nvPicPr>
                  <pic:blipFill>
                    <a:blip r:embed="rId83"/>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by site, sampling round (October 2022, March 2023, October 2025) and depth: (a) dissolved CH4 and (b) salinity (site × round × depth means; porewater only); (c) salinity against dissolved CH4 by site (including surface water; shape, round; log(1 + x) axis). Site names coloured by forest class. No porewater CH4 was analysed for SRS5 and SRS6 in March 2023.</w:t>
      </w:r>
    </w:p>
    <w:p>
      <w:pPr>
        <w:pStyle w:val="BodyText"/>
      </w:pPr>
      <w:r>
        <w:drawing>
          <wp:inline>
            <wp:extent cx="5334000" cy="2222500"/>
            <wp:effectExtent b="0" l="0" r="0" t="0"/>
            <wp:docPr descr="" title="" id="87" name="Picture"/>
            <a:graphic>
              <a:graphicData uri="http://schemas.openxmlformats.org/drawingml/2006/picture">
                <pic:pic>
                  <pic:nvPicPr>
                    <pic:cNvPr descr="output/figures/other/si_S12_carbonate.png" id="88" name="Picture"/>
                    <pic:cNvPicPr>
                      <a:picLocks noChangeArrowheads="1" noChangeAspect="1"/>
                    </pic:cNvPicPr>
                  </pic:nvPicPr>
                  <pic:blipFill>
                    <a:blip r:embed="rId86"/>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alkalinity against conservative mixing (October 2025; 0–90 cm, surface water excluded; text S7). (a) Total alkalinity against salinity, with the mixing line (dashed; end-members salinity 0, 3,000 µM and salinity 35, 2,400 µM). (b) Measured against mixing-predicted alkalinity; dashed, 1:1. (c) Measured ÷ mixing-predicted alkalinity by site. Fill, forest class; shape, site. FLM30 was not sampled for alkalinity.</w:t>
      </w:r>
    </w:p>
    <w:p>
      <w:pPr>
        <w:pStyle w:val="BodyText"/>
      </w:pPr>
      <w:r>
        <w:drawing>
          <wp:inline>
            <wp:extent cx="5334000" cy="1926166"/>
            <wp:effectExtent b="0" l="0" r="0" t="0"/>
            <wp:docPr descr="" title="" id="90" name="Picture"/>
            <a:graphic>
              <a:graphicData uri="http://schemas.openxmlformats.org/drawingml/2006/picture">
                <pic:pic>
                  <pic:nvPicPr>
                    <pic:cNvPr descr="output/figures/other/si_campaign_context.png" id="91" name="Picture"/>
                    <pic:cNvPicPr>
                      <a:picLocks noChangeArrowheads="1" noChangeAspect="1"/>
                    </pic:cNvPicPr>
                  </pic:nvPicPr>
                  <pic:blipFill>
                    <a:blip r:embed="rId89"/>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Campaign context (M2). Monthly z-scores of SRS6 water level (FCE LTER, 2001–2024), air temperature and midday net CO2 uptake (US-Skr tower, 2004–2011 and 2018–2023) and tower CH4 flux (2018–2023; FCH4 + storage, quality flag ≤ 1, u* &gt; 0.2), each standardised over all of its year-months. Lines, median for each calendar month; bands, interquartile range across years (16–22 years per month for water level, 2–6 for tower CH4); points, the campaign months (October 2022, March 2023) with ±1 SD of daily means within the month; shading, campaign months. The tower CH4 record carries a negative dry-season offset that the z-score removes; only its seasonal pattern is shown.</w:t>
      </w:r>
    </w:p>
    <w:p>
      <w:pPr>
        <w:pStyle w:val="BodyText"/>
      </w:pPr>
      <w:r>
        <w:drawing>
          <wp:inline>
            <wp:extent cx="5334000" cy="4741333"/>
            <wp:effectExtent b="0" l="0" r="0" t="0"/>
            <wp:docPr descr="" title="" id="93" name="Picture"/>
            <a:graphic>
              <a:graphicData uri="http://schemas.openxmlformats.org/drawingml/2006/picture">
                <pic:pic>
                  <pic:nvPicPr>
                    <pic:cNvPr descr="output/figures/other/site_closure_comparison.png" id="94" name="Picture"/>
                    <pic:cNvPicPr>
                      <a:picLocks noChangeArrowheads="1" noChangeAspect="1"/>
                    </pic:cNvPicPr>
                  </pic:nvPicPr>
                  <pic:blipFill>
                    <a:blip r:embed="rId92"/>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Class-mean bottom-up CH4 by component and campaign compared with the airborne estimate. (a) Stacked component contributions (nmol m−2 ground s−1); dashed outlines mark classes with assumed structure (no TLS: regenerating, scrub and context sites); diamonds, airborne class flux ± SE (intact and ghost only). (b) Component coverage: chambers per class and campaign; white cells with 0, component not measured on that visit; pale cells, class not visited.</w:t>
      </w:r>
    </w:p>
    <w:p>
      <w:pPr>
        <w:pStyle w:val="BodyText"/>
      </w:pPr>
      <w:r>
        <w:rPr>
          <w:b/>
          <w:bCs/>
        </w:rPr>
        <w:t xml:space="preserve">Fig. S16.</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95"/>
    <w:bookmarkStart w:id="96"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33.43)</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3.94)</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(-2.28 to -0.37)</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(-3.32 to -1.23)</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(0.39 to 2.14)</w:t>
            </w:r>
          </w:p>
        </w:tc>
        <w:tc>
          <w:tcPr/>
          <w:p>
            <w:pPr>
              <w:pStyle w:val="Compact"/>
            </w:pPr>
            <w:r>
              <w:t xml:space="preserve">2.26 (1.23 to 3.60)</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(0.61 to 14.61)</w:t>
            </w:r>
          </w:p>
        </w:tc>
        <w:tc>
          <w:tcPr/>
          <w:p>
            <w:pPr>
              <w:pStyle w:val="Compact"/>
            </w:pPr>
            <w:r>
              <w:t xml:space="preserve">2.17 (1.18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3.09)</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5.23)</w:t>
            </w:r>
          </w:p>
        </w:tc>
        <w:tc>
          <w:tcPr/>
          <w:p>
            <w:pPr>
              <w:pStyle w:val="Compact"/>
            </w:pPr>
            <w:r>
              <w:t xml:space="preserve">0.54 (0.06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(4.91 to 21.09)</w:t>
            </w:r>
          </w:p>
        </w:tc>
        <w:tc>
          <w:tcPr/>
          <w:p>
            <w:pPr>
              <w:pStyle w:val="Compact"/>
            </w:pPr>
            <w:r>
              <w:t xml:space="preserve">1.49 (0.94 to 2.02)</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2.13)</w:t>
            </w:r>
          </w:p>
        </w:tc>
        <w:tc>
          <w:tcPr/>
          <w:p>
            <w:pPr>
              <w:pStyle w:val="Compact"/>
            </w:pPr>
            <w:r>
              <w:t xml:space="preserve">1.29 (1.03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(5.67 to 21.37)</w:t>
            </w:r>
          </w:p>
        </w:tc>
        <w:tc>
          <w:tcPr/>
          <w:p>
            <w:pPr>
              <w:pStyle w:val="Compact"/>
            </w:pPr>
            <w:r>
              <w:t xml:space="preserve">1.97 (1.01 to 3.03)</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(27.58 to 93.44)</w:t>
            </w:r>
          </w:p>
        </w:tc>
        <w:tc>
          <w:tcPr/>
          <w:p>
            <w:pPr>
              <w:pStyle w:val="Compact"/>
            </w:pPr>
            <w:r>
              <w:t xml:space="preserve">8.70 (6.77 to 10.75)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(4.62 to 10.74)</w:t>
            </w:r>
          </w:p>
        </w:tc>
        <w:tc>
          <w:tcPr/>
          <w:p>
            <w:pPr>
              <w:pStyle w:val="Compact"/>
            </w:pPr>
            <w:r>
              <w:t xml:space="preserve">1.84 (1.42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(8.70 to 30.81)</w:t>
            </w:r>
          </w:p>
        </w:tc>
        <w:tc>
          <w:tcPr/>
          <w:p>
            <w:pPr>
              <w:pStyle w:val="Compact"/>
            </w:pPr>
            <w:r>
              <w:t xml:space="preserve">2.70 (2.21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0.62)</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(0.40 to 2.14)</w:t>
            </w:r>
          </w:p>
        </w:tc>
        <w:tc>
          <w:tcPr/>
          <w:p>
            <w:pPr>
              <w:pStyle w:val="Compact"/>
            </w:pPr>
            <w:r>
              <w:t xml:space="preserve">3.74 (3.16 to 4.36)</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(7.30 to 80.66)</w:t>
            </w:r>
          </w:p>
        </w:tc>
        <w:tc>
          <w:tcPr/>
          <w:p>
            <w:pPr>
              <w:pStyle w:val="Compact"/>
            </w:pPr>
            <w:r>
              <w:t xml:space="preserve">7.33 (5.37 to 9.71)</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0.69)</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(5.33 to 7.43)</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(22.10 to 63.80)</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(0.51 to 1.20)</w:t>
            </w:r>
          </w:p>
        </w:tc>
        <w:tc>
          <w:tcPr/>
          <w:p>
            <w:pPr>
              <w:pStyle w:val="Compact"/>
            </w:pPr>
            <w:r>
              <w:t xml:space="preserve">1.37 (1.15 to 1.58)</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88.21)</w:t>
            </w:r>
          </w:p>
        </w:tc>
        <w:tc>
          <w:tcPr/>
          <w:p>
            <w:pPr>
              <w:pStyle w:val="Compact"/>
            </w:pPr>
            <w:r>
              <w:t xml:space="preserve">2.06 (1.70 to 2.48)</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70.14</w:t>
            </w:r>
          </w:p>
        </w:tc>
        <w:tc>
          <w:tcPr/>
          <w:p>
            <w:pPr>
              <w:pStyle w:val="Compact"/>
            </w:pPr>
            <w:r>
              <w:t xml:space="preserve">0.26</w:t>
            </w:r>
          </w:p>
        </w:tc>
        <w:tc>
          <w:tcPr/>
          <w:p>
            <w:pPr>
              <w:pStyle w:val="Compact"/>
            </w:pPr>
            <w:r>
              <w:t xml:space="preserve">70.73</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0.02</w:t>
            </w:r>
          </w:p>
        </w:tc>
        <w:tc>
          <w:tcPr/>
          <w:p>
            <w:pPr>
              <w:pStyle w:val="Compact"/>
            </w:pPr>
            <w:r>
              <w:t xml:space="preserve">8.24</w:t>
            </w:r>
          </w:p>
        </w:tc>
        <w:tc>
          <w:tcPr/>
          <w:p>
            <w:pPr>
              <w:pStyle w:val="Compact"/>
            </w:pPr>
            <w:r>
              <w:t xml:space="preserve">5.92</w:t>
            </w:r>
          </w:p>
        </w:tc>
        <w:tc>
          <w:tcPr/>
          <w:p>
            <w:pPr>
              <w:pStyle w:val="Compact"/>
            </w:pPr>
            <w:r>
              <w:t xml:space="preserve">-0.01</w:t>
            </w:r>
          </w:p>
        </w:tc>
        <w:tc>
          <w:tcPr/>
          <w:p>
            <w:pPr>
              <w:pStyle w:val="Compact"/>
            </w:pPr>
            <w:r>
              <w:t xml:space="preserve">14.33</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28.81</w:t>
            </w:r>
          </w:p>
        </w:tc>
        <w:tc>
          <w:tcPr/>
          <w:p>
            <w:pPr>
              <w:pStyle w:val="Compact"/>
            </w:pPr>
            <w:r>
              <w:t xml:space="preserve">0.00</w:t>
            </w:r>
          </w:p>
        </w:tc>
        <w:tc>
          <w:tcPr/>
          <w:p>
            <w:pPr>
              <w:pStyle w:val="Compact"/>
            </w:pPr>
            <w:r>
              <w:t xml:space="preserve">28.98</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8.18</w:t>
            </w:r>
          </w:p>
        </w:tc>
        <w:tc>
          <w:tcPr/>
          <w:p>
            <w:pPr>
              <w:pStyle w:val="Compact"/>
            </w:pPr>
            <w:r>
              <w:t xml:space="preserve">-0.02</w:t>
            </w:r>
          </w:p>
        </w:tc>
        <w:tc>
          <w:tcPr/>
          <w:p>
            <w:pPr>
              <w:pStyle w:val="Compact"/>
            </w:pPr>
            <w:r>
              <w:t xml:space="preserve">16.35</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1.42</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0.41</w:t>
            </w:r>
          </w:p>
        </w:tc>
        <w:tc>
          <w:tcPr/>
          <w:p>
            <w:pPr>
              <w:pStyle w:val="Compact"/>
            </w:pPr>
            <w:r>
              <w:t xml:space="preserve">0.29</w:t>
            </w:r>
          </w:p>
        </w:tc>
        <w:tc>
          <w:tcPr/>
          <w:p>
            <w:pPr>
              <w:pStyle w:val="Compact"/>
            </w:pPr>
            <w:r>
              <w:t xml:space="preserve">0.29</w:t>
            </w:r>
          </w:p>
        </w:tc>
        <w:tc>
          <w:tcPr/>
          <w:p>
            <w:pPr>
              <w:pStyle w:val="Compact"/>
            </w:pPr>
            <w:r>
              <w:t xml:space="preserve">0.04</w:t>
            </w:r>
          </w:p>
        </w:tc>
        <w:tc>
          <w:tcPr/>
          <w:p>
            <w:pPr>
              <w:pStyle w:val="Compact"/>
            </w:pPr>
            <w:r>
              <w:t xml:space="preserve">1.07</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5.78</w:t>
            </w:r>
          </w:p>
        </w:tc>
        <w:tc>
          <w:tcPr/>
          <w:p>
            <w:pPr>
              <w:pStyle w:val="Compact"/>
            </w:pPr>
            <w:r>
              <w:t xml:space="preserve">0.60</w:t>
            </w:r>
          </w:p>
        </w:tc>
        <w:tc>
          <w:tcPr/>
          <w:p>
            <w:pPr>
              <w:pStyle w:val="Compact"/>
            </w:pPr>
            <w:r>
              <w:t xml:space="preserve">0.08</w:t>
            </w:r>
          </w:p>
        </w:tc>
        <w:tc>
          <w:tcPr/>
          <w:p>
            <w:pPr>
              <w:pStyle w:val="Compact"/>
            </w:pPr>
            <w:r>
              <w:t xml:space="preserve">10.32</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3.53</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0.35</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0.63</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5.30</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50.71 (26.10 to 85.52)</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20.82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(0.32 to 1.15)</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(0.87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15.58 (0.87 to 43.48)</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15.90 (7.97 to 28.34)</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0.85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5.31 (4.11 to 6.58)</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7.28 (5.90 to 8.84)</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1.25 (0.40 to 2.72)</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(0.12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0.71 (0.09 to 1.57)</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3.56 (2.25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0.65)</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-3 755</w:t>
            </w:r>
          </w:p>
        </w:tc>
        <w:tc>
          <w:tcPr/>
          <w:p>
            <w:pPr>
              <w:pStyle w:val="Compact"/>
            </w:pPr>
            <w:r>
              <w:t xml:space="preserve">-3 634</w:t>
            </w:r>
          </w:p>
        </w:tc>
        <w:tc>
          <w:tcPr/>
          <w:p>
            <w:pPr>
              <w:pStyle w:val="Compact"/>
            </w:pPr>
            <w:r>
              <w:t xml:space="preserve">-5 233 to -1 939</w:t>
            </w:r>
          </w:p>
        </w:tc>
        <w:tc>
          <w:tcPr/>
          <w:p>
            <w:pPr>
              <w:pStyle w:val="Compact"/>
            </w:pPr>
            <w:r>
              <w:t xml:space="preserve">-3 713</w:t>
            </w:r>
          </w:p>
        </w:tc>
        <w:tc>
          <w:tcPr/>
          <w:p>
            <w:pPr>
              <w:pStyle w:val="Compact"/>
            </w:pPr>
            <w:r>
              <w:t xml:space="preserve">-5 294 to -2 035</w:t>
            </w:r>
          </w:p>
        </w:tc>
        <w:tc>
          <w:tcPr/>
          <w:p>
            <w:pPr>
              <w:pStyle w:val="Compact"/>
            </w:pPr>
            <w:r>
              <w:t xml:space="preserve">-3 743</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1 809</w:t>
            </w:r>
          </w:p>
        </w:tc>
        <w:tc>
          <w:tcPr/>
          <w:p>
            <w:pPr>
              <w:pStyle w:val="Compact"/>
            </w:pPr>
            <w:r>
              <w:t xml:space="preserve">2 775</w:t>
            </w:r>
          </w:p>
        </w:tc>
        <w:tc>
          <w:tcPr/>
          <w:p>
            <w:pPr>
              <w:pStyle w:val="Compact"/>
            </w:pPr>
            <w:r>
              <w:t xml:space="preserve">1 922 to 3 978</w:t>
            </w:r>
          </w:p>
        </w:tc>
        <w:tc>
          <w:tcPr/>
          <w:p>
            <w:pPr>
              <w:pStyle w:val="Compact"/>
            </w:pPr>
            <w:r>
              <w:t xml:space="preserve">2 141</w:t>
            </w:r>
          </w:p>
        </w:tc>
        <w:tc>
          <w:tcPr/>
          <w:p>
            <w:pPr>
              <w:pStyle w:val="Compact"/>
            </w:pPr>
            <w:r>
              <w:t xml:space="preserve">1 491 to 3 263</w:t>
            </w:r>
          </w:p>
        </w:tc>
        <w:tc>
          <w:tcPr/>
          <w:p>
            <w:pPr>
              <w:pStyle w:val="Compact"/>
            </w:pPr>
            <w:r>
              <w:t xml:space="preserve">3 136</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2,775 [2,141]</w:t>
            </w:r>
          </w:p>
        </w:tc>
        <w:tc>
          <w:tcPr/>
          <w:p>
            <w:pPr>
              <w:pStyle w:val="Compact"/>
            </w:pPr>
            <w:r>
              <w:t xml:space="preserve">6,409 [5,854]</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6,913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3,184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2,775 [2,141]</w:t>
            </w:r>
          </w:p>
        </w:tc>
        <w:tc>
          <w:tcPr/>
          <w:p>
            <w:pPr>
              <w:pStyle w:val="Compact"/>
            </w:pPr>
            <w:r>
              <w:t xml:space="preserve">6,036 [5,508]</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2,775 [2,141]</w:t>
            </w:r>
          </w:p>
        </w:tc>
        <w:tc>
          <w:tcPr/>
          <w:p>
            <w:pPr>
              <w:pStyle w:val="Compact"/>
            </w:pPr>
            <w:r>
              <w:t xml:space="preserve">7,089 [6,504]</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2,775 [2,141]</w:t>
            </w:r>
          </w:p>
        </w:tc>
        <w:tc>
          <w:tcPr/>
          <w:p>
            <w:pPr>
              <w:pStyle w:val="Compact"/>
            </w:pPr>
            <w:r>
              <w:t xml:space="preserve">6,178 [5,647]</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2,775 [2,141]</w:t>
            </w:r>
          </w:p>
        </w:tc>
        <w:tc>
          <w:tcPr/>
          <w:p>
            <w:pPr>
              <w:pStyle w:val="Compact"/>
            </w:pPr>
            <w:r>
              <w:t xml:space="preserve">6,238 [5,692]</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2,775 [2,141]</w:t>
            </w:r>
          </w:p>
        </w:tc>
        <w:tc>
          <w:tcPr/>
          <w:p>
            <w:pPr>
              <w:pStyle w:val="Compact"/>
            </w:pPr>
            <w:r>
              <w:t xml:space="preserve">6,568 [6,005]</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2,775 [2,141]</w:t>
            </w:r>
          </w:p>
        </w:tc>
        <w:tc>
          <w:tcPr/>
          <w:p>
            <w:pPr>
              <w:pStyle w:val="Compact"/>
            </w:pPr>
            <w:r>
              <w:t xml:space="preserve">5,829 [5,310]</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−3,641 [−3,715]</w:t>
            </w:r>
          </w:p>
        </w:tc>
        <w:tc>
          <w:tcPr/>
          <w:p>
            <w:pPr>
              <w:pStyle w:val="Compact"/>
            </w:pPr>
            <w:r>
              <w:t xml:space="preserve">2,775 [2,141]</w:t>
            </w:r>
          </w:p>
        </w:tc>
        <w:tc>
          <w:tcPr/>
          <w:p>
            <w:pPr>
              <w:pStyle w:val="Compact"/>
            </w:pPr>
            <w:r>
              <w:t xml:space="preserve">6,415 [5,856]</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−3,616 [−3,707]</w:t>
            </w:r>
          </w:p>
        </w:tc>
        <w:tc>
          <w:tcPr/>
          <w:p>
            <w:pPr>
              <w:pStyle w:val="Compact"/>
            </w:pPr>
            <w:r>
              <w:t xml:space="preserve">2,775 [2,141]</w:t>
            </w:r>
          </w:p>
        </w:tc>
        <w:tc>
          <w:tcPr/>
          <w:p>
            <w:pPr>
              <w:pStyle w:val="Compact"/>
            </w:pPr>
            <w:r>
              <w:t xml:space="preserve">6,391 [5,848]</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−3,597 [−3,700]</w:t>
            </w:r>
          </w:p>
        </w:tc>
        <w:tc>
          <w:tcPr/>
          <w:p>
            <w:pPr>
              <w:pStyle w:val="Compact"/>
            </w:pPr>
            <w:r>
              <w:t xml:space="preserve">3,068 [2,242]</w:t>
            </w:r>
          </w:p>
        </w:tc>
        <w:tc>
          <w:tcPr/>
          <w:p>
            <w:pPr>
              <w:pStyle w:val="Compact"/>
            </w:pPr>
            <w:r>
              <w:t xml:space="preserve">6,665 [5,942]</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2,460 [1,899]</w:t>
            </w:r>
          </w:p>
        </w:tc>
        <w:tc>
          <w:tcPr/>
          <w:p>
            <w:pPr>
              <w:pStyle w:val="Compact"/>
            </w:pPr>
            <w:r>
              <w:t xml:space="preserve">6,094 [5,612]</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2,562 [1,977]</w:t>
            </w:r>
          </w:p>
        </w:tc>
        <w:tc>
          <w:tcPr/>
          <w:p>
            <w:pPr>
              <w:pStyle w:val="Compact"/>
            </w:pPr>
            <w:r>
              <w:t xml:space="preserve">6,195 [5,690]</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3,356 [2,699]</w:t>
            </w:r>
          </w:p>
        </w:tc>
        <w:tc>
          <w:tcPr/>
          <w:p>
            <w:pPr>
              <w:pStyle w:val="Compact"/>
            </w:pPr>
            <w:r>
              <w:t xml:space="preserve">6,990 [6,412]</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2,401 [1,830]</w:t>
            </w:r>
          </w:p>
        </w:tc>
        <w:tc>
          <w:tcPr/>
          <w:p>
            <w:pPr>
              <w:pStyle w:val="Compact"/>
            </w:pPr>
            <w:r>
              <w:t xml:space="preserve">6,035 [5,543]</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3,138 [2,457]</w:t>
            </w:r>
          </w:p>
        </w:tc>
        <w:tc>
          <w:tcPr/>
          <w:p>
            <w:pPr>
              <w:pStyle w:val="Compact"/>
            </w:pPr>
            <w:r>
              <w:t xml:space="preserve">6,772 [6,170]</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2,476 [1,946]</w:t>
            </w:r>
          </w:p>
        </w:tc>
        <w:tc>
          <w:tcPr/>
          <w:p>
            <w:pPr>
              <w:pStyle w:val="Compact"/>
            </w:pPr>
            <w:r>
              <w:t xml:space="preserve">6,110 [5,659]</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2,689 [2,111]</w:t>
            </w:r>
          </w:p>
        </w:tc>
        <w:tc>
          <w:tcPr/>
          <w:p>
            <w:pPr>
              <w:pStyle w:val="Compact"/>
            </w:pPr>
            <w:r>
              <w:t xml:space="preserve">6,323 [5,824]</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4,362 [3,633]</w:t>
            </w:r>
          </w:p>
        </w:tc>
        <w:tc>
          <w:tcPr/>
          <w:p>
            <w:pPr>
              <w:pStyle w:val="Compact"/>
            </w:pPr>
            <w:r>
              <w:t xml:space="preserve">7,996 [7,346]</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−1,203</w:t>
            </w:r>
          </w:p>
        </w:tc>
        <w:tc>
          <w:tcPr/>
          <w:p>
            <w:pPr>
              <w:pStyle w:val="Compact"/>
            </w:pPr>
            <w:r>
              <w:t xml:space="preserve">−4,287 [−4,366]</w:t>
            </w:r>
          </w:p>
        </w:tc>
        <w:tc>
          <w:tcPr/>
          <w:p>
            <w:pPr>
              <w:pStyle w:val="Compact"/>
            </w:pPr>
            <w:r>
              <w:t xml:space="preserve">2,775 [2,141]</w:t>
            </w:r>
          </w:p>
        </w:tc>
        <w:tc>
          <w:tcPr/>
          <w:p>
            <w:pPr>
              <w:pStyle w:val="Compact"/>
            </w:pPr>
            <w:r>
              <w:t xml:space="preserve">7,062 [6,507]</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−811</w:t>
            </w:r>
          </w:p>
        </w:tc>
        <w:tc>
          <w:tcPr/>
          <w:p>
            <w:pPr>
              <w:pStyle w:val="Compact"/>
            </w:pPr>
            <w:r>
              <w:t xml:space="preserve">−2,851 [−2,930]</w:t>
            </w:r>
          </w:p>
        </w:tc>
        <w:tc>
          <w:tcPr/>
          <w:p>
            <w:pPr>
              <w:pStyle w:val="Compact"/>
            </w:pPr>
            <w:r>
              <w:t xml:space="preserve">2,775 [2,141]</w:t>
            </w:r>
          </w:p>
        </w:tc>
        <w:tc>
          <w:tcPr/>
          <w:p>
            <w:pPr>
              <w:pStyle w:val="Compact"/>
            </w:pPr>
            <w:r>
              <w:t xml:space="preserve">5,626 [5,071]</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−2,709 [−2,814]</w:t>
            </w:r>
          </w:p>
        </w:tc>
        <w:tc>
          <w:tcPr/>
          <w:p>
            <w:pPr>
              <w:pStyle w:val="Compact"/>
            </w:pPr>
            <w:r>
              <w:t xml:space="preserve">2,775 [2,141]</w:t>
            </w:r>
          </w:p>
        </w:tc>
        <w:tc>
          <w:tcPr/>
          <w:p>
            <w:pPr>
              <w:pStyle w:val="Compact"/>
            </w:pPr>
            <w:r>
              <w:t xml:space="preserve">5,484 [4,954]</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−2,328 [−2,432]</w:t>
            </w:r>
          </w:p>
        </w:tc>
        <w:tc>
          <w:tcPr/>
          <w:p>
            <w:pPr>
              <w:pStyle w:val="Compact"/>
            </w:pPr>
            <w:r>
              <w:t xml:space="preserve">2,775 [2,141]</w:t>
            </w:r>
          </w:p>
        </w:tc>
        <w:tc>
          <w:tcPr/>
          <w:p>
            <w:pPr>
              <w:pStyle w:val="Compact"/>
            </w:pPr>
            <w:r>
              <w:t xml:space="preserve">5,103 [4,573]</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2,775 [2,141]</w:t>
            </w:r>
          </w:p>
        </w:tc>
        <w:tc>
          <w:tcPr/>
          <w:p>
            <w:pPr>
              <w:pStyle w:val="Compact"/>
            </w:pPr>
            <w:r>
              <w:t xml:space="preserve">3,585 [3,030]</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−5233 to −1939 [−5294 to −2035]</w:t>
            </w:r>
          </w:p>
        </w:tc>
        <w:tc>
          <w:tcPr/>
          <w:p>
            <w:pPr>
              <w:pStyle w:val="Compact"/>
            </w:pPr>
            <w:r>
              <w:t xml:space="preserve">1922 to 3978 [1491 to 3263]</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5.74 (2.50 to 8.33)</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55.38 (26.69 to 90.92)</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14.20 (3.12 to 33.19)</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57.13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(-0.07 to 6.32)</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14.11 (7.43 to 23.02)</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21.22 (8.80 to 38.01)</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30.70 (12.59 to 55.67)</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11.17 (5.81 to 18.81)</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10.62 (7.33 to 15.10)</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(2.11 to 3.05)</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0.90)</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1.04 (0.48 to 1.66)</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3.24 (1.33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(0.12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1.65)</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0.90)</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(0.69 to 24.94)</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11.82 (6.14 to 20.75)</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0.44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(0.402 to 0.958)</w:t>
            </w:r>
          </w:p>
        </w:tc>
        <w:tc>
          <w:tcPr/>
          <w:p>
            <w:pPr>
              <w:pStyle w:val="Compact"/>
            </w:pPr>
            <w:r>
              <w:t xml:space="preserve">0.609</w:t>
            </w:r>
          </w:p>
        </w:tc>
        <w:tc>
          <w:tcPr/>
          <w:p>
            <w:pPr>
              <w:pStyle w:val="Compact"/>
            </w:pPr>
            <w:r>
              <w:t xml:space="preserve">0.716</w:t>
            </w:r>
          </w:p>
        </w:tc>
        <w:tc>
          <w:tcPr/>
          <w:p>
            <w:pPr>
              <w:pStyle w:val="Compact"/>
            </w:pPr>
            <w:r>
              <w:t xml:space="preserve">1.083 (0.334 to 1.838)</w:t>
            </w:r>
          </w:p>
        </w:tc>
      </w:tr>
      <w:tr>
        <w:tc>
          <w:tcPr/>
          <w:p>
            <w:pPr>
              <w:pStyle w:val="Compact"/>
            </w:pPr>
            <w:r>
              <w:t xml:space="preserve">United States</w:t>
            </w:r>
          </w:p>
        </w:tc>
        <w:tc>
          <w:tcPr/>
          <w:p>
            <w:pPr>
              <w:pStyle w:val="Compact"/>
            </w:pPr>
            <w:r>
              <w:t xml:space="preserve">60.09</w:t>
            </w:r>
          </w:p>
        </w:tc>
        <w:tc>
          <w:tcPr/>
          <w:p>
            <w:pPr>
              <w:pStyle w:val="Compact"/>
            </w:pPr>
            <w:r>
              <w:t xml:space="preserve">0.385 (0.232 to 0.554)</w:t>
            </w:r>
          </w:p>
        </w:tc>
        <w:tc>
          <w:tcPr/>
          <w:p>
            <w:pPr>
              <w:pStyle w:val="Compact"/>
            </w:pPr>
            <w:r>
              <w:t xml:space="preserve">0.352</w:t>
            </w:r>
          </w:p>
        </w:tc>
        <w:tc>
          <w:tcPr/>
          <w:p>
            <w:pPr>
              <w:pStyle w:val="Compact"/>
            </w:pPr>
            <w:r>
              <w:t xml:space="preserve">0.413</w:t>
            </w:r>
          </w:p>
        </w:tc>
        <w:tc>
          <w:tcPr/>
          <w:p>
            <w:pPr>
              <w:pStyle w:val="Compact"/>
            </w:pPr>
            <w:r>
              <w:t xml:space="preserve">0.625 (0.193 to 1.061)</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0.096)</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1.111 (0.670 to 1.598)</w:t>
            </w:r>
          </w:p>
        </w:tc>
        <w:tc>
          <w:tcPr/>
          <w:p>
            <w:pPr>
              <w:pStyle w:val="Compact"/>
            </w:pPr>
            <w:r>
              <w:t xml:space="preserve">1.015</w:t>
            </w:r>
          </w:p>
        </w:tc>
        <w:tc>
          <w:tcPr/>
          <w:p>
            <w:pPr>
              <w:pStyle w:val="Compact"/>
            </w:pPr>
            <w:r>
              <w:t xml:space="preserve">1.193</w:t>
            </w:r>
          </w:p>
        </w:tc>
        <w:tc>
          <w:tcPr/>
          <w:p>
            <w:pPr>
              <w:pStyle w:val="Compact"/>
            </w:pPr>
            <w:r>
              <w:t xml:space="preserve">1.805 (0.556 to 3.063)</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2.92)</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1.96)</w:t>
            </w:r>
          </w:p>
        </w:tc>
        <w:tc>
          <w:tcPr/>
          <w:p>
            <w:pPr>
              <w:pStyle w:val="Compact"/>
            </w:pPr>
            <w:r>
              <w:t xml:space="preserve">1.24</w:t>
            </w:r>
          </w:p>
        </w:tc>
        <w:tc>
          <w:tcPr/>
          <w:p>
            <w:pPr>
              <w:pStyle w:val="Compact"/>
            </w:pPr>
            <w:r>
              <w:t xml:space="preserve">2.21 (0.68 to 3.76)</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96"/>
    <w:bookmarkStart w:id="97"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97"/>
    <w:bookmarkStart w:id="98"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Y. Y. Y. Yau et al., Efficient oxidation attenuates porewater-derived methane fluxes in mangrove waters.</w:t>
      </w:r>
      <w:r>
        <w:t xml:space="preserve"> </w:t>
      </w:r>
      <w:r>
        <w:rPr>
          <w:i/>
          <w:iCs/>
        </w:rPr>
        <w:t xml:space="preserve">Limnol. Oceanogr.</w:t>
      </w:r>
      <w:r>
        <w:t xml:space="preserve"> </w:t>
      </w:r>
      <w:r>
        <w:rPr>
          <w:b/>
          <w:bCs/>
        </w:rPr>
        <w:t xml:space="preserve">69</w:t>
      </w:r>
      <w:r>
        <w:t xml:space="preserve">, 1997–2014 (2024).</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1" Target="media/rId71.png" /><Relationship Type="http://schemas.openxmlformats.org/officeDocument/2006/relationships/image" Id="rId83" Target="media/rId83.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0" Target="media/rId50.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77" Target="media/rId77.png" /><Relationship Type="http://schemas.openxmlformats.org/officeDocument/2006/relationships/image" Id="rId74" Target="media/rId74.png" /><Relationship Type="http://schemas.openxmlformats.org/officeDocument/2006/relationships/image" Id="rId92" Target="media/rId92.png" /><Relationship Type="http://schemas.openxmlformats.org/officeDocument/2006/relationships/image" Id="rId68" Target="media/rId68.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2026-10-03T21:55:23Z</dcterms:created>
  <dcterms:modified xsi:type="dcterms:W3CDTF">2026-10-03T21:55:23Z</dcterms:modified>
</cp:coreProperties>
</file>

<file path=docProps/custom.xml><?xml version="1.0" encoding="utf-8"?>
<Properties xmlns="http://schemas.openxmlformats.org/officeDocument/2006/custom-properties" xmlns:vt="http://schemas.openxmlformats.org/officeDocument/2006/docPropsVTypes"/>
</file>