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83.png" ContentType="image/png"/>
  <Override PartName="/word/media/rId47.png" ContentType="image/png"/>
  <Override PartName="/word/media/rId59.png" ContentType="image/png"/>
  <Override PartName="/word/media/rId62.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89.png" ContentType="image/png"/>
  <Override PartName="/word/media/rId77.png" ContentType="image/png"/>
  <Override PartName="/word/media/rId74.png" ContentType="image/png"/>
  <Override PartName="/word/media/rId68.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S14),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S14).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S9.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S11). For net forcing, canopy leaf respiration (Rd25 and LAI) and tower GPP dominate the intact interval and the CH4 budget dominates the ghost interval. The intervals of the two states do not overlap: intact −5,214 to −1,918 and ghost +1,931 to +3,977 g CO2-eq m−2 yr−1 at GWP20 (−5,291 to −2,012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S13).</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S10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5A).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92"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2" name="Picture"/>
            <a:graphic>
              <a:graphicData uri="http://schemas.openxmlformats.org/drawingml/2006/picture">
                <pic:pic>
                  <pic:nvPicPr>
                    <pic:cNvPr descr="output/figures/other/SA_by_segment_height_fixedY.png" id="73" name="Picture"/>
                    <pic:cNvPicPr>
                      <a:picLocks noChangeArrowheads="1" noChangeAspect="1"/>
                    </pic:cNvPicPr>
                  </pic:nvPicPr>
                  <pic:blipFill>
                    <a:blip r:embed="rId7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75" name="Picture"/>
            <a:graphic>
              <a:graphicData uri="http://schemas.openxmlformats.org/drawingml/2006/picture">
                <pic:pic>
                  <pic:nvPicPr>
                    <pic:cNvPr descr="output/figures/other/si_tide_states.png" id="76" name="Picture"/>
                    <pic:cNvPicPr>
                      <a:picLocks noChangeArrowheads="1" noChangeAspect="1"/>
                    </pic:cNvPicPr>
                  </pic:nvPicPr>
                  <pic:blipFill>
                    <a:blip r:embed="rId7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4593166"/>
            <wp:effectExtent b="0" l="0" r="0" t="0"/>
            <wp:docPr descr="" title="" id="78" name="Picture"/>
            <a:graphic>
              <a:graphicData uri="http://schemas.openxmlformats.org/drawingml/2006/picture">
                <pic:pic>
                  <pic:nvPicPr>
                    <pic:cNvPr descr="output/figures/other/si_sensitivity_switch.png" id="79" name="Picture"/>
                    <pic:cNvPicPr>
                      <a:picLocks noChangeArrowheads="1" noChangeAspect="1"/>
                    </pic:cNvPicPr>
                  </pic:nvPicPr>
                  <pic:blipFill>
                    <a:blip r:embed="rId77"/>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Sensitivity of the intact-to-ghost switch (GWP20) to analytical choices, one at a time (text S9; table S10). Vertical line, central case (6,411 g CO2-eq m−2 yr−1); points left of it lower the switch, right of it raise it. Analytical choices keep the switch between ~5,600 and ~8,000 (GWP100: ~5,100–7,300); only carbon-balance framings that count lateral export or storage alone lower it further.</w:t>
      </w:r>
    </w:p>
    <w:p>
      <w:pPr>
        <w:pStyle w:val="BodyText"/>
      </w:pPr>
      <w:r>
        <w:drawing>
          <wp:inline>
            <wp:extent cx="5334000" cy="2667000"/>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90" name="Picture"/>
            <a:graphic>
              <a:graphicData uri="http://schemas.openxmlformats.org/drawingml/2006/picture">
                <pic:pic>
                  <pic:nvPicPr>
                    <pic:cNvPr descr="output/figures/other/si_campaign_context.png" id="91" name="Picture"/>
                    <pic:cNvPicPr>
                      <a:picLocks noChangeArrowheads="1" noChangeAspect="1"/>
                    </pic:cNvPicPr>
                  </pic:nvPicPr>
                  <pic:blipFill>
                    <a:blip r:embed="rId89"/>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rPr>
          <w:b/>
          <w:bCs/>
        </w:rPr>
        <w:t xml:space="preserve">Fig. S15.</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92"/>
    <w:bookmarkStart w:id="93"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1.41</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0.60</w:t>
            </w:r>
          </w:p>
        </w:tc>
        <w:tc>
          <w:tcPr/>
          <w:p>
            <w:pPr>
              <w:pStyle w:val="Compact"/>
            </w:pPr>
            <w:r>
              <w:t xml:space="preserve">0.08</w:t>
            </w:r>
          </w:p>
        </w:tc>
        <w:tc>
          <w:tcPr/>
          <w:p>
            <w:pPr>
              <w:pStyle w:val="Compact"/>
            </w:pPr>
            <w:r>
              <w:t xml:space="preserve">10.33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-3 756</w:t>
            </w:r>
          </w:p>
        </w:tc>
        <w:tc>
          <w:tcPr/>
          <w:p>
            <w:pPr>
              <w:pStyle w:val="Compact"/>
            </w:pPr>
            <w:r>
              <w:t xml:space="preserve">-3 635</w:t>
            </w:r>
          </w:p>
        </w:tc>
        <w:tc>
          <w:tcPr/>
          <w:p>
            <w:pPr>
              <w:pStyle w:val="Compact"/>
            </w:pPr>
            <w:r>
              <w:t xml:space="preserve">-5 214 to -1 918</w:t>
            </w:r>
          </w:p>
        </w:tc>
        <w:tc>
          <w:tcPr/>
          <w:p>
            <w:pPr>
              <w:pStyle w:val="Compact"/>
            </w:pPr>
            <w:r>
              <w:t xml:space="preserve">-3 715</w:t>
            </w:r>
          </w:p>
        </w:tc>
        <w:tc>
          <w:tcPr/>
          <w:p>
            <w:pPr>
              <w:pStyle w:val="Compact"/>
            </w:pPr>
            <w:r>
              <w:t xml:space="preserve">-5 291 to -2 012</w:t>
            </w:r>
          </w:p>
        </w:tc>
        <w:tc>
          <w:tcPr/>
          <w:p>
            <w:pPr>
              <w:pStyle w:val="Compact"/>
            </w:pPr>
            <w:r>
              <w:t xml:space="preserve">-3 744</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3 137</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(3.36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(0.400 to 0.956)</w:t>
            </w:r>
          </w:p>
        </w:tc>
        <w:tc>
          <w:tcPr/>
          <w:p>
            <w:pPr>
              <w:pStyle w:val="Compact"/>
            </w:pPr>
            <w:r>
              <w:t xml:space="preserve">0.609</w:t>
            </w:r>
          </w:p>
        </w:tc>
        <w:tc>
          <w:tcPr/>
          <w:p>
            <w:pPr>
              <w:pStyle w:val="Compact"/>
            </w:pPr>
            <w:r>
              <w:t xml:space="preserve">0.716</w:t>
            </w:r>
          </w:p>
        </w:tc>
        <w:tc>
          <w:tcPr/>
          <w:p>
            <w:pPr>
              <w:pStyle w:val="Compact"/>
            </w:pPr>
            <w:r>
              <w:t xml:space="preserve">1.082 (0.335 to 1.829)</w:t>
            </w:r>
          </w:p>
        </w:tc>
      </w:tr>
      <w:tr>
        <w:tc>
          <w:tcPr/>
          <w:p>
            <w:pPr>
              <w:pStyle w:val="Compact"/>
            </w:pPr>
            <w:r>
              <w:t xml:space="preserve">United States</w:t>
            </w:r>
          </w:p>
        </w:tc>
        <w:tc>
          <w:tcPr/>
          <w:p>
            <w:pPr>
              <w:pStyle w:val="Compact"/>
            </w:pPr>
            <w:r>
              <w:t xml:space="preserve">60.09</w:t>
            </w:r>
          </w:p>
        </w:tc>
        <w:tc>
          <w:tcPr/>
          <w:p>
            <w:pPr>
              <w:pStyle w:val="Compact"/>
            </w:pPr>
            <w:r>
              <w:t xml:space="preserve">0.385 (0.231 to 0.552)</w:t>
            </w:r>
          </w:p>
        </w:tc>
        <w:tc>
          <w:tcPr/>
          <w:p>
            <w:pPr>
              <w:pStyle w:val="Compact"/>
            </w:pPr>
            <w:r>
              <w:t xml:space="preserve">0.352</w:t>
            </w:r>
          </w:p>
        </w:tc>
        <w:tc>
          <w:tcPr/>
          <w:p>
            <w:pPr>
              <w:pStyle w:val="Compact"/>
            </w:pPr>
            <w:r>
              <w:t xml:space="preserve">0.413</w:t>
            </w:r>
          </w:p>
        </w:tc>
        <w:tc>
          <w:tcPr/>
          <w:p>
            <w:pPr>
              <w:pStyle w:val="Compact"/>
            </w:pPr>
            <w:r>
              <w:t xml:space="preserve">0.625 (0.193 to 1.057)</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1.112 (0.667 to 1.594)</w:t>
            </w:r>
          </w:p>
        </w:tc>
        <w:tc>
          <w:tcPr/>
          <w:p>
            <w:pPr>
              <w:pStyle w:val="Compact"/>
            </w:pPr>
            <w:r>
              <w:t xml:space="preserve">1.016</w:t>
            </w:r>
          </w:p>
        </w:tc>
        <w:tc>
          <w:tcPr/>
          <w:p>
            <w:pPr>
              <w:pStyle w:val="Compact"/>
            </w:pPr>
            <w:r>
              <w:t xml:space="preserve">1.193</w:t>
            </w:r>
          </w:p>
        </w:tc>
        <w:tc>
          <w:tcPr/>
          <w:p>
            <w:pPr>
              <w:pStyle w:val="Compact"/>
            </w:pPr>
            <w:r>
              <w:t xml:space="preserve">1.805 (0.558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1.95)</w:t>
            </w:r>
          </w:p>
        </w:tc>
        <w:tc>
          <w:tcPr/>
          <w:p>
            <w:pPr>
              <w:pStyle w:val="Compact"/>
            </w:pPr>
            <w:r>
              <w:t xml:space="preserve">1.25</w:t>
            </w:r>
          </w:p>
        </w:tc>
        <w:tc>
          <w:tcPr/>
          <w:p>
            <w:pPr>
              <w:pStyle w:val="Compact"/>
            </w:pPr>
            <w:r>
              <w:t xml:space="preserve">2.21 (0.68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93"/>
    <w:bookmarkStart w:id="94"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94"/>
    <w:bookmarkStart w:id="95"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1" Target="media/rId71.png" /><Relationship Type="http://schemas.openxmlformats.org/officeDocument/2006/relationships/image" Id="rId83" Target="media/rId83.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2026-10-03T22:30:45Z</dcterms:created>
  <dcterms:modified xsi:type="dcterms:W3CDTF">2026-10-03T22:30:45Z</dcterms:modified>
</cp:coreProperties>
</file>

<file path=docProps/custom.xml><?xml version="1.0" encoding="utf-8"?>
<Properties xmlns="http://schemas.openxmlformats.org/officeDocument/2006/custom-properties" xmlns:vt="http://schemas.openxmlformats.org/officeDocument/2006/docPropsVTypes"/>
</file>