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98.png" ContentType="image/png"/>
  <Override PartName="/word/media/rId47.png" ContentType="image/png"/>
  <Override PartName="/word/media/rId65.png" ContentType="image/png"/>
  <Override PartName="/word/media/rId68.png" ContentType="image/png"/>
  <Override PartName="/word/media/rId62.png" ContentType="image/png"/>
  <Override PartName="/word/media/rId71.png" ContentType="image/png"/>
  <Override PartName="/word/media/rId56.png" ContentType="image/png"/>
  <Override PartName="/word/media/rId95.png" ContentType="image/png"/>
  <Override PartName="/word/media/rId101.png" ContentType="image/png"/>
  <Override PartName="/word/media/rId104.png" ContentType="image/png"/>
  <Override PartName="/word/media/rId83.png" ContentType="image/png"/>
  <Override PartName="/word/media/rId89.png" ContentType="image/png"/>
  <Override PartName="/word/media/rId53.png" ContentType="image/png"/>
  <Override PartName="/word/media/rId50.png" ContentType="image/png"/>
  <Override PartName="/word/media/rId92.png" ContentType="image/png"/>
  <Override PartName="/word/media/rId80.png" ContentType="image/png"/>
  <Override PartName="/word/media/rId86.png" ContentType="image/png"/>
  <Override PartName="/word/media/rId7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S19;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figs. S2 and S3).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S19),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S6).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S6).</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0.44–7.6 cm h−1; one (CP40, October 2022; 524 cm h−1, chamber flux dominated by ebullition against low dissolved CH4) was rejected as implausible (&gt;50 cm h−1). We used the median of the site medians (1.29 cm h−1; site medians 0.49–6.8,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S14).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S13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S8,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S9).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S11 and the derivation of the flooded share in fig. S12.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S16).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S6). The water chemistry points to photosynthesis in the ghost ponds: daytime dissolved O2 reached 75–131% of saturation at FLM30 (October 2022) and ~170% at CP40 (October 2025), pH was 8.0–8.4, and dissolved CO2 was 0.5–10 times air saturation, against 39–90% O2 saturation, pH 7.4–7.9 and 4–14 times CO2 saturation in the intact-forest river and creek water and anoxic water at BL60 (~1% O2 saturation; 90–120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and occasional resprouting or recruiting trees are outside the chamber footprint. Ghost-forest gross primary production is therefore probably small but non-zero, and the chamber budget, a daily sum of component releases, is an upper bound on ghost-forest CO2 release; this, together with the midday timing and wider footprint of the aircraft, can account for the opposite signs of the two estimates.</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S18).</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S15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−3,593 g CO2-eq m−2 yr−1 at GWP20 (−3,674 at GWP100), and its CH4 offsets 3% (GWP20) to 1% (GWP100) of the CO2 sink. Under the central lateral scenario (346 g C m−2 yr−1) the intact forest retains ~670 g C m−2 yr−1. With exported alkalinity retained in the ocean and the rest returned to the air, the intact sink is −2,669 g CO2-eq m−2 yr−1 at GWP20 (−2,914 to −1,670 across lateral scenarios), CH4 offsets 5% of it, and the switch is ~5,400 (~4,900 at GWP100). If all exported carbon returns to the air, the intact sink is −2,288 (−2,689 to −113)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(≈760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7"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3200400"/>
            <wp:effectExtent b="0" l="0" r="0" t="0"/>
            <wp:docPr descr="" title="" id="51" name="Picture"/>
            <a:graphic>
              <a:graphicData uri="http://schemas.openxmlformats.org/drawingml/2006/picture">
                <pic:pic>
                  <pic:nvPicPr>
                    <pic:cNvPr descr="output/figures/other/si_satellite_scenes.png" id="52" name="Picture"/>
                    <pic:cNvPicPr>
                      <a:picLocks noChangeArrowheads="1" noChangeAspect="1"/>
                    </pic:cNvPicPr>
                  </pic:nvPicPr>
                  <pic:blipFill>
                    <a:blip r:embed="rId5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4" name="Picture"/>
            <a:graphic>
              <a:graphicData uri="http://schemas.openxmlformats.org/drawingml/2006/picture">
                <pic:pic>
                  <pic:nvPicPr>
                    <pic:cNvPr descr="output/figures/other/si_ndvi.png" id="55" name="Picture"/>
                    <pic:cNvPicPr>
                      <a:picLocks noChangeArrowheads="1" noChangeAspect="1"/>
                    </pic:cNvPicPr>
                  </pic:nvPicPr>
                  <pic:blipFill>
                    <a:blip r:embed="rId5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60" name="Picture"/>
            <a:graphic>
              <a:graphicData uri="http://schemas.openxmlformats.org/drawingml/2006/picture">
                <pic:pic>
                  <pic:nvPicPr>
                    <pic:cNvPr descr="output/figures/other/water_positions_by_campaign.png" id="61" name="Picture"/>
                    <pic:cNvPicPr>
                      <a:picLocks noChangeArrowheads="1" noChangeAspect="1"/>
                    </pic:cNvPicPr>
                  </pic:nvPicPr>
                  <pic:blipFill>
                    <a:blip r:embed="rId59"/>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6" name="Picture"/>
            <a:graphic>
              <a:graphicData uri="http://schemas.openxmlformats.org/drawingml/2006/picture">
                <pic:pic>
                  <pic:nvPicPr>
                    <pic:cNvPr descr="output/figures/other/pub_SI_ebullition_partition.png" id="67" name="Picture"/>
                    <pic:cNvPicPr>
                      <a:picLocks noChangeArrowheads="1" noChangeAspect="1"/>
                    </pic:cNvPicPr>
                  </pic:nvPicPr>
                  <pic:blipFill>
                    <a:blip r:embed="rId65"/>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9" name="Picture"/>
            <a:graphic>
              <a:graphicData uri="http://schemas.openxmlformats.org/drawingml/2006/picture">
                <pic:pic>
                  <pic:nvPicPr>
                    <pic:cNvPr descr="output/figures/other/pub_SI_pneumatophore_density.png" id="70" name="Picture"/>
                    <pic:cNvPicPr>
                      <a:picLocks noChangeArrowheads="1" noChangeAspect="1"/>
                    </pic:cNvPicPr>
                  </pic:nvPicPr>
                  <pic:blipFill>
                    <a:blip r:embed="rId68"/>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72" name="Picture"/>
            <a:graphic>
              <a:graphicData uri="http://schemas.openxmlformats.org/drawingml/2006/picture">
                <pic:pic>
                  <pic:nvPicPr>
                    <pic:cNvPr descr="output/figures/other/pub_stem_height_composite_combined.png" id="73" name="Picture"/>
                    <pic:cNvPicPr>
                      <a:picLocks noChangeArrowheads="1" noChangeAspect="1"/>
                    </pic:cNvPicPr>
                  </pic:nvPicPr>
                  <pic:blipFill>
                    <a:blip r:embed="rId71"/>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75" name="Picture"/>
            <a:graphic>
              <a:graphicData uri="http://schemas.openxmlformats.org/drawingml/2006/picture">
                <pic:pic>
                  <pic:nvPicPr>
                    <pic:cNvPr descr="output/figures/other/stem_extrap_clean.png" id="76" name="Picture"/>
                    <pic:cNvPicPr>
                      <a:picLocks noChangeArrowheads="1" noChangeAspect="1"/>
                    </pic:cNvPicPr>
                  </pic:nvPicPr>
                  <pic:blipFill>
                    <a:blip r:embed="rId74"/>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81" name="Picture"/>
            <a:graphic>
              <a:graphicData uri="http://schemas.openxmlformats.org/drawingml/2006/picture">
                <pic:pic>
                  <pic:nvPicPr>
                    <pic:cNvPr descr="output/figures/other/si_tide_states.png" id="82" name="Picture"/>
                    <pic:cNvPicPr>
                      <a:picLocks noChangeArrowheads="1" noChangeAspect="1"/>
                    </pic:cNvPicPr>
                  </pic:nvPicPr>
                  <pic:blipFill>
                    <a:blip r:embed="rId80"/>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84" name="Picture"/>
            <a:graphic>
              <a:graphicData uri="http://schemas.openxmlformats.org/drawingml/2006/picture">
                <pic:pic>
                  <pic:nvPicPr>
                    <pic:cNvPr descr="output/figures/other/si_flood_fraction.png" id="85" name="Picture"/>
                    <pic:cNvPicPr>
                      <a:picLocks noChangeArrowheads="1" noChangeAspect="1"/>
                    </pic:cNvPicPr>
                  </pic:nvPicPr>
                  <pic:blipFill>
                    <a:blip r:embed="rId83"/>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87" name="Picture"/>
            <a:graphic>
              <a:graphicData uri="http://schemas.openxmlformats.org/drawingml/2006/picture">
                <pic:pic>
                  <pic:nvPicPr>
                    <pic:cNvPr descr="output/figures/other/si_waterline.png" id="88" name="Picture"/>
                    <pic:cNvPicPr>
                      <a:picLocks noChangeArrowheads="1" noChangeAspect="1"/>
                    </pic:cNvPicPr>
                  </pic:nvPicPr>
                  <pic:blipFill>
                    <a:blip r:embed="rId86"/>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3407833"/>
            <wp:effectExtent b="0" l="0" r="0" t="0"/>
            <wp:docPr descr="" title="" id="90" name="Picture"/>
            <a:graphic>
              <a:graphicData uri="http://schemas.openxmlformats.org/drawingml/2006/picture">
                <pic:pic>
                  <pic:nvPicPr>
                    <pic:cNvPr descr="output/figures/other/si_k600_compare.png" id="91" name="Picture"/>
                    <pic:cNvPicPr>
                      <a:picLocks noChangeArrowheads="1" noChangeAspect="1"/>
                    </pic:cNvPicPr>
                  </pic:nvPicPr>
                  <pic:blipFill>
                    <a:blip r:embed="rId89"/>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Gas-transfer velocity (k600) used for the water-surface fluxes estimated from dissolved gases (M8), against published values.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93" name="Picture"/>
            <a:graphic>
              <a:graphicData uri="http://schemas.openxmlformats.org/drawingml/2006/picture">
                <pic:pic>
                  <pic:nvPicPr>
                    <pic:cNvPr descr="output/figures/other/si_sensitivity_switch.png" id="94" name="Picture"/>
                    <pic:cNvPicPr>
                      <a:picLocks noChangeArrowheads="1" noChangeAspect="1"/>
                    </pic:cNvPicPr>
                  </pic:nvPicPr>
                  <pic:blipFill>
                    <a:blip r:embed="rId92"/>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Sensitivity of the intact-to-ghost switch (GWP20) to analytical choices, one at a time (text S9; table S10). Vertical line, central case (6,369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667000"/>
            <wp:effectExtent b="0" l="0" r="0" t="0"/>
            <wp:docPr descr="" title="" id="96" name="Picture"/>
            <a:graphic>
              <a:graphicData uri="http://schemas.openxmlformats.org/drawingml/2006/picture">
                <pic:pic>
                  <pic:nvPicPr>
                    <pic:cNvPr descr="output/figures/other/si_S10_mc_uncertainty.png" id="97" name="Picture"/>
                    <pic:cNvPicPr>
                      <a:picLocks noChangeArrowheads="1" noChangeAspect="1"/>
                    </pic:cNvPicPr>
                  </pic:nvPicPr>
                  <pic:blipFill>
                    <a:blip r:embed="rId9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99" name="Picture"/>
            <a:graphic>
              <a:graphicData uri="http://schemas.openxmlformats.org/drawingml/2006/picture">
                <pic:pic>
                  <pic:nvPicPr>
                    <pic:cNvPr descr="output/figures/other/ed_porewater_rounds.png" id="100" name="Picture"/>
                    <pic:cNvPicPr>
                      <a:picLocks noChangeArrowheads="1" noChangeAspect="1"/>
                    </pic:cNvPicPr>
                  </pic:nvPicPr>
                  <pic:blipFill>
                    <a:blip r:embed="rId98"/>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S17.</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102" name="Picture"/>
            <a:graphic>
              <a:graphicData uri="http://schemas.openxmlformats.org/drawingml/2006/picture">
                <pic:pic>
                  <pic:nvPicPr>
                    <pic:cNvPr descr="output/figures/other/si_S12_carbonate.png" id="103" name="Picture"/>
                    <pic:cNvPicPr>
                      <a:picLocks noChangeArrowheads="1" noChangeAspect="1"/>
                    </pic:cNvPicPr>
                  </pic:nvPicPr>
                  <pic:blipFill>
                    <a:blip r:embed="rId10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S18.</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105" name="Picture"/>
            <a:graphic>
              <a:graphicData uri="http://schemas.openxmlformats.org/drawingml/2006/picture">
                <pic:pic>
                  <pic:nvPicPr>
                    <pic:cNvPr descr="output/figures/other/si_campaign_context.png" id="106" name="Picture"/>
                    <pic:cNvPicPr>
                      <a:picLocks noChangeArrowheads="1" noChangeAspect="1"/>
                    </pic:cNvPicPr>
                  </pic:nvPicPr>
                  <pic:blipFill>
                    <a:blip r:embed="rId104"/>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S19.</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S20.</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7"/>
    <w:bookmarkStart w:id="108"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0.63</w:t>
            </w:r>
          </w:p>
        </w:tc>
        <w:tc>
          <w:tcPr/>
          <w:p>
            <w:pPr>
              <w:pStyle w:val="Compact"/>
            </w:pPr>
            <w:r>
              <w:t xml:space="preserve">0.10</w:t>
            </w:r>
          </w:p>
        </w:tc>
        <w:tc>
          <w:tcPr/>
          <w:p>
            <w:pPr>
              <w:pStyle w:val="Compact"/>
            </w:pPr>
            <w:r>
              <w:t xml:space="preserve">1.63</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0.70</w:t>
            </w:r>
          </w:p>
        </w:tc>
        <w:tc>
          <w:tcPr/>
          <w:p>
            <w:pPr>
              <w:pStyle w:val="Compact"/>
            </w:pPr>
            <w:r>
              <w:t xml:space="preserve">0.08</w:t>
            </w:r>
          </w:p>
        </w:tc>
        <w:tc>
          <w:tcPr/>
          <w:p>
            <w:pPr>
              <w:pStyle w:val="Compact"/>
            </w:pPr>
            <w:r>
              <w:t xml:space="preserve">10.43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0.33</w:t>
            </w:r>
          </w:p>
        </w:tc>
        <w:tc>
          <w:tcPr/>
          <w:p>
            <w:pPr>
              <w:pStyle w:val="Compact"/>
            </w:pPr>
            <w:r>
              <w:t xml:space="preserve">0.51</w:t>
            </w:r>
          </w:p>
        </w:tc>
        <w:tc>
          <w:tcPr/>
          <w:p>
            <w:pPr>
              <w:pStyle w:val="Compact"/>
            </w:pPr>
            <w:r>
              <w:t xml:space="preserve">2.00</w:t>
            </w:r>
          </w:p>
        </w:tc>
        <w:tc>
          <w:tcPr/>
          <w:p>
            <w:pPr>
              <w:pStyle w:val="Compact"/>
            </w:pPr>
            <w:r>
              <w:t xml:space="preserve">4.57</w:t>
            </w:r>
          </w:p>
        </w:tc>
        <w:tc>
          <w:tcPr/>
          <w:p>
            <w:pPr>
              <w:pStyle w:val="Compact"/>
            </w:pPr>
            <w:r>
              <w:t xml:space="preserve">7.12</w:t>
            </w:r>
          </w:p>
        </w:tc>
        <w:tc>
          <w:tcPr/>
          <w:p>
            <w:pPr>
              <w:pStyle w:val="Compact"/>
            </w:pPr>
            <w:r>
              <w:t xml:space="preserve">-2.55</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0.44</w:t>
            </w:r>
          </w:p>
        </w:tc>
        <w:tc>
          <w:tcPr/>
          <w:p>
            <w:pPr>
              <w:pStyle w:val="Compact"/>
            </w:pPr>
            <w:r>
              <w:t xml:space="preserve">0.34</w:t>
            </w:r>
          </w:p>
        </w:tc>
        <w:tc>
          <w:tcPr/>
          <w:p>
            <w:pPr>
              <w:pStyle w:val="Compact"/>
            </w:pPr>
            <w:r>
              <w:t xml:space="preserve">2.00</w:t>
            </w:r>
          </w:p>
        </w:tc>
        <w:tc>
          <w:tcPr/>
          <w:p>
            <w:pPr>
              <w:pStyle w:val="Compact"/>
            </w:pPr>
            <w:r>
              <w:t xml:space="preserve">5.17</w:t>
            </w:r>
          </w:p>
        </w:tc>
        <w:tc>
          <w:tcPr/>
          <w:p>
            <w:pPr>
              <w:pStyle w:val="Compact"/>
            </w:pPr>
            <w:r>
              <w:t xml:space="preserve">7.12</w:t>
            </w:r>
          </w:p>
        </w:tc>
        <w:tc>
          <w:tcPr/>
          <w:p>
            <w:pPr>
              <w:pStyle w:val="Compact"/>
            </w:pPr>
            <w:r>
              <w:t xml:space="preserve">-1.94</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0.74 (0.28 to 3.90)</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0.69 (0.26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1.52</w:t>
            </w:r>
          </w:p>
        </w:tc>
        <w:tc>
          <w:tcPr/>
          <w:p>
            <w:pPr>
              <w:pStyle w:val="Compact"/>
            </w:pPr>
            <w:r>
              <w:t xml:space="preserve">-3 717</w:t>
            </w:r>
          </w:p>
        </w:tc>
        <w:tc>
          <w:tcPr/>
          <w:p>
            <w:pPr>
              <w:pStyle w:val="Compact"/>
            </w:pPr>
            <w:r>
              <w:t xml:space="preserve">-3 593</w:t>
            </w:r>
          </w:p>
        </w:tc>
        <w:tc>
          <w:tcPr/>
          <w:p>
            <w:pPr>
              <w:pStyle w:val="Compact"/>
            </w:pPr>
            <w:r>
              <w:t xml:space="preserve">-5 183 to -1 854</w:t>
            </w:r>
          </w:p>
        </w:tc>
        <w:tc>
          <w:tcPr/>
          <w:p>
            <w:pPr>
              <w:pStyle w:val="Compact"/>
            </w:pPr>
            <w:r>
              <w:t xml:space="preserve">-3 674</w:t>
            </w:r>
          </w:p>
        </w:tc>
        <w:tc>
          <w:tcPr/>
          <w:p>
            <w:pPr>
              <w:pStyle w:val="Compact"/>
            </w:pPr>
            <w:r>
              <w:t xml:space="preserve">-5 262 to -1 953</w:t>
            </w:r>
          </w:p>
        </w:tc>
        <w:tc>
          <w:tcPr/>
          <w:p>
            <w:pPr>
              <w:pStyle w:val="Compact"/>
            </w:pPr>
            <w:r>
              <w:t xml:space="preserve">-3 705</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3 133</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0.663 (0.394 to 0.953)</w:t>
            </w:r>
          </w:p>
        </w:tc>
        <w:tc>
          <w:tcPr/>
          <w:p>
            <w:pPr>
              <w:pStyle w:val="Compact"/>
            </w:pPr>
            <w:r>
              <w:t xml:space="preserve">0.605</w:t>
            </w:r>
          </w:p>
        </w:tc>
        <w:tc>
          <w:tcPr/>
          <w:p>
            <w:pPr>
              <w:pStyle w:val="Compact"/>
            </w:pPr>
            <w:r>
              <w:t xml:space="preserve">0.711</w:t>
            </w:r>
          </w:p>
        </w:tc>
        <w:tc>
          <w:tcPr/>
          <w:p>
            <w:pPr>
              <w:pStyle w:val="Compact"/>
            </w:pPr>
            <w:r>
              <w:t xml:space="preserve">1.079 (0.327 to 1.829)</w:t>
            </w:r>
          </w:p>
        </w:tc>
      </w:tr>
      <w:tr>
        <w:tc>
          <w:tcPr/>
          <w:p>
            <w:pPr>
              <w:pStyle w:val="Compact"/>
            </w:pPr>
            <w:r>
              <w:t xml:space="preserve">United States</w:t>
            </w:r>
          </w:p>
        </w:tc>
        <w:tc>
          <w:tcPr/>
          <w:p>
            <w:pPr>
              <w:pStyle w:val="Compact"/>
            </w:pPr>
            <w:r>
              <w:t xml:space="preserve">60.09</w:t>
            </w:r>
          </w:p>
        </w:tc>
        <w:tc>
          <w:tcPr/>
          <w:p>
            <w:pPr>
              <w:pStyle w:val="Compact"/>
            </w:pPr>
            <w:r>
              <w:t xml:space="preserve">0.383 (0.227 to 0.550)</w:t>
            </w:r>
          </w:p>
        </w:tc>
        <w:tc>
          <w:tcPr/>
          <w:p>
            <w:pPr>
              <w:pStyle w:val="Compact"/>
            </w:pPr>
            <w:r>
              <w:t xml:space="preserve">0.349</w:t>
            </w:r>
          </w:p>
        </w:tc>
        <w:tc>
          <w:tcPr/>
          <w:p>
            <w:pPr>
              <w:pStyle w:val="Compact"/>
            </w:pPr>
            <w:r>
              <w:t xml:space="preserve">0.411</w:t>
            </w:r>
          </w:p>
        </w:tc>
        <w:tc>
          <w:tcPr/>
          <w:p>
            <w:pPr>
              <w:pStyle w:val="Compact"/>
            </w:pPr>
            <w:r>
              <w:t xml:space="preserve">0.624 (0.189 to 1.056)</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(0.009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1.105 (0.656 to 1.589)</w:t>
            </w:r>
          </w:p>
        </w:tc>
        <w:tc>
          <w:tcPr/>
          <w:p>
            <w:pPr>
              <w:pStyle w:val="Compact"/>
            </w:pPr>
            <w:r>
              <w:t xml:space="preserve">1.009</w:t>
            </w:r>
          </w:p>
        </w:tc>
        <w:tc>
          <w:tcPr/>
          <w:p>
            <w:pPr>
              <w:pStyle w:val="Compact"/>
            </w:pPr>
            <w:r>
              <w:t xml:space="preserve">1.186</w:t>
            </w:r>
          </w:p>
        </w:tc>
        <w:tc>
          <w:tcPr/>
          <w:p>
            <w:pPr>
              <w:pStyle w:val="Compact"/>
            </w:pPr>
            <w:r>
              <w:t xml:space="preserve">1.800 (0.545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1.05 (0.62 to 1.51)</w:t>
            </w:r>
          </w:p>
        </w:tc>
        <w:tc>
          <w:tcPr/>
          <w:p>
            <w:pPr>
              <w:pStyle w:val="Compact"/>
            </w:pPr>
            <w:r>
              <w:t xml:space="preserve">0.96</w:t>
            </w:r>
          </w:p>
        </w:tc>
        <w:tc>
          <w:tcPr/>
          <w:p>
            <w:pPr>
              <w:pStyle w:val="Compact"/>
            </w:pPr>
            <w:r>
              <w:t xml:space="preserve">1.71 (0.52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1.35 (0.80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8"/>
    <w:bookmarkStart w:id="109"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9"/>
    <w:bookmarkStart w:id="110"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92" Target="media/rId92.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4" Target="media/rId74.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2026-10-04T07:33:26Z</dcterms:created>
  <dcterms:modified xsi:type="dcterms:W3CDTF">2026-10-04T07:33:26Z</dcterms:modified>
</cp:coreProperties>
</file>

<file path=docProps/custom.xml><?xml version="1.0" encoding="utf-8"?>
<Properties xmlns="http://schemas.openxmlformats.org/officeDocument/2006/custom-properties" xmlns:vt="http://schemas.openxmlformats.org/officeDocument/2006/docPropsVTypes"/>
</file>