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rPr>
          <w:b/>
          <w:bCs/>
        </w:rPr>
        <w:t xml:space="preserve">Jonathan Gewirtzman</w:t>
      </w:r>
      <w:r>
        <w:t xml:space="preserve">, Elisabeth Powell, Frannie Adams, Sean Charles, Erin Delaria, Cheryl Doughty, Lin Xiong, Lucy Carruthers, Addison Colwell, Atticus Stovall, Glenn Wolfe, Judith Rosentreter, Derrick Vaughn, Anthony Campbell, Mingyu Zhang, Samuel Tsao, Megan Brueck, Ben Girgenti, Mike Norton, Jessie Peterman, Ayia Lindquist, William Chen, [Jordan Peccia, Irvan Luhung,] Sparkle Malone, Benjamin Poulter, David Lagomasino, Peter Raymond</w:t>
      </w:r>
    </w:p>
    <w:p>
      <w:pPr>
        <w:pStyle w:val="BodyText"/>
      </w:pPr>
      <w:r>
        <w:rPr>
          <w:i/>
          <w:iCs/>
        </w:rPr>
        <w:t xml:space="preserve">[Affiliations to complete (Yale School of the Environment; Yale Center for Natural Carbon Capture; University of Maryland; East Carolina University and Coastal Studies Institute; NASA Goddard Space Flight Center; Southern Cross University; Utah State University; Spark Climate Solutions; Stanford). Corresponding author: J. Gewirtzman.]</w:t>
      </w:r>
    </w:p>
    <w:p>
      <w:pPr>
        <w:pStyle w:val="BodyText"/>
      </w:pPr>
      <w:r>
        <w:rPr>
          <w:i/>
          <w:iCs/>
        </w:rPr>
        <w:t xml:space="preserve">Draft for Science (Research Article: ≤3,000-word main text, ≤5 display items, ~50 references; Materials and Methods in the supplementary materials). Citations are reference keys in braces, defined in manuscript/references.md, numbered by manuscript/build_docx.py. Figures follow output/figures/main/Fig1–Fig5. Placeholders in brackets.</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pPr>
        <w:pStyle w:val="BodyText"/>
      </w:pPr>
      <w:r>
        <w:rPr>
          <w:i/>
          <w:iCs/>
        </w:rPr>
        <w:t xml:space="preserve">[~120 words]</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We combined chambers on six surfaces (water, soil, prop roots, stems, downed wood and leaves) at intact, regenerating and ghost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1C).</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r>
        <w:t xml:space="preserve"> </w:t>
      </w:r>
      <w:r>
        <w:rPr>
          <w:i/>
          <w:iCs/>
        </w:rPr>
        <w:t xml:space="preserve">[Draft illustration; labels pending.]</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S4).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2C). Most woody surface lies far above the water line, where flux is lowest (Fig. 2F). Stems therefore contributed &lt;1% of stand methane in both intact and ghost forest, whereas the dense prop-root zone of intact red-mangrove forest contributed ~28% (Fig. 3A).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 3, A and D).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S7).</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C, E and F). Bottom-up intact CO2 uptake (−1,025 g C m−2 yr−1) matched the long-term tower estimate for the same forest (−1,170 ± 127) (52) (Fig. 3D).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and campaign. (</w:t>
      </w:r>
      <w:r>
        <w:rPr>
          <w:b/>
          <w:bCs/>
        </w:rPr>
        <w:t xml:space="preserve">C</w:t>
      </w:r>
      <w:r>
        <w:t xml:space="preserve">) Airborne CH4 and midday CO2 for intact and ghost forest by deployment</w:t>
      </w:r>
      <w:r>
        <w:t xml:space="preserve"> </w:t>
      </w:r>
      <w:r>
        <w:rPr>
          <w:i/>
          <w:iCs/>
        </w:rPr>
        <w:t xml:space="preserve">[July 2024 pending]</w:t>
      </w:r>
      <w:r>
        <w:t xml:space="preserve">. (</w:t>
      </w:r>
      <w:r>
        <w:rPr>
          <w:b/>
          <w:bCs/>
        </w:rPr>
        <w:t xml:space="preserve">D</w:t>
      </w:r>
      <w:r>
        <w:t xml:space="preserve">) Annual stand CH4 and net CO2 exchange (Monte Carlo 95% intervals) with the tower estimate (52). Stand (</w:t>
      </w:r>
      <w:r>
        <w:rPr>
          <w:b/>
          <w:bCs/>
        </w:rPr>
        <w:t xml:space="preserve">E</w:t>
      </w:r>
      <w:r>
        <w:t xml:space="preserve">) CH4 and (</w:t>
      </w:r>
      <w:r>
        <w:rPr>
          <w:b/>
          <w:bCs/>
        </w:rPr>
        <w:t xml:space="preserve">F</w:t>
      </w:r>
      <w:r>
        <w:t xml:space="preserve">) CO2 by campaign, stacked by component, with bottom-up totals (diamonds), airborne (triangles) and tower (squares) estimates; intervals 95%.</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(−3,755 g CO2 m−2 yr−1) dwarfed its methane emission (+121 g CO2-eq at GWP20), which offset 3% of it (Fig. 5A). Ghost forest was a net source (+2,775 g CO2-eq m−2 yr−1 at GWP20; +2,141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−5,233 to −1,939; ghost +1,922 to +3,978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~5,500 (fig. S14;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Our ghost sites showed no canopy recovery five to six years after landfall, so this forcing recurs each year until stands recover. The estimate is conservative. The map captures only 60 of the 108 km2 of post-Irma dieback in Florida (36), and it omits peat collapse after root death (62) and the lateral losses of ghost forest.</w:t>
      </w:r>
      <w:r>
        <w:t xml:space="preserve"> </w:t>
      </w:r>
      <w:r>
        <w:rPr>
          <w:i/>
          <w:iCs/>
        </w:rPr>
        <w:t xml:space="preserve">[OPTIONAL PLACEHOLDER — global extension: apply the per-area switch to cyclone-driven mangrove mortality worldwide (global loss products × storm tracks), with bounds.]</w:t>
      </w:r>
    </w:p>
    <w:p>
      <w:pPr>
        <w:pStyle w:val="BodyText"/>
      </w:pPr>
      <w:r>
        <w:drawing>
          <wp:inline>
            <wp:extent cx="5334000" cy="511175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11175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(63),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(64, 65), and the proportion of intense cyclones is projected to rise (41). Because recovery restores the sink, the feedback strengthens the case for conserving intact mangrove and restoring damaged stands. Where impounded, hypersaline water persists, as at our ghost sites, restoring tidal exchange may favour recruitment (66). But the regenerating stand still emitted as much methane as ghost forest, so the methane benefit of restoration should be measured rather than assumed. Blue-carbon crediting should carry both an accurate methane baseline and a permanence-risk term for disturbance (67, 68).</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pPr>
        <w:pStyle w:val="BodyText"/>
      </w:pPr>
      <w:r>
        <w:rPr>
          <w:i/>
          <w:iCs/>
        </w:rPr>
        <w:t xml:space="preserve">[Main-text word count: see build output]</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Bunting, P. et al. Global Mangrove Extent Change 1996–2020: Global Mangrove Watch Version 3.0. Remote Sens. 14, 3657 (2022). https://doi.org/10.3390/rs14153657</w:t>
      </w:r>
    </w:p>
    <w:p>
      <w:pPr>
        <w:pStyle w:val="Compact"/>
        <w:numPr>
          <w:ilvl w:val="0"/>
          <w:numId w:val="1001"/>
        </w:numPr>
      </w:pPr>
      <w:r>
        <w:t xml:space="preserve">Rovai, A. S. et al. Global controls on carbon storage in mangrove soils. Nat. Clim. Change 8, 534–538 (2018). https://doi.org/10.1038/s41558-018-0162-5</w:t>
      </w:r>
    </w:p>
    <w:p>
      <w:pPr>
        <w:pStyle w:val="Compact"/>
        <w:numPr>
          <w:ilvl w:val="0"/>
          <w:numId w:val="1001"/>
        </w:numPr>
      </w:pPr>
      <w:r>
        <w:t xml:space="preserve">Kauffman, J. B. et al. Total ecosystem carbon stocks of mangroves across broad global environmental and physical gradients. Ecol. Monogr. 90, e01405 (2020). https://doi.org/10.1002/ecm.1405</w:t>
      </w:r>
    </w:p>
    <w:p>
      <w:pPr>
        <w:pStyle w:val="Compact"/>
        <w:numPr>
          <w:ilvl w:val="0"/>
          <w:numId w:val="1001"/>
        </w:numPr>
      </w:pPr>
      <w:r>
        <w:t xml:space="preserve">Breithaupt, J. L. &amp; Steinmuller, H. E. Refining the global estimate of mangrove carbon burial rates using sedimentary and geomorphic settings. Geophys. Res. Lett. 49, e2022GL100177 (2022). https://doi.org/10.1029/2022gl100177</w:t>
      </w:r>
    </w:p>
    <w:p>
      <w:pPr>
        <w:pStyle w:val="Compact"/>
        <w:numPr>
          <w:ilvl w:val="0"/>
          <w:numId w:val="1001"/>
        </w:numPr>
      </w:pPr>
      <w:r>
        <w:t xml:space="preserve">Macreadie, P. I. et al. Blue carbon as a natural climate solution. Nat. Rev. Earth Environ. 2, 826–839 (2021). https://doi.org/10.1038/s43017-021-00224-1</w:t>
      </w:r>
    </w:p>
    <w:p>
      <w:pPr>
        <w:pStyle w:val="Compact"/>
        <w:numPr>
          <w:ilvl w:val="0"/>
          <w:numId w:val="1001"/>
        </w:numPr>
      </w:pPr>
      <w:r>
        <w:t xml:space="preserve">Macreadie, P. I. et al. The future of Blue Carbon science. Nat. Commun. 10, 3998 (2019). https://doi.org/10.1038/s41467-019-11693-w</w:t>
      </w:r>
    </w:p>
    <w:p>
      <w:pPr>
        <w:pStyle w:val="Compact"/>
        <w:numPr>
          <w:ilvl w:val="0"/>
          <w:numId w:val="1001"/>
        </w:numPr>
      </w:pPr>
      <w:r>
        <w:t xml:space="preserve">Forster, P.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1"/>
        </w:numPr>
      </w:pPr>
      <w:r>
        <w:t xml:space="preserve">Rosentreter, J. A., Maher, D. T., Erler, D. V., Murray, R. H. &amp; Eyre, B. D. Methane emissions partially offset</w:t>
      </w:r>
      <w:r>
        <w:t xml:space="preserve"> </w:t>
      </w:r>
      <w:r>
        <w:t xml:space="preserve">“blue carbon”</w:t>
      </w:r>
      <w:r>
        <w:t xml:space="preserve"> </w:t>
      </w:r>
      <w:r>
        <w:t xml:space="preserve">burial in mangroves. Sci. Adv. 4, eaao4985 (2018). https://doi.org/10.1126/sciadv.aao4985</w:t>
      </w:r>
    </w:p>
    <w:p>
      <w:pPr>
        <w:pStyle w:val="Compact"/>
        <w:numPr>
          <w:ilvl w:val="0"/>
          <w:numId w:val="1001"/>
        </w:numPr>
      </w:pPr>
      <w:r>
        <w:t xml:space="preserve">Qin, G. et al. Mangrove sediment carbon burial offset by methane emissions from mangrove tree stems. Nat. Geosci. 18, 1224–1231 (2025). https://doi.org/10.1038/s41561-025-01848-4</w:t>
      </w:r>
    </w:p>
    <w:p>
      <w:pPr>
        <w:pStyle w:val="Compact"/>
        <w:numPr>
          <w:ilvl w:val="0"/>
          <w:numId w:val="1001"/>
        </w:numPr>
      </w:pPr>
      <w:r>
        <w:t xml:space="preserve">Burdige, D. J. Estuarine and coastal sediments – coupled biogeochemical cycling. In Treatise on Estuarine and Coastal Science, 279–316 (2012).</w:t>
      </w:r>
    </w:p>
    <w:p>
      <w:pPr>
        <w:pStyle w:val="Compact"/>
        <w:numPr>
          <w:ilvl w:val="0"/>
          <w:numId w:val="1001"/>
        </w:numPr>
      </w:pPr>
      <w:r>
        <w:t xml:space="preserve">Martens, C. S. &amp; Berner, R. A. Methane production in the interstitial waters of sulfate-depleted marine sediments. Science 185, 1167–1169 (1974).</w:t>
      </w:r>
    </w:p>
    <w:p>
      <w:pPr>
        <w:pStyle w:val="Compact"/>
        <w:numPr>
          <w:ilvl w:val="0"/>
          <w:numId w:val="1001"/>
        </w:numPr>
      </w:pPr>
      <w:r>
        <w:t xml:space="preserve">Weston, N. B., Dixon, R. E. &amp; Joye, S. B. Ramifications of increased salinity in tidal freshwater sediments: geochemistry and microbial pathways of organic matter mineralization. J. Geophys. Res. Biogeosci. 111, G01009 (2006). https://doi.org/10.1029/2005jg000071</w:t>
      </w:r>
    </w:p>
    <w:p>
      <w:pPr>
        <w:pStyle w:val="Compact"/>
        <w:numPr>
          <w:ilvl w:val="0"/>
          <w:numId w:val="1001"/>
        </w:numPr>
      </w:pPr>
      <w:r>
        <w:t xml:space="preserve">Cotovicz, L. C. et al. Methane oxidation minimizes emissions and offsets to carbon burial in mangroves. Nat. Clim. Change 14, 275–281 (2024). https://doi.org/10.1038/s41558-024-01927-1</w:t>
      </w:r>
    </w:p>
    <w:p>
      <w:pPr>
        <w:pStyle w:val="Compact"/>
        <w:numPr>
          <w:ilvl w:val="0"/>
          <w:numId w:val="1001"/>
        </w:numPr>
      </w:pPr>
      <w:r>
        <w:t xml:space="preserve">Bartlett, K. B., Bartlett, D. S., Harriss, R. C. &amp; Sebacher, D. I. Methane emissions along a salt marsh salinity gradient. Biogeochemistry 4, 183–202 (1987).</w:t>
      </w:r>
    </w:p>
    <w:p>
      <w:pPr>
        <w:pStyle w:val="Compact"/>
        <w:numPr>
          <w:ilvl w:val="0"/>
          <w:numId w:val="1001"/>
        </w:numPr>
      </w:pPr>
      <w:r>
        <w:t xml:space="preserve">Poffenbarger, H. J., Needelman, B. A. &amp; Megonigal, J. P. Salinity influence on methane emissions from tidal marshes. Wetlands 31, 831–842 (2011). https://doi.org/10.1007/s13157-011-0197-0</w:t>
      </w:r>
    </w:p>
    <w:p>
      <w:pPr>
        <w:pStyle w:val="Compact"/>
        <w:numPr>
          <w:ilvl w:val="0"/>
          <w:numId w:val="1001"/>
        </w:numPr>
      </w:pPr>
      <w:r>
        <w:t xml:space="preserve">Al-Haj, A. N. &amp; Fulweiler, R. W. A synthesis of methane emissions from shallow vegetated coastal ecosystems. Glob. Change Biol. 26, 2988–3005 (2020). https://doi.org/10.1111/gcb.15046</w:t>
      </w:r>
    </w:p>
    <w:p>
      <w:pPr>
        <w:pStyle w:val="Compact"/>
        <w:numPr>
          <w:ilvl w:val="0"/>
          <w:numId w:val="1001"/>
        </w:numPr>
      </w:pPr>
      <w:r>
        <w:t xml:space="preserve">IPCC. 2013 Supplement to the 2006 IPCC Guidelines for National Greenhouse Gas Inventories: Wetlands (IPCC, Switzerland, 2014).</w:t>
      </w:r>
    </w:p>
    <w:p>
      <w:pPr>
        <w:pStyle w:val="Compact"/>
        <w:numPr>
          <w:ilvl w:val="0"/>
          <w:numId w:val="1001"/>
        </w:numPr>
      </w:pPr>
      <w:r>
        <w:t xml:space="preserve">Verra. VM0033 Methodology for Tidal Wetland and Seagrass Restoration, v2.1 (Verified Carbon Standard, 2023).</w:t>
      </w:r>
    </w:p>
    <w:p>
      <w:pPr>
        <w:pStyle w:val="Compact"/>
        <w:numPr>
          <w:ilvl w:val="0"/>
          <w:numId w:val="1001"/>
        </w:numPr>
      </w:pPr>
      <w:r>
        <w:t xml:space="preserve">Jeffrey, L. C. et al. Are methane emissions from mangrove stems a cryptic carbon loss pathway? Insights from a catastrophic forest mortality. New Phytol. 224, 146–154 (2019). https://doi.org/10.1111/nph.15995</w:t>
      </w:r>
    </w:p>
    <w:p>
      <w:pPr>
        <w:pStyle w:val="Compact"/>
        <w:numPr>
          <w:ilvl w:val="0"/>
          <w:numId w:val="1001"/>
        </w:numPr>
      </w:pPr>
      <w:r>
        <w:t xml:space="preserve">Rosentreter, J. A. et al. Half of global methane emissions come from highly variable aquatic ecosystem sources. Nat. Geosci. 14, 225–230 (2021). https://doi.org/10.1038/s41561-021-00715-2</w:t>
      </w:r>
    </w:p>
    <w:p>
      <w:pPr>
        <w:pStyle w:val="Compact"/>
        <w:numPr>
          <w:ilvl w:val="0"/>
          <w:numId w:val="1001"/>
        </w:numPr>
      </w:pPr>
      <w:r>
        <w:t xml:space="preserve">Call, M. et al. Spatial and temporal variability of carbon dioxide and methane fluxes over semi-diurnal and spring–neap–spring timescales in a mangrove creek. Geochim. Cosmochim. Acta 150, 211–225 (2015). https://doi.org/10.1016/j.gca.2014.11.023</w:t>
      </w:r>
    </w:p>
    <w:p>
      <w:pPr>
        <w:pStyle w:val="Compact"/>
        <w:numPr>
          <w:ilvl w:val="0"/>
          <w:numId w:val="1001"/>
        </w:numPr>
      </w:pPr>
      <w:r>
        <w:t xml:space="preserve">Pangala, S. R. et al. Large emissions from floodplain trees close the Amazon methane budget. Nature 552, 230–234 (2017). https://doi.org/10.1038/nature24639</w:t>
      </w:r>
    </w:p>
    <w:p>
      <w:pPr>
        <w:pStyle w:val="Compact"/>
        <w:numPr>
          <w:ilvl w:val="0"/>
          <w:numId w:val="1001"/>
        </w:numPr>
      </w:pPr>
      <w:r>
        <w:t xml:space="preserve">Barba, J. et al. Methane emissions from tree stems: a new frontier in the global carbon cycle. New Phytol. 222, 18–28 (2019). https://doi.org/10.1111/nph.15582</w:t>
      </w:r>
    </w:p>
    <w:p>
      <w:pPr>
        <w:pStyle w:val="Compact"/>
        <w:numPr>
          <w:ilvl w:val="0"/>
          <w:numId w:val="1001"/>
        </w:numPr>
      </w:pPr>
      <w:r>
        <w:t xml:space="preserve">Gauci, V. et al. Global atmospheric methane uptake by upland tree woody surfaces. Nature 631, 796–800 (2024). https://doi.org/10.1038/s41586-024-07592-w</w:t>
      </w:r>
    </w:p>
    <w:p>
      <w:pPr>
        <w:pStyle w:val="Compact"/>
        <w:numPr>
          <w:ilvl w:val="0"/>
          <w:numId w:val="1001"/>
        </w:numPr>
      </w:pPr>
      <w:r>
        <w:t xml:space="preserve">Oremland, R. S. &amp; Polcin, S. Methanogenesis and sulfate reduction: competitive and noncompetitive substrates in estuarine sediments. Appl. Environ. Microbiol. 44, 1270–1276 (1982). https://doi.org/10.1128/aem.44.6.1270-1276.1982</w:t>
      </w:r>
    </w:p>
    <w:p>
      <w:pPr>
        <w:pStyle w:val="Compact"/>
        <w:numPr>
          <w:ilvl w:val="0"/>
          <w:numId w:val="1001"/>
        </w:numPr>
      </w:pPr>
      <w:r>
        <w:t xml:space="preserve">King, G. M. Metabolism of trimethylamine, choline, and glycine betaine by sulfate-reducing and methanogenic bacteria in marine sediments. Appl. Environ. Microbiol. 48, 719–725 (1984). https://doi.org/10.1128/aem.48.4.719-725.1984</w:t>
      </w:r>
    </w:p>
    <w:p>
      <w:pPr>
        <w:pStyle w:val="Compact"/>
        <w:numPr>
          <w:ilvl w:val="0"/>
          <w:numId w:val="1001"/>
        </w:numPr>
      </w:pPr>
      <w:r>
        <w:t xml:space="preserve">Zhuang, G.-C. et al. Multiple evidence for methylotrophic methanogenesis as the dominant methanogenic pathway in hypersaline sediments from the Orca Basin, Gulf of Mexico. Geochim. Cosmochim. Acta 187, 1–20 (2016). https://doi.org/10.1016/j.gca.2016.05.005</w:t>
      </w:r>
    </w:p>
    <w:p>
      <w:pPr>
        <w:pStyle w:val="Compact"/>
        <w:numPr>
          <w:ilvl w:val="0"/>
          <w:numId w:val="1001"/>
        </w:numPr>
      </w:pPr>
      <w:r>
        <w:t xml:space="preserve">Jameson, E. et al. Deltaproteobacteria (Pelobacter) and Methanococcoides are responsible for choline-dependent methanogenesis in a coastal saltmarsh sediment. ISME J. 13, 277–289 (2019). https://doi.org/10.1038/s41396-018-0269-8</w:t>
      </w:r>
    </w:p>
    <w:p>
      <w:pPr>
        <w:pStyle w:val="Compact"/>
        <w:numPr>
          <w:ilvl w:val="0"/>
          <w:numId w:val="1001"/>
        </w:numPr>
      </w:pPr>
      <w:r>
        <w:t xml:space="preserve">Narrowe, A. B. et al. Uncovering the diversity and activity of methylotrophic methanogens in freshwater wetland soils. mSystems 4, e00320-19 (2019). https://doi.org/10.1128/mSystems.00320-19</w:t>
      </w:r>
    </w:p>
    <w:p>
      <w:pPr>
        <w:pStyle w:val="Compact"/>
        <w:numPr>
          <w:ilvl w:val="0"/>
          <w:numId w:val="1001"/>
        </w:numPr>
      </w:pPr>
      <w:r>
        <w:t xml:space="preserve">Zhang, C.-J. et al. Genomic and transcriptomic insights into methanogenesis potential of novel methanogens from mangrove sediments. Microbiome 8, 94 (2020). https://doi.org/10.1186/s40168-020-00876-z</w:t>
      </w:r>
    </w:p>
    <w:p>
      <w:pPr>
        <w:pStyle w:val="Compact"/>
        <w:numPr>
          <w:ilvl w:val="0"/>
          <w:numId w:val="1001"/>
        </w:numPr>
      </w:pPr>
      <w:r>
        <w:t xml:space="preserve">Angle, J. C. et al. Methanogenesis in oxygenated soils is a substantial fraction of wetland methane emissions. Nat. Commun. 8, 1567 (2017). https://doi.org/10.1038/s41467-017-01753-4</w:t>
      </w:r>
    </w:p>
    <w:p>
      <w:pPr>
        <w:pStyle w:val="Compact"/>
        <w:numPr>
          <w:ilvl w:val="0"/>
          <w:numId w:val="1001"/>
        </w:numPr>
      </w:pPr>
      <w:r>
        <w:t xml:space="preserve">Sippo, J. Z., Lovelock, C. E., Santos, I. R., Sanders, C. J. &amp; Maher, D. T. Mangrove mortality in a changing climate: an overview. Estuar. Coast. Shelf Sci. 215, 241–249 (2018). https://doi.org/10.1016/j.ecss.2018.10.011</w:t>
      </w:r>
    </w:p>
    <w:p>
      <w:pPr>
        <w:pStyle w:val="Compact"/>
        <w:numPr>
          <w:ilvl w:val="0"/>
          <w:numId w:val="1001"/>
        </w:numPr>
      </w:pPr>
      <w:r>
        <w:t xml:space="preserve">Krauss, K. W. &amp; Osland, M. J. Tropical cyclones and the organization of mangrove forests: a review. Ann. Bot. 125, 213–234 (2020). https://doi.org/10.1093/aob/mcz161</w:t>
      </w:r>
    </w:p>
    <w:p>
      <w:pPr>
        <w:pStyle w:val="Compact"/>
        <w:numPr>
          <w:ilvl w:val="0"/>
          <w:numId w:val="1001"/>
        </w:numPr>
      </w:pPr>
      <w:r>
        <w:t xml:space="preserve">Saintilan, N. et al. Widespread retreat of coastal habitat is likely at warming levels above 1.5 °C. Nature 621, 112–119 (2023). https://doi.org/10.1038/s41586-023-06448-z</w:t>
      </w:r>
    </w:p>
    <w:p>
      <w:pPr>
        <w:pStyle w:val="Compact"/>
        <w:numPr>
          <w:ilvl w:val="0"/>
          <w:numId w:val="1001"/>
        </w:numPr>
      </w:pPr>
      <w:r>
        <w:t xml:space="preserve">Smith, T. J. III et al. Cumulative impacts of hurricanes on Florida mangrove ecosystems: sediment deposition, storm surges and vegetation. Wetlands 29, 24–34 (2009). https://doi.org/10.1672/08-40.1</w:t>
      </w:r>
    </w:p>
    <w:p>
      <w:pPr>
        <w:pStyle w:val="Compact"/>
        <w:numPr>
          <w:ilvl w:val="0"/>
          <w:numId w:val="1001"/>
        </w:numPr>
      </w:pPr>
      <w:r>
        <w:t xml:space="preserve">Lagomasino, D. et al. Storm surge and ponding explain mangrove dieback in southwest Florida following Hurricane Irma. Nat. Commun. 12, 4003 (2021). https://doi.org/10.1038/s41467-021-24253-y</w:t>
      </w:r>
    </w:p>
    <w:p>
      <w:pPr>
        <w:pStyle w:val="Compact"/>
        <w:numPr>
          <w:ilvl w:val="0"/>
          <w:numId w:val="1001"/>
        </w:numPr>
      </w:pPr>
      <w:r>
        <w:t xml:space="preserve">Radabaugh, K. R. et al. Mangrove damage, delayed mortality, and early recovery following Hurricane Irma at two landfall sites in Southwest Florida, USA. Estuar. Coasts 43, 1104–1118 (2020). https://doi.org/10.1007/s12237-019-00564-8</w:t>
      </w:r>
    </w:p>
    <w:p>
      <w:pPr>
        <w:pStyle w:val="Compact"/>
        <w:numPr>
          <w:ilvl w:val="0"/>
          <w:numId w:val="1001"/>
        </w:numPr>
      </w:pPr>
      <w:r>
        <w:t xml:space="preserve">Kirwan, M. L. &amp; Gedan, K. B. Sea-level driven land conversion and the formation of ghost forests. Nat. Clim. Change 9, 450–457 (2019). https://doi.org/10.1038/s41558-019-0488-7</w:t>
      </w:r>
    </w:p>
    <w:p>
      <w:pPr>
        <w:pStyle w:val="Compact"/>
        <w:numPr>
          <w:ilvl w:val="0"/>
          <w:numId w:val="1001"/>
        </w:numPr>
      </w:pPr>
      <w:r>
        <w:t xml:space="preserve">Rivera-Monroy, V. H. et al. Long-term demography and stem productivity of Everglades mangrove forests (Florida, USA): resistance to hurricane disturbance. For. Ecol. Manage. 440, 79–91 (2019). https://doi.org/10.1016/j.foreco.2019.02.036</w:t>
      </w:r>
    </w:p>
    <w:p>
      <w:pPr>
        <w:pStyle w:val="Compact"/>
        <w:numPr>
          <w:ilvl w:val="0"/>
          <w:numId w:val="1001"/>
        </w:numPr>
      </w:pPr>
      <w:r>
        <w:t xml:space="preserve">Yu, H., Organ, H., Xu, D. &amp; Coffin, R. Tidal control and mangrove dieback impact on methane emissions from a subtropical mangrove estuary. Limnol. Oceanogr. 68, 753–766 (2023). https://doi.org/10.1002/lno.12307</w:t>
      </w:r>
    </w:p>
    <w:p>
      <w:pPr>
        <w:pStyle w:val="Compact"/>
        <w:numPr>
          <w:ilvl w:val="0"/>
          <w:numId w:val="1001"/>
        </w:numPr>
      </w:pPr>
      <w:r>
        <w:t xml:space="preserve">Seneviratne, S. I. et al. Weather and climate extreme events in a changing climate. In Climate Change 2021: The Physical Science Basis. Contribution of Working Group I to the Sixth Assessment Report of the IPCC, 1513–1766 (Cambridge Univ. Press, 2021). https://doi.org/10.1017/9781009157896.013</w:t>
      </w:r>
    </w:p>
    <w:p>
      <w:pPr>
        <w:pStyle w:val="Compact"/>
        <w:numPr>
          <w:ilvl w:val="0"/>
          <w:numId w:val="1001"/>
        </w:numPr>
      </w:pPr>
      <w:r>
        <w:t xml:space="preserve">Poulter, B. et al. Multi-scale observations of mangrove blue carbon ecosystem fluxes: the NASA Carbon Monitoring System BlueFlux field campaign. Environ. Res. Lett. 18, 075009 (2023). https://doi.org/10.1088/1748-9326/acdae6</w:t>
      </w:r>
    </w:p>
    <w:p>
      <w:pPr>
        <w:pStyle w:val="Compact"/>
        <w:numPr>
          <w:ilvl w:val="0"/>
          <w:numId w:val="1001"/>
        </w:numPr>
      </w:pPr>
      <w:r>
        <w:t xml:space="preserve">Doughty, C. L. et al. Compounded effects on wetland greenhouse gas fluxes from climate change and water management along a saline to freshwater gradient. Proc. Natl Acad. Sci. USA 123, e2513685123 (2026). https://doi.org/10.1073/pnas.2513685123</w:t>
      </w:r>
    </w:p>
    <w:p>
      <w:pPr>
        <w:pStyle w:val="Compact"/>
        <w:numPr>
          <w:ilvl w:val="0"/>
          <w:numId w:val="1001"/>
        </w:numPr>
      </w:pPr>
      <w:r>
        <w:t xml:space="preserve">Calders, K. et al. Nondestructive estimates of above-ground biomass using terrestrial laser scanning. Methods Ecol. Evol. 6, 198–208 (2015). https://doi.org/10.1111/2041-210X.12301</w:t>
      </w:r>
    </w:p>
    <w:p>
      <w:pPr>
        <w:pStyle w:val="Compact"/>
        <w:numPr>
          <w:ilvl w:val="0"/>
          <w:numId w:val="1001"/>
        </w:numPr>
      </w:pPr>
      <w:r>
        <w:t xml:space="preserve">Powell, E. B. et al. [Terrestrial laser scanning of Everglades mangrove structure and surface area across a hurricane-disturbance gradient — methods paper in preparation; details to complete]</w:t>
      </w:r>
    </w:p>
    <w:p>
      <w:pPr>
        <w:pStyle w:val="Compact"/>
        <w:numPr>
          <w:ilvl w:val="0"/>
          <w:numId w:val="1001"/>
        </w:numPr>
      </w:pPr>
      <w:r>
        <w:t xml:space="preserve">Wolfe, G. M. et al. The NASA Carbon Airborne Flux Experiment (CARAFE): instrumentation and methodology. Atmos. Meas. Tech. 11, 1757–1776 (2018). https://doi.org/10.5194/amt-11-1757-2018</w:t>
      </w:r>
    </w:p>
    <w:p>
      <w:pPr>
        <w:pStyle w:val="Compact"/>
        <w:numPr>
          <w:ilvl w:val="0"/>
          <w:numId w:val="1001"/>
        </w:numPr>
      </w:pPr>
      <w:r>
        <w:t xml:space="preserve">Delaria, E. R. et al. Assessment of landscape-scale fluxes of carbon dioxide and methane in subtropical coastal wetlands of South Florida. J. Geophys. Res. Biogeosci. 129, e2024JG008165 (2024). https://doi.org/10.1029/2024JG008165</w:t>
      </w:r>
    </w:p>
    <w:p>
      <w:pPr>
        <w:pStyle w:val="Compact"/>
        <w:numPr>
          <w:ilvl w:val="0"/>
          <w:numId w:val="1001"/>
        </w:numPr>
      </w:pPr>
      <w:r>
        <w:t xml:space="preserve">Maher, D. et al. Matters Arising: critical methodological flaws in Qin et al. (2025)</w:t>
      </w:r>
      <w:r>
        <w:t xml:space="preserve"> </w:t>
      </w:r>
      <w:r>
        <w:t xml:space="preserve">“Mangrove sediment carbon burial offset by methane emissions from mangrove tree stems”</w:t>
      </w:r>
      <w:r>
        <w:t xml:space="preserve">. EarthArXiv preprint (2025). https://doi.org/10.31223/X5XB3C</w:t>
      </w:r>
    </w:p>
    <w:p>
      <w:pPr>
        <w:pStyle w:val="Compact"/>
        <w:numPr>
          <w:ilvl w:val="0"/>
          <w:numId w:val="1001"/>
        </w:numPr>
      </w:pPr>
      <w:r>
        <w:t xml:space="preserve">Liu, J. et al. Methane emissions reduce the radiative cooling effect of a subtropical estuarine mangrove wetland by half. Glob. Change Biol. 26, 4998–5016 (2020). https://doi.org/10.1111/gcb.15247</w:t>
      </w:r>
    </w:p>
    <w:p>
      <w:pPr>
        <w:pStyle w:val="Compact"/>
        <w:numPr>
          <w:ilvl w:val="0"/>
          <w:numId w:val="1001"/>
        </w:numPr>
      </w:pPr>
      <w:r>
        <w:t xml:space="preserve">Hutjes, R. W. A. et al. Dis-aggregation of airborne flux measurements using footprint analysis. Agric. For. Meteorol. 150, 966–983 (2010). https://doi.org/10.1016/j.agrformet.2010.03.004</w:t>
      </w:r>
    </w:p>
    <w:p>
      <w:pPr>
        <w:pStyle w:val="Compact"/>
        <w:numPr>
          <w:ilvl w:val="0"/>
          <w:numId w:val="1001"/>
        </w:numPr>
      </w:pPr>
      <w:r>
        <w:t xml:space="preserve">Hannun, R. A. et al. Spatial heterogeneity in CO2, CH4, and energy fluxes: insights from airborne eddy covariance measurements over the Mid-Atlantic region. Environ. Res. Lett. 15, 035008 (2020). https://doi.org/10.1088/1748-9326/ab7391</w:t>
      </w:r>
    </w:p>
    <w:p>
      <w:pPr>
        <w:pStyle w:val="Compact"/>
        <w:numPr>
          <w:ilvl w:val="0"/>
          <w:numId w:val="1001"/>
        </w:numPr>
      </w:pPr>
      <w:r>
        <w:t xml:space="preserve">Barr, J. G. et al. Controls on mangrove forest-atmosphere carbon dioxide exchanges in western Everglades National Park. J. Geophys. Res. Biogeosci. 115, G02020 (2010). https://doi.org/10.1029/2009JG001186</w:t>
      </w:r>
    </w:p>
    <w:p>
      <w:pPr>
        <w:pStyle w:val="Compact"/>
        <w:numPr>
          <w:ilvl w:val="0"/>
          <w:numId w:val="1001"/>
        </w:numPr>
      </w:pPr>
      <w:r>
        <w:t xml:space="preserve">Jones, H. J. et al. A new family of uncultivated bacteria involved in methanogenesis from the ubiquitous osmolyte glycine betaine in coastal saltmarsh sediments. Microbiome 7, 120 (2019). https://doi.org/10.1186/s40168-019-0732-4</w:t>
      </w:r>
    </w:p>
    <w:p>
      <w:pPr>
        <w:pStyle w:val="Compact"/>
        <w:numPr>
          <w:ilvl w:val="0"/>
          <w:numId w:val="1001"/>
        </w:numPr>
      </w:pPr>
      <w:r>
        <w:t xml:space="preserve">Krause, S. J. E. &amp; Treude, T. Deciphering cryptic methane cycling: coupling of methylotrophic methanogenesis and anaerobic oxidation of methane in hypersaline coastal wetland sediment. Geochim. Cosmochim. Acta 302, 160–174 (2021). https://doi.org/10.1016/j.gca.2021.03.021</w:t>
      </w:r>
    </w:p>
    <w:p>
      <w:pPr>
        <w:pStyle w:val="Compact"/>
        <w:numPr>
          <w:ilvl w:val="0"/>
          <w:numId w:val="1001"/>
        </w:numPr>
      </w:pPr>
      <w:r>
        <w:t xml:space="preserve">Smith, M. A., Cain, M. &amp; Allen, M. R. Further improvement of warming-equivalent emissions calculation. npj Clim. Atmos. Sci. 4, 19 (2021). https://doi.org/10.1038/s41612-021-00169-8</w:t>
      </w:r>
    </w:p>
    <w:p>
      <w:pPr>
        <w:pStyle w:val="Compact"/>
        <w:numPr>
          <w:ilvl w:val="0"/>
          <w:numId w:val="1001"/>
        </w:numPr>
      </w:pPr>
      <w:r>
        <w:t xml:space="preserve">Santos, I. R. et al. The renaissance of Odum’s outwelling hypothesis in</w:t>
      </w:r>
      <w:r>
        <w:t xml:space="preserve"> </w:t>
      </w:r>
      <w:r>
        <w:t xml:space="preserve">‘Blue Carbon’</w:t>
      </w:r>
      <w:r>
        <w:t xml:space="preserve"> </w:t>
      </w:r>
      <w:r>
        <w:t xml:space="preserve">science. Estuar. Coast. Shelf Sci. 255, 107361 (2021). https://doi.org/10.1016/j.ecss.2021.107361</w:t>
      </w:r>
    </w:p>
    <w:p>
      <w:pPr>
        <w:pStyle w:val="Compact"/>
        <w:numPr>
          <w:ilvl w:val="0"/>
          <w:numId w:val="1001"/>
        </w:numPr>
      </w:pPr>
      <w:r>
        <w:t xml:space="preserve">Ho, D. T. et al. Dissolved carbon biogeochemistry and export in mangrove-dominated rivers of the Florida Everglades. Biogeosciences 14, 2543–2559 (2017). https://doi.org/10.5194/bg-14-2543-2017</w:t>
      </w:r>
    </w:p>
    <w:p>
      <w:pPr>
        <w:pStyle w:val="Compact"/>
        <w:numPr>
          <w:ilvl w:val="0"/>
          <w:numId w:val="1001"/>
        </w:numPr>
      </w:pPr>
      <w:r>
        <w:t xml:space="preserve">Sippo, J. Z. et al. Are mangroves drivers or buffers of coastal acidification? Insights from alkalinity and dissolved inorganic carbon export estimates across a latitudinal transect. Glob. Biogeochem. Cycles 30, 753–766 (2016). https://doi.org/10.1002/2015GB005324</w:t>
      </w:r>
    </w:p>
    <w:p>
      <w:pPr>
        <w:pStyle w:val="Compact"/>
        <w:numPr>
          <w:ilvl w:val="0"/>
          <w:numId w:val="1001"/>
        </w:numPr>
      </w:pPr>
      <w:r>
        <w:t xml:space="preserve">Reithmaier, G. M. S. et al. Carbonate chemistry and carbon sequestration driven by inorganic carbon outwelling from mangroves and saltmarshes. Nat. Commun. 14, 8196 (2023). https://doi.org/10.1038/s41467-023-44037-w</w:t>
      </w:r>
    </w:p>
    <w:p>
      <w:pPr>
        <w:pStyle w:val="Compact"/>
        <w:numPr>
          <w:ilvl w:val="0"/>
          <w:numId w:val="1001"/>
        </w:numPr>
      </w:pPr>
      <w:r>
        <w:t xml:space="preserve">Zhao, X. et al. Tropical cyclones cumulatively control regional carbon fluxes in Everglades mangrove wetlands (Florida, USA). Sci. Rep. 11, 13927 (2021). https://doi.org/10.1038/s41598-021-92899-1</w:t>
      </w:r>
    </w:p>
    <w:p>
      <w:pPr>
        <w:pStyle w:val="Compact"/>
        <w:numPr>
          <w:ilvl w:val="0"/>
          <w:numId w:val="1001"/>
        </w:numPr>
      </w:pPr>
      <w:r>
        <w:t xml:space="preserve">Taillie, P. J. et al. Widespread mangrove damage resulting from the 2017 Atlantic mega hurricane season. Environ. Res. Lett. 15, 064010 (2020). https://doi.org/10.1088/1748-9326/ab82cf</w:t>
      </w:r>
    </w:p>
    <w:p>
      <w:pPr>
        <w:pStyle w:val="Compact"/>
        <w:numPr>
          <w:ilvl w:val="0"/>
          <w:numId w:val="1001"/>
        </w:numPr>
      </w:pPr>
      <w:r>
        <w:t xml:space="preserve">Cahoon, D. R. et al. Mass tree mortality leads to mangrove peat collapse at Bay Islands, Honduras after Hurricane Mitch. J. Ecol. 91, 1093–1105 (2003). https://doi.org/10.1046/j.1365-2745.2003.00841.x</w:t>
      </w:r>
    </w:p>
    <w:p>
      <w:pPr>
        <w:pStyle w:val="Compact"/>
        <w:numPr>
          <w:ilvl w:val="0"/>
          <w:numId w:val="1001"/>
        </w:numPr>
      </w:pPr>
      <w:r>
        <w:t xml:space="preserve">Martinez, M. &amp; Ardón, M. Drivers of greenhouse gas emissions from standing dead trees in ghost forests. Biogeochemistry 154, 471–488 (2021). https://doi.org/10.1007/s10533-021-00797-5</w:t>
      </w:r>
    </w:p>
    <w:p>
      <w:pPr>
        <w:pStyle w:val="Compact"/>
        <w:numPr>
          <w:ilvl w:val="0"/>
          <w:numId w:val="1001"/>
        </w:numPr>
      </w:pPr>
      <w:r>
        <w:t xml:space="preserve">Mo, Y., Simard, M. &amp; Hall, J. W. Tropical cyclone risk to global mangrove ecosystems: potential future regional shifts. Front. Ecol. Environ. 21, 269–274 (2023). https://doi.org/10.1002/fee.2650</w:t>
      </w:r>
    </w:p>
    <w:p>
      <w:pPr>
        <w:pStyle w:val="Compact"/>
        <w:numPr>
          <w:ilvl w:val="0"/>
          <w:numId w:val="1001"/>
        </w:numPr>
      </w:pPr>
      <w:r>
        <w:t xml:space="preserve">Peereman, J., Hogan, J. A. &amp; Lin, T.-C. Disturbance frequency, intensity and forest structure modulate cyclone-induced changes in mangrove forest canopy cover. Glob. Ecol. Biogeogr. 31, 37–50 (2022). https://doi.org/10.1111/geb.13407</w:t>
      </w:r>
    </w:p>
    <w:p>
      <w:pPr>
        <w:pStyle w:val="Compact"/>
        <w:numPr>
          <w:ilvl w:val="0"/>
          <w:numId w:val="1001"/>
        </w:numPr>
      </w:pPr>
      <w:r>
        <w:t xml:space="preserve">Lewis, R. R. Ecological engineering for successful management and restoration of mangrove forests. Ecol. Eng. 24, 403–418 (2005). https://doi.org/10.1016/j.ecoleng.2004.10.003</w:t>
      </w:r>
    </w:p>
    <w:p>
      <w:pPr>
        <w:pStyle w:val="Compact"/>
        <w:numPr>
          <w:ilvl w:val="0"/>
          <w:numId w:val="1001"/>
        </w:numPr>
      </w:pPr>
      <w:r>
        <w:t xml:space="preserve">Rosentreter, J. A., Al-Haj, A. N., Fulweiler, R. W. &amp; Williamson, P. Methane and nitrous oxide emissions complicate coastal blue carbon assessments. Glob. Biogeochem. Cycles 35, e2020GB006858 (2021). https://doi.org/10.1029/2020GB006858</w:t>
      </w:r>
    </w:p>
    <w:p>
      <w:pPr>
        <w:pStyle w:val="Compact"/>
        <w:numPr>
          <w:ilvl w:val="0"/>
          <w:numId w:val="1001"/>
        </w:numPr>
      </w:pPr>
      <w:r>
        <w:t xml:space="preserve">Williamson, P. &amp; Gattuso, J.-P. Carbon removal using coastal blue carbon ecosystems is uncertain and unreliable, with questionable climatic cost-effectiveness. Front. Clim. 4, 853666 (2022). https://doi.org/10.3389/fclim.2022.853666</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S17; Tables S1 to S15; References; Data S1 and S2 (manuscript/SI/supplement_Science.docx, built by manuscript/SI/build_supplement.py).</w:t>
      </w:r>
    </w:p>
    <w:p>
      <w:pPr>
        <w:pStyle w:val="BodyText"/>
      </w:pPr>
      <w:r>
        <w:rPr>
          <w:i/>
          <w:iCs/>
        </w:rPr>
        <w:t xml:space="preserve">[CHECK flags: E. Delaria airborne uncertainty definition; inorganic-N dilution; D. Lagomasino on the 2017 layer; TLS scan positions; tower instruments; references marked [details to complete] in manuscript/references.md.]</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2026-10-03T10:26:32Z</dcterms:created>
  <dcterms:modified xsi:type="dcterms:W3CDTF">2026-10-03T10:26:32Z</dcterms:modified>
</cp:coreProperties>
</file>

<file path=docProps/custom.xml><?xml version="1.0" encoding="utf-8"?>
<Properties xmlns="http://schemas.openxmlformats.org/officeDocument/2006/custom-properties" xmlns:vt="http://schemas.openxmlformats.org/officeDocument/2006/docPropsVTypes"/>
</file>