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as in the NCC draft. Corresponding: J. Gewirtzman.]</w:t>
      </w:r>
    </w:p>
    <w:p>
      <w:pPr>
        <w:pStyle w:val="BodyText"/>
      </w:pPr>
      <w:r>
        <w:rPr>
          <w:i/>
          <w:iCs/>
        </w:rPr>
        <w:t xml:space="preserve">Draft for Science (Research Article: ≤3,000-word main text, 5 display items, ~50 references; Materials and Methods in the supplementary materials). Condensed from manuscript_NCC_draft.md; detailed statistics, per-site values and secondary analyses are in the supplement. Figure panels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resolved methane and CO2 exchange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shifted it to flooded water surfaces, and reversed the porewater salinity–methane relationship, with methane accumulating at seawater sulfate. Ghost forest was a net source, switching the radiative balance by ~6,400 g CO2-eq m−2 yr−1 (20-year horizon), a third of it from methane. Scaled across Caribbean mangrove lost in 2017, the switch adds ~1.1 Tg CO2-eq yr−1: a disturbance feedback absent from current accounting.</w:t>
      </w:r>
    </w:p>
    <w:p>
      <w:pPr>
        <w:pStyle w:val="BodyText"/>
      </w:pPr>
      <w:r>
        <w:rPr>
          <w:i/>
          <w:iCs/>
        </w:rPr>
        <w:t xml:space="preserve">[~130 words; Science limit 125]</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store 2–10 Pg of carbon along tropical and subtropical coasts and are central to blue-carbon policy and nature-based climate solutions (</w:t>
      </w:r>
      <w:r>
        <w:rPr>
          <w:i/>
          <w:iCs/>
        </w:rPr>
        <w:t xml:space="preserve">refs</w:t>
      </w:r>
      <w:r>
        <w:t xml:space="preserve">). Like all wetlands they also produce methane, which warms the climate 81 times more than CO2 over 20 years and 28 times more over 100. Whether methane offsets mangrove carbon uptake has been treated as settled: tidal sulfate and oxygen sustain microbial processes that outcompete methanogens, so the IPCC 2013 Wetlands Supplement sets mangrove methane to zero above 18 PSU and blue-carbon methodologies allow it to be excluded (</w:t>
      </w:r>
      <w:r>
        <w:rPr>
          <w:i/>
          <w:iCs/>
        </w:rPr>
        <w:t xml:space="preserve">refs; [CHECK: VM0033 salinity criterion]</w:t>
      </w:r>
      <w:r>
        <w:t xml:space="preserve">). That framework rests mainly on soil measurements. Methane also leaves wetlands through water surfaces, roots, stems and dead wood (</w:t>
      </w:r>
      <w:r>
        <w:rPr>
          <w:i/>
          <w:iCs/>
        </w:rPr>
        <w:t xml:space="preserve">refs</w:t>
      </w:r>
      <w:r>
        <w:t xml:space="preserve">), and methanogens that use substrates sulfate reducers do not compete for can persist in sulfate-rich and even hypersaline sediment (</w:t>
      </w:r>
      <w:r>
        <w:rPr>
          <w:i/>
          <w:iCs/>
        </w:rPr>
        <w:t xml:space="preserve">refs</w:t>
      </w:r>
      <w:r>
        <w:t xml:space="preserve">). Component-resolved methane budgets for intact mangroves are nearly absent, and none has been checked against an independent ecosystem-scale measurement.</w:t>
      </w:r>
    </w:p>
    <w:p>
      <w:pPr>
        <w:pStyle w:val="BodyText"/>
      </w:pPr>
      <w:r>
        <w:t xml:space="preserve">Mangroves are also increasingly killed. Intense tropical cyclones defoliate canopies, kill roots and pond water behind fallen wood, leaving standing</w:t>
      </w:r>
      <w:r>
        <w:t xml:space="preserve"> </w:t>
      </w:r>
      <w:r>
        <w:t xml:space="preserve">“ghost forests”</w:t>
      </w:r>
      <w:r>
        <w:t xml:space="preserve"> </w:t>
      </w:r>
      <w:r>
        <w:t xml:space="preserve">that can persist for years (</w:t>
      </w:r>
      <w:r>
        <w:rPr>
          <w:i/>
          <w:iCs/>
        </w:rPr>
        <w:t xml:space="preserve">refs</w:t>
      </w:r>
      <w:r>
        <w:t xml:space="preserve">). Loss of root oxygen transport, a pulse of dead biomass and persistent flooding should all favour methane, but how mortality changes each emission pathway, and whether it changes the net radiative balance, is unknown. The proportion of intense cyclones is rising (</w:t>
      </w:r>
      <w:r>
        <w:rPr>
          <w:i/>
          <w:iCs/>
        </w:rPr>
        <w:t xml:space="preserve">[CHECK: IPCC AR6 WGI Ch. 11]</w:t>
      </w:r>
      <w:r>
        <w:t xml:space="preserve">), so this is a question about a growing climate feedback.</w:t>
      </w:r>
    </w:p>
    <w:p>
      <w:pPr>
        <w:pStyle w:val="BodyText"/>
      </w:pPr>
      <w:r>
        <w:t xml:space="preserve">As part of NASA’s BlueFlux campaign, we measured methane and CO2 across a hurricane-disturbance gradient in the Florida coastal Everglades, where Hurricane Irma (September 2017) left extensive ghost forest (Fig. 1). We combined chambers on six surfaces (water, soil, prop roots, stems, downed wood and leaves) at intact, regenerating and ghost sites in wet- and dry-season campaigns, terrestrial laser scanning (TLS) of woody surface area, the US-Skr eddy-covariance tower and CARAFE airborne eddy covariance (Fig. 1c), and porewater chemistry with sediment metagenomes.</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2017 hurricane dieback (Taillie et al. 2020),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and more than 90% of stem, root and water fluxes were positive. Mortality raised per-area emission sharply: relative to intact forest, ghost-forest stems emitted ~40 times more methane, water surfaces ~18 times more, and soils twice as much, with the highest soil and water rates at the regenerating site (Fig. 2a).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stem CO2 showed no such gradient (Fig. 2e). The water-line peak was 13–28 times higher in disturbed than intact forest, and the classes converged by ~1 m. Once height and class were accounted for, species, season and whether a stem was alive or dead had little effect: dead stems kept venting methane.</w:t>
      </w:r>
    </w:p>
    <w:p>
      <w:pPr>
        <w:pStyle w:val="BodyText"/>
      </w:pPr>
      <w:r>
        <w:t xml:space="preserve">High per-area rates did not translate into large stand-level fluxes. TLS showed that intact forest carries ~5.0 m2 of surface per m2 of ground, of which prop roots, stems and branches are about a quarter, while ghost forest retains ~1.3 m2 m−2, mostly open water (Fig. 2c). Most woody surface lies far above the water line, where flux is lowest (Fig. 2f). Stems therefore contributed &lt;1% of stand methane in both intact and ghost forest, whereas the dense prop-root zone of intact Rhizophora forest contributed ~28% (Fig. 3a). This bears directly on a recent global estimate that mangrove stems emit ~730 Gg CH4 yr−1 (Qin et al. 2025):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This is far above the zero that Tier-1 factors assign at these salinities, so wetland methane budgets omit an intact saline-mangrove source. Ghost forest emitted 11.9 g CH4 m−2 yr−1, eight times more, ~87% of it through flooded water surfaces (Fig. 3a,d). Mortality thus moves emission from root-permeated, tidally drained sediment to permanently ponded water.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S_[ED7]_).</w:t>
      </w:r>
    </w:p>
    <w:p>
      <w:pPr>
        <w:pStyle w:val="BodyText"/>
      </w:pPr>
      <w:r>
        <w:t xml:space="preserve">Two independent measurements check these budgets. Airborne eddy covariance disaggregated to intact and ghost forest agreed with the chamber budgets within uncertainty in both seasons, ranking ghost above intact methane in the wet season (airborne 51 ± 27 vs 29 ± 16 nmol m−2 s−1; chambers 36 vs 4) and matching net CO2 exchange in sign and magnitude (Fig. 3c,e,f). Bottom-up intact CO2 uptake (−1,025 g C m−2 yr−1) matched the long-term tower estimate for the same forest (−1,170 ± 127; Fig. 3d). The methods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(Barr et al. 2010).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(Supplementary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held seawater-level sulfate (~30 mM) alongside the highest dissolved methane, and alkalinity of 11–33 mM showed that sulfate reduction remained active everywhere (Fig. 4c). Methane therefore accumulated alongside sulfate reduction, not after it.</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4d–f.]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net CO2 uptake (−3,755 g CO2 m−2 yr−1) dwarfed methane (+121 g CO2-eq at GWP20), which offset 3% of it (Fig. 5a). Ghost forest was a net source (+2,775 g CO2-eq m−2 yr−1 at GWP20; +2,141 at GWP100). Losing the canopy turned its CO2 balance positive, and methane supplied 35% of its warming at GWP20 (16% at GWP100; 42% with GWP*). Mortality therefore switched the radiative balance by ~6,400 g CO2-eq m−2 yr−1 at GWP20 (~5,800 at GWP100), and Monte Carlo intervals for the two states did not overlap (intact −5,233 to −1,939; ghost +1,922 to +3,978). Accounting for lateral carbon export to tidal waters shrinks the intact sink but leaves a switch of ~5,500 (fig. S_[ED9]_), and across all analytical choices we tested the switch stayed between ~5,600 and ~8,000 (Supplementary Table S10).</w:t>
      </w:r>
    </w:p>
    <w:p>
      <w:pPr>
        <w:pStyle w:val="BodyText"/>
      </w:pPr>
      <w:r>
        <w:t xml:space="preserve">Scaled across the Caribbean, the switch is large. In a Landsat map of 2017 hurricane damage (Taillie et al. 2020), 173 km2 of mangrove showed little recovery, 95% of it after Irma, mainly in northern Cuba and south Florida (Fig. 5c). At the measured per-area switch, this loss adds ~1.1 Tg CO2-eq yr−1 at GWP20 (0.7–1.6), including 1.8 Gg CH4 yr−1 of induced methane (Fig. 5b). Our ghost sites showed no canopy recovery five to six years after landfall, so this forcing recurs each year until stands recover. The estimate is conservative: the map captures only 60 of the 108 km2 of post-Irma Florida dieback (Lagomasino et al. 2021), and it omits peat collapse and ghost-forest lateral losses.</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511175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Mortality also changes where methane escapes: from sediment and roots to ponded water. Rates are setting-dependent, though: a ghost site in the Ten Thousand Islands emitted an order of magnitude less than the Everglades ghost sites (Supplementary Text S.T8), and the regenerating stand emitted as much as ghost forest, so recovery of the canopy does not promptly restore low methane.</w:t>
      </w:r>
    </w:p>
    <w:p>
      <w:pPr>
        <w:pStyle w:val="BodyText"/>
      </w:pPr>
      <w:r>
        <w:t xml:space="preserve">Hurricane mortality is therefore a positive climate feedback missing from blue-carbon accounting. The area we scaled reflects essentially one storm, and the proportion of intense cyclones is projected to rise. Because recovery restores the sink, the feedback strengthens the case for conserving intact mangrove and restoring damaged stands, including restoring tidal exchange where ponding persists (</w:t>
      </w:r>
      <w:r>
        <w:rPr>
          <w:i/>
          <w:iCs/>
        </w:rPr>
        <w:t xml:space="preserve">[CHECK: Lewis 2005]</w:t>
      </w:r>
      <w:r>
        <w:t xml:space="preserve">). Blue-carbon crediting should carry both an accurate methane baseline and a permanence-risk term for disturbance, and the methane benefit of restoration should be measured rather than assumed.</w:t>
      </w:r>
    </w:p>
    <w:p>
      <w:pPr>
        <w:pStyle w:val="BodyText"/>
      </w:pPr>
      <w:r>
        <w:t xml:space="preserve">Our conclusions are bounded by a space-for-time gradient, two chamber campaigns, literature-based lateral export and burial, and a regenerating class without TLS or airborne closure (supplementary materials).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 text ≈ 1,750 words; ~1,250 words of headroom under the 3,000-word limit]</w:t>
      </w:r>
    </w:p>
    <w:p>
      <w:r>
        <w:pict>
          <v:rect style="width:0;height:1.5pt" o:hralign="center" o:hrstd="t" o:hr="t"/>
        </w:pict>
      </w:r>
    </w:p>
    <w:p>
      <w:r>
        <w:pict>
          <v:rect style="width:0;height:1.5pt" o:hralign="center" o:hrstd="t" o:hr="t"/>
        </w:pict>
      </w:r>
    </w:p>
    <w:bookmarkEnd w:id="29"/>
    <w:bookmarkEnd w:id="30"/>
    <w:bookmarkStart w:id="31" w:name="supplementary-materials-to-assemble"/>
    <w:p>
      <w:pPr>
        <w:pStyle w:val="Heading2"/>
      </w:pPr>
      <w:r>
        <w:t xml:space="preserve">Supplementary materials (to assemble)</w:t>
      </w:r>
    </w:p>
    <w:p>
      <w:pPr>
        <w:pStyle w:val="FirstParagraph"/>
      </w:pPr>
      <w:r>
        <w:t xml:space="preserve">Materials and Methods (from the NCC draft Methods and SI S.M1–S.M19); Supplementary Text S.T1–S.T11; figs. S1–S10 (currently ED1–ED10); Tables S1–S11; references.</w:t>
      </w:r>
    </w:p>
    <w:p>
      <w:pPr>
        <w:pStyle w:val="BodyText"/>
      </w:pPr>
      <w:r>
        <w:rPr>
          <w:i/>
          <w:iCs/>
        </w:rPr>
        <w:t xml:space="preserve">[CHECK flags carried over: VM0033 salinity criterion; IPCC AR6 WGI Ch. 11 cyclone projections; Lewis 2005; E. Delaria airborne uncertainty definition; inorganic-N dilution; D. Lagomasino on the 2017 layer definition.]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2026-10-03T09:35:44Z</dcterms:created>
  <dcterms:modified xsi:type="dcterms:W3CDTF">2026-10-03T09:35:44Z</dcterms:modified>
</cp:coreProperties>
</file>

<file path=docProps/custom.xml><?xml version="1.0" encoding="utf-8"?>
<Properties xmlns="http://schemas.openxmlformats.org/officeDocument/2006/custom-properties" xmlns:vt="http://schemas.openxmlformats.org/officeDocument/2006/docPropsVTypes"/>
</file>