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89.png" ContentType="image/png"/>
  <Override PartName="/word/media/rId47.png" ContentType="image/png"/>
  <Override PartName="/word/media/rId59.png" ContentType="image/png"/>
  <Override PartName="/word/media/rId62.png" ContentType="image/png"/>
  <Override PartName="/word/media/rId56.png" ContentType="image/png"/>
  <Override PartName="/word/media/rId65.png" ContentType="image/png"/>
  <Override PartName="/word/media/rId50.png" ContentType="image/png"/>
  <Override PartName="/word/media/rId86.png" ContentType="image/png"/>
  <Override PartName="/word/media/rId92.png" ContentType="image/png"/>
  <Override PartName="/word/media/rId95.png" ContentType="image/png"/>
  <Override PartName="/word/media/rId77.png" ContentType="image/png"/>
  <Override PartName="/word/media/rId83.png" ContentType="image/png"/>
  <Override PartName="/word/media/rId74.png" ContentType="image/png"/>
  <Override PartName="/word/media/rId80.png" ContentType="image/png"/>
  <Override PartName="/word/media/rId68.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S16),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(July–September) were not sampled.</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fig. S11 draws the campaign water levels against the woody surfaces of each scanned site.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S6,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stand CH4 in each tide state is shown in fig. S9 and the derivation of the flooded share in fig. S10.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S13). For net forcing, canopy leaf respiration (Rd25 and LAI) and tower GPP dominate the intact interval and the CH4 budget dominates the ghost interval. The intervals of the two states do not overlap: intact −5,214 to −1,918 and ghost +1,931 to +3,977 g CO2-eq m−2 yr−1 at GWP20 (−5,291 to −2,012 and +1,505 to +3,266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S15).</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Fig. S12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5A).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98"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chamber position (above the flooded forest floor, or in a channel or open water at the tidal sites; the ghost and regenerating sites have no channels); bars, arithmetic means. At the two tidal sites where both positions were sampled (SRS5, SRS6; March 2023), flux did not differ between them (Wilcoxon p = 0.29 and 1), so channel and open-water placements neither missed nor inflated water hotspots.</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6371166"/>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72" name="Picture"/>
            <a:graphic>
              <a:graphicData uri="http://schemas.openxmlformats.org/drawingml/2006/picture">
                <pic:pic>
                  <pic:nvPicPr>
                    <pic:cNvPr descr="output/figures/other/SA_by_segment_height_fixedY.png" id="73" name="Picture"/>
                    <pic:cNvPicPr>
                      <a:picLocks noChangeArrowheads="1" noChangeAspect="1"/>
                    </pic:cNvPicPr>
                  </pic:nvPicPr>
                  <pic:blipFill>
                    <a:blip r:embed="rId7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2963333"/>
            <wp:effectExtent b="0" l="0" r="0" t="0"/>
            <wp:docPr descr="" title="" id="75" name="Picture"/>
            <a:graphic>
              <a:graphicData uri="http://schemas.openxmlformats.org/drawingml/2006/picture">
                <pic:pic>
                  <pic:nvPicPr>
                    <pic:cNvPr descr="output/figures/other/si_tide_states.png" id="76" name="Picture"/>
                    <pic:cNvPicPr>
                      <a:picLocks noChangeArrowheads="1" noChangeAspect="1"/>
                    </pic:cNvPicPr>
                  </pic:nvPicPr>
                  <pic:blipFill>
                    <a:blip r:embed="rId74"/>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3704166"/>
            <wp:effectExtent b="0" l="0" r="0" t="0"/>
            <wp:docPr descr="" title="" id="78" name="Picture"/>
            <a:graphic>
              <a:graphicData uri="http://schemas.openxmlformats.org/drawingml/2006/picture">
                <pic:pic>
                  <pic:nvPicPr>
                    <pic:cNvPr descr="output/figures/other/si_flood_fraction.png" id="79" name="Picture"/>
                    <pic:cNvPicPr>
                      <a:picLocks noChangeArrowheads="1" noChangeAspect="1"/>
                    </pic:cNvPicPr>
                  </pic:nvPicPr>
                  <pic:blipFill>
                    <a:blip r:embed="rId77"/>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Flooded share of the intact forest floor at the tidal sites (M11; table S13). (a) Hourly water level (FCE LTER logger datum) at SRS5 and SRS6 in the campaign months; points, logger level at each chamber water-depth reading (filled, standing water; open, none); dashed line and band, fitted mean floor height ± 1 SD. (b) Floor height relative to the logger datum, fitted as a normal distribution by censored maximum likelihood from the depth readings (green; rug, readings with standing water), against the distribution of hourly water level in each campaign month; floor below the water is flooded. (c) Campaign-month flooded share: area-weighted mean of the hourly flooded share (central; bars, floor mean ± 1.96 SE), the all-or-nothing switch (whole floor flooded when the offset-corrected logger level is above zero) and the long-term area-weighted value (2010 onward, dashed).</w:t>
      </w:r>
    </w:p>
    <w:p>
      <w:pPr>
        <w:pStyle w:val="BodyText"/>
      </w:pPr>
      <w:r>
        <w:drawing>
          <wp:inline>
            <wp:extent cx="5334000" cy="4741333"/>
            <wp:effectExtent b="0" l="0" r="0" t="0"/>
            <wp:docPr descr="" title="" id="81" name="Picture"/>
            <a:graphic>
              <a:graphicData uri="http://schemas.openxmlformats.org/drawingml/2006/picture">
                <pic:pic>
                  <pic:nvPicPr>
                    <pic:cNvPr descr="output/figures/other/si_waterline.png" id="82" name="Picture"/>
                    <pic:cNvPicPr>
                      <a:picLocks noChangeArrowheads="1" noChangeAspect="1"/>
                    </pic:cNvPicPr>
                  </pic:nvPicPr>
                  <pic:blipFill>
                    <a:blip r:embed="rId80"/>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Water level against the woody surfaces at the four laser-scanned sites (M10, M11; vertical axis to scale, cm above the plot’s mean floor; horizontal positions, prop-root reach and pneumatophores illustrative). Lines, water level by campaign (dark, wet season, October 2022; light, dry season, March 2023): at the tidal intact sites (a, b), mean high (dashed) and low (solid) water of the campaign month from the FCE LTER loggers; at the ghost sites (c, d), mean recorded depth. Floor relief follows the fitted floor-height distribution (tidal sites) or the recorded depths (ghost sites); stems stand on the mean floor (tidal) or at the mean floor height of the stem chambers (ghost); stem and prop-root diameters, root heights and stem number per 7 m are from TLS; downed wood has the median measured diameter and lies on the mean floor. Subtitles give the share of each surface above water used in the budgets (mean of the two campaigns; lowest 0.5 m of stem), the flooded share of the floor, and the median annual maximum water level (2001–2024). Hourly extremes (99th and 1st percentiles) in the campaign months were +20 and −2 cm (October) and +12 and −28 cm (March) at SRS5, and +43 and −3 cm and +33 and −26 cm at SRS6.</w:t>
      </w:r>
    </w:p>
    <w:p>
      <w:pPr>
        <w:pStyle w:val="BodyText"/>
      </w:pPr>
      <w:r>
        <w:drawing>
          <wp:inline>
            <wp:extent cx="5334000" cy="4593166"/>
            <wp:effectExtent b="0" l="0" r="0" t="0"/>
            <wp:docPr descr="" title="" id="84" name="Picture"/>
            <a:graphic>
              <a:graphicData uri="http://schemas.openxmlformats.org/drawingml/2006/picture">
                <pic:pic>
                  <pic:nvPicPr>
                    <pic:cNvPr descr="output/figures/other/si_sensitivity_switch.png" id="85" name="Picture"/>
                    <pic:cNvPicPr>
                      <a:picLocks noChangeArrowheads="1" noChangeAspect="1"/>
                    </pic:cNvPicPr>
                  </pic:nvPicPr>
                  <pic:blipFill>
                    <a:blip r:embed="rId83"/>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Sensitivity of the intact-to-ghost switch (GWP20) to analytical choices, one at a time (text S9; table S10). Vertical line, central case (6,411 g CO2-eq m−2 yr−1); points left of it lower the switch, right of it raise it. Analytical choices keep the switch between ~5,600 and ~8,000 (GWP100: ~5,100–7,300); only carbon-balance framings that count lateral export or storage alone lower it further.</w:t>
      </w:r>
    </w:p>
    <w:p>
      <w:pPr>
        <w:pStyle w:val="BodyText"/>
      </w:pPr>
      <w:r>
        <w:drawing>
          <wp:inline>
            <wp:extent cx="5334000" cy="2667000"/>
            <wp:effectExtent b="0" l="0" r="0" t="0"/>
            <wp:docPr descr="" title="" id="87" name="Picture"/>
            <a:graphic>
              <a:graphicData uri="http://schemas.openxmlformats.org/drawingml/2006/picture">
                <pic:pic>
                  <pic:nvPicPr>
                    <pic:cNvPr descr="output/figures/other/si_S10_mc_uncertainty.png" id="88"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S4); inverse-hyperbolic-sine axis; components that are always zero omitted.</w:t>
      </w:r>
    </w:p>
    <w:p>
      <w:pPr>
        <w:pStyle w:val="BodyText"/>
      </w:pPr>
      <w:r>
        <w:drawing>
          <wp:inline>
            <wp:extent cx="5334000" cy="5482166"/>
            <wp:effectExtent b="0" l="0" r="0" t="0"/>
            <wp:docPr descr="" title="" id="90" name="Picture"/>
            <a:graphic>
              <a:graphicData uri="http://schemas.openxmlformats.org/drawingml/2006/picture">
                <pic:pic>
                  <pic:nvPicPr>
                    <pic:cNvPr descr="output/figures/other/ed_porewater_rounds.png" id="91" name="Picture"/>
                    <pic:cNvPicPr>
                      <a:picLocks noChangeArrowheads="1" noChangeAspect="1"/>
                    </pic:cNvPicPr>
                  </pic:nvPicPr>
                  <pic:blipFill>
                    <a:blip r:embed="rId89"/>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Porewater by site, sampling round (October 2022, March 2023, October 2025) and depth: (a) dissolved CH4 and (b) salinity (site × round × depth means; porewater only); (c) salinity against dissolved CH4 by site (including surface water; shape, round; log(1 + x) axis). Site names coloured by forest class. No porewater CH4 was analysed for SRS5 and SRS6 in March 2023.</w:t>
      </w:r>
    </w:p>
    <w:p>
      <w:pPr>
        <w:pStyle w:val="BodyText"/>
      </w:pPr>
      <w:r>
        <w:drawing>
          <wp:inline>
            <wp:extent cx="5334000" cy="2222500"/>
            <wp:effectExtent b="0" l="0" r="0" t="0"/>
            <wp:docPr descr="" title="" id="93" name="Picture"/>
            <a:graphic>
              <a:graphicData uri="http://schemas.openxmlformats.org/drawingml/2006/picture">
                <pic:pic>
                  <pic:nvPicPr>
                    <pic:cNvPr descr="output/figures/other/si_S12_carbonate.png" id="94" name="Picture"/>
                    <pic:cNvPicPr>
                      <a:picLocks noChangeArrowheads="1" noChangeAspect="1"/>
                    </pic:cNvPicPr>
                  </pic:nvPicPr>
                  <pic:blipFill>
                    <a:blip r:embed="rId92"/>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Porewater alkalinity against conservative mixing (October 2025; 0–90 cm, surface water excluded; text S7). (a) Total alkalinity against salinity, with the mixing line (dashed; end-members salinity 0, 3,000 µM and salinity 35, 2,400 µM). (b) Measured against mixing-predicted alkalinity; dashed, 1:1. (c) Measured ÷ mixing-predicted alkalinity by site. Fill, forest class; shape, site. FLM30 was not sampled for alkalinity.</w:t>
      </w:r>
    </w:p>
    <w:p>
      <w:pPr>
        <w:pStyle w:val="BodyText"/>
      </w:pPr>
      <w:r>
        <w:drawing>
          <wp:inline>
            <wp:extent cx="5334000" cy="1926166"/>
            <wp:effectExtent b="0" l="0" r="0" t="0"/>
            <wp:docPr descr="" title="" id="96" name="Picture"/>
            <a:graphic>
              <a:graphicData uri="http://schemas.openxmlformats.org/drawingml/2006/picture">
                <pic:pic>
                  <pic:nvPicPr>
                    <pic:cNvPr descr="output/figures/other/si_campaign_context.png" id="97" name="Picture"/>
                    <pic:cNvPicPr>
                      <a:picLocks noChangeArrowheads="1" noChangeAspect="1"/>
                    </pic:cNvPicPr>
                  </pic:nvPicPr>
                  <pic:blipFill>
                    <a:blip r:embed="rId95"/>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98"/>
    <w:bookmarkStart w:id="99" w:name="supplementary-tables"/>
    <w:p>
      <w:pPr>
        <w:pStyle w:val="Heading1"/>
      </w:pPr>
      <w:r>
        <w:t xml:space="preserve">Supplementary Tables</w:t>
      </w:r>
    </w:p>
    <w:p>
      <w:pPr>
        <w:pStyle w:val="FirstParagraph"/>
      </w:pPr>
      <w:r>
        <w:rPr>
          <w:b/>
          <w:bCs/>
        </w:rPr>
        <w:t xml:space="preserve">Table S1. Study sites.</w:t>
      </w:r>
      <w:r>
        <w:t xml:space="preserve"> </w:t>
      </w:r>
      <w:r>
        <w:t xml:space="preserve">Core sites (SRS5–FLM30) and context sites (RB10, SE1, MI). Campaigns: month and year (number of chamber closures). Stand structure from terrestrial laser scanning of the four scanned plots (M10); DBH and height include standing dead trunks at the ghost sites; woody surface per m² of ground. FCE LTER: trees &gt; 2.5 cm DBH in two 20 × 20 m plots, 2023 survey (data S2). Water level: at the tidal sites, mean high / low water of the campaign month above the plot’s mean floor (FCE LTER loggers; M11), with the flooded share of the floor in hours; elsewhere, mean (maximum) water depth recorded at chamber positions. Porewater salinity: mean of the porewater samples (M16).</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pPr>
            <w:r>
              <w:t xml:space="preserve">SRS5</w:t>
            </w:r>
          </w:p>
        </w:tc>
        <w:tc>
          <w:tcPr/>
          <w:p>
            <w:pPr>
              <w:pStyle w:val="Compact"/>
            </w:pPr>
            <w:r>
              <w:t xml:space="preserve">SRS6</w:t>
            </w:r>
          </w:p>
        </w:tc>
        <w:tc>
          <w:tcPr/>
          <w:p>
            <w:pPr>
              <w:pStyle w:val="Compact"/>
            </w:pPr>
            <w:r>
              <w:t xml:space="preserve">BL60</w:t>
            </w:r>
          </w:p>
        </w:tc>
        <w:tc>
          <w:tcPr/>
          <w:p>
            <w:pPr>
              <w:pStyle w:val="Compact"/>
            </w:pPr>
            <w:r>
              <w:t xml:space="preserve">CP40</w:t>
            </w:r>
          </w:p>
        </w:tc>
        <w:tc>
          <w:tcPr/>
          <w:p>
            <w:pPr>
              <w:pStyle w:val="Compact"/>
            </w:pPr>
            <w:r>
              <w:t xml:space="preserve">FLM30</w:t>
            </w:r>
          </w:p>
        </w:tc>
        <w:tc>
          <w:tcPr/>
          <w:p>
            <w:pPr>
              <w:pStyle w:val="Compact"/>
            </w:pPr>
            <w:r>
              <w:t xml:space="preserve">RB10</w:t>
            </w:r>
          </w:p>
        </w:tc>
        <w:tc>
          <w:tcPr/>
          <w:p>
            <w:pPr>
              <w:pStyle w:val="Compact"/>
            </w:pPr>
            <w:r>
              <w:t xml:space="preserve">SE1</w:t>
            </w:r>
          </w:p>
        </w:tc>
        <w:tc>
          <w:tcPr/>
          <w:p>
            <w:pPr>
              <w:pStyle w:val="Compact"/>
            </w:pPr>
            <w:r>
              <w:t xml:space="preserve">MI</w:t>
            </w:r>
          </w:p>
        </w:tc>
      </w:tr>
      <w:tr>
        <w:tc>
          <w:tcPr/>
          <w:p>
            <w:pPr>
              <w:pStyle w:val="Compact"/>
            </w:pPr>
            <w:r>
              <w:t xml:space="preserve">Name</w:t>
            </w:r>
          </w:p>
        </w:tc>
        <w:tc>
          <w:tcPr/>
          <w:p>
            <w:pPr>
              <w:pStyle w:val="Compact"/>
            </w:pPr>
            <w:r>
              <w:t xml:space="preserve">Gunboat Island / SRS5</w:t>
            </w:r>
          </w:p>
        </w:tc>
        <w:tc>
          <w:tcPr/>
          <w:p>
            <w:pPr>
              <w:pStyle w:val="Compact"/>
            </w:pPr>
            <w:r>
              <w:t xml:space="preserve">Lower Shark / SRS6</w:t>
            </w:r>
          </w:p>
        </w:tc>
        <w:tc>
          <w:tcPr/>
          <w:p>
            <w:pPr>
              <w:pStyle w:val="Compact"/>
            </w:pPr>
            <w:r>
              <w:t xml:space="preserve">Bear Lake</w:t>
            </w:r>
          </w:p>
        </w:tc>
        <w:tc>
          <w:tcPr/>
          <w:p>
            <w:pPr>
              <w:pStyle w:val="Compact"/>
            </w:pPr>
            <w:r>
              <w:t xml:space="preserve">Christian Point</w:t>
            </w:r>
          </w:p>
        </w:tc>
        <w:tc>
          <w:tcPr/>
          <w:p>
            <w:pPr>
              <w:pStyle w:val="Compact"/>
            </w:pPr>
            <w:r>
              <w:t xml:space="preserve">Flamingo</w:t>
            </w:r>
          </w:p>
        </w:tc>
        <w:tc>
          <w:tcPr/>
          <w:p>
            <w:pPr>
              <w:pStyle w:val="Compact"/>
            </w:pPr>
            <w:r>
              <w:t xml:space="preserve">Rookery Bay</w:t>
            </w:r>
          </w:p>
        </w:tc>
        <w:tc>
          <w:tcPr/>
          <w:p>
            <w:pPr>
              <w:pStyle w:val="Compact"/>
            </w:pPr>
            <w:r>
              <w:t xml:space="preserve">SE-1 / US-EvM</w:t>
            </w:r>
          </w:p>
        </w:tc>
        <w:tc>
          <w:tcPr/>
          <w:p>
            <w:pPr>
              <w:pStyle w:val="Compact"/>
            </w:pPr>
            <w:r>
              <w:t xml:space="preserve">Marco Island</w:t>
            </w:r>
          </w:p>
        </w:tc>
      </w:tr>
      <w:tr>
        <w:tc>
          <w:tcPr/>
          <w:p>
            <w:pPr>
              <w:pStyle w:val="Compact"/>
            </w:pPr>
            <w:r>
              <w:t xml:space="preserve">Class</w:t>
            </w:r>
          </w:p>
        </w:tc>
        <w:tc>
          <w:tcPr/>
          <w:p>
            <w:pPr>
              <w:pStyle w:val="Compact"/>
            </w:pPr>
            <w:r>
              <w:t xml:space="preserve">intact</w:t>
            </w:r>
          </w:p>
        </w:tc>
        <w:tc>
          <w:tcPr/>
          <w:p>
            <w:pPr>
              <w:pStyle w:val="Compact"/>
            </w:pPr>
            <w:r>
              <w:t xml:space="preserve">intact</w:t>
            </w:r>
          </w:p>
        </w:tc>
        <w:tc>
          <w:tcPr/>
          <w:p>
            <w:pPr>
              <w:pStyle w:val="Compact"/>
            </w:pPr>
            <w:r>
              <w:t xml:space="preserve">regenerating</w:t>
            </w:r>
          </w:p>
        </w:tc>
        <w:tc>
          <w:tcPr/>
          <w:p>
            <w:pPr>
              <w:pStyle w:val="Compact"/>
            </w:pPr>
            <w:r>
              <w:t xml:space="preserve">ghost</w:t>
            </w:r>
          </w:p>
        </w:tc>
        <w:tc>
          <w:tcPr/>
          <w:p>
            <w:pPr>
              <w:pStyle w:val="Compact"/>
            </w:pPr>
            <w:r>
              <w:t xml:space="preserve">ghost</w:t>
            </w:r>
          </w:p>
        </w:tc>
        <w:tc>
          <w:tcPr/>
          <w:p>
            <w:pPr>
              <w:pStyle w:val="Compact"/>
            </w:pPr>
            <w:r>
              <w:t xml:space="preserve">intact (context)</w:t>
            </w:r>
          </w:p>
        </w:tc>
        <w:tc>
          <w:tcPr/>
          <w:p>
            <w:pPr>
              <w:pStyle w:val="Compact"/>
            </w:pPr>
            <w:r>
              <w:t xml:space="preserve">scrub (context)</w:t>
            </w:r>
          </w:p>
        </w:tc>
        <w:tc>
          <w:tcPr/>
          <w:p>
            <w:pPr>
              <w:pStyle w:val="Compact"/>
            </w:pPr>
            <w:r>
              <w:t xml:space="preserve">ghost (context)</w:t>
            </w:r>
          </w:p>
        </w:tc>
      </w:tr>
      <w:tr>
        <w:tc>
          <w:tcPr/>
          <w:p>
            <w:pPr>
              <w:pStyle w:val="Compact"/>
            </w:pPr>
            <w:r>
              <w:t xml:space="preserve">Latitude, longitude</w:t>
            </w:r>
          </w:p>
        </w:tc>
        <w:tc>
          <w:tcPr/>
          <w:p>
            <w:pPr>
              <w:pStyle w:val="Compact"/>
            </w:pPr>
            <w:r>
              <w:t xml:space="preserve">25.3770, -81.0323</w:t>
            </w:r>
          </w:p>
        </w:tc>
        <w:tc>
          <w:tcPr/>
          <w:p>
            <w:pPr>
              <w:pStyle w:val="Compact"/>
            </w:pPr>
            <w:r>
              <w:t xml:space="preserve">25.3646, -81.0779</w:t>
            </w:r>
          </w:p>
        </w:tc>
        <w:tc>
          <w:tcPr/>
          <w:p>
            <w:pPr>
              <w:pStyle w:val="Compact"/>
            </w:pPr>
            <w:r>
              <w:t xml:space="preserve">25.1578, -80.9232</w:t>
            </w:r>
          </w:p>
        </w:tc>
        <w:tc>
          <w:tcPr/>
          <w:p>
            <w:pPr>
              <w:pStyle w:val="Compact"/>
            </w:pPr>
            <w:r>
              <w:t xml:space="preserve">25.1493, -80.9110</w:t>
            </w:r>
          </w:p>
        </w:tc>
        <w:tc>
          <w:tcPr/>
          <w:p>
            <w:pPr>
              <w:pStyle w:val="Compact"/>
            </w:pPr>
            <w:r>
              <w:t xml:space="preserve">25.1599, -80.9120</w:t>
            </w:r>
          </w:p>
        </w:tc>
        <w:tc>
          <w:tcPr/>
          <w:p>
            <w:pPr>
              <w:pStyle w:val="Compact"/>
            </w:pPr>
            <w:r>
              <w:t xml:space="preserve">25.8629, -81.5612</w:t>
            </w:r>
          </w:p>
        </w:tc>
        <w:tc>
          <w:tcPr/>
          <w:p>
            <w:pPr>
              <w:pStyle w:val="Compact"/>
            </w:pPr>
            <w:r>
              <w:t xml:space="preserve">25.3531, -80.3807</w:t>
            </w:r>
          </w:p>
        </w:tc>
        <w:tc>
          <w:tcPr/>
          <w:p>
            <w:pPr>
              <w:pStyle w:val="Compact"/>
            </w:pPr>
            <w:r>
              <w:t xml:space="preserve">25.9303, -81.6725</w:t>
            </w:r>
          </w:p>
        </w:tc>
      </w:tr>
      <w:tr>
        <w:tc>
          <w:tcPr/>
          <w:p>
            <w:pPr>
              <w:pStyle w:val="Compact"/>
            </w:pPr>
            <w:r>
              <w:t xml:space="preserve">Dominant species</w:t>
            </w:r>
          </w:p>
        </w:tc>
        <w:tc>
          <w:tcPr/>
          <w:p>
            <w:pPr>
              <w:pStyle w:val="Compact"/>
            </w:pPr>
            <w:r>
              <w:rPr>
                <w:i/>
                <w:iCs/>
              </w:rPr>
              <w:t xml:space="preserve">Rhizophora mangle</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c>
          <w:tcPr/>
          <w:p>
            <w:pPr>
              <w:pStyle w:val="Compact"/>
            </w:pPr>
            <w:r>
              <w:rPr>
                <w:i/>
                <w:iCs/>
              </w:rPr>
              <w:t xml:space="preserve">Avicennia germinans</w:t>
            </w:r>
            <w:r>
              <w:t xml:space="preserve">,</w:t>
            </w:r>
            <w:r>
              <w:t xml:space="preserve"> </w:t>
            </w:r>
            <w:r>
              <w:rPr>
                <w:i/>
                <w:iCs/>
              </w:rPr>
              <w:t xml:space="preserve">Conocarpus erectus</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r>
      <w:tr>
        <w:tc>
          <w:tcPr/>
          <w:p>
            <w:pPr>
              <w:pStyle w:val="Compact"/>
            </w:pPr>
            <w:r>
              <w:t xml:space="preserve">Campaigns (closures)</w:t>
            </w:r>
          </w:p>
        </w:tc>
        <w:tc>
          <w:tcPr/>
          <w:p>
            <w:pPr>
              <w:pStyle w:val="Compact"/>
            </w:pPr>
            <w:r>
              <w:t xml:space="preserve">Oct 22 (64); Mar 23 (89)</w:t>
            </w:r>
          </w:p>
        </w:tc>
        <w:tc>
          <w:tcPr/>
          <w:p>
            <w:pPr>
              <w:pStyle w:val="Compact"/>
            </w:pPr>
            <w:r>
              <w:t xml:space="preserve">Mar 22 (15); Oct 22 (66); Mar 23 (65)</w:t>
            </w:r>
          </w:p>
        </w:tc>
        <w:tc>
          <w:tcPr/>
          <w:p>
            <w:pPr>
              <w:pStyle w:val="Compact"/>
            </w:pPr>
            <w:r>
              <w:t xml:space="preserve">Mar 22 (27); Oct 22 (44); Mar 23 (68)</w:t>
            </w:r>
          </w:p>
        </w:tc>
        <w:tc>
          <w:tcPr/>
          <w:p>
            <w:pPr>
              <w:pStyle w:val="Compact"/>
            </w:pPr>
            <w:r>
              <w:t xml:space="preserve">Oct 22 (57); Mar 23 (48)</w:t>
            </w:r>
          </w:p>
        </w:tc>
        <w:tc>
          <w:tcPr/>
          <w:p>
            <w:pPr>
              <w:pStyle w:val="Compact"/>
            </w:pPr>
            <w:r>
              <w:t xml:space="preserve">Mar 22 (43); Oct 22 (49); Mar 23 (61)</w:t>
            </w:r>
          </w:p>
        </w:tc>
        <w:tc>
          <w:tcPr/>
          <w:p>
            <w:pPr>
              <w:pStyle w:val="Compact"/>
            </w:pPr>
            <w:r>
              <w:t xml:space="preserve">Mar 22 (10)</w:t>
            </w:r>
          </w:p>
        </w:tc>
        <w:tc>
          <w:tcPr/>
          <w:p>
            <w:pPr>
              <w:pStyle w:val="Compact"/>
            </w:pPr>
            <w:r>
              <w:t xml:space="preserve">Mar 23 (17)</w:t>
            </w:r>
          </w:p>
        </w:tc>
        <w:tc>
          <w:tcPr/>
          <w:p>
            <w:pPr>
              <w:pStyle w:val="Compact"/>
            </w:pPr>
            <w:r>
              <w:t xml:space="preserve">Mar 22 (10); Mar 23 (20)</w:t>
            </w:r>
          </w:p>
        </w:tc>
      </w:tr>
      <w:tr>
        <w:tc>
          <w:tcPr/>
          <w:p>
            <w:pPr>
              <w:pStyle w:val="Compact"/>
            </w:pPr>
            <w:r>
              <w:t xml:space="preserve">Stem density (ha⁻¹)</w:t>
            </w:r>
          </w:p>
        </w:tc>
        <w:tc>
          <w:tcPr/>
          <w:p>
            <w:pPr>
              <w:pStyle w:val="Compact"/>
            </w:pPr>
            <w:r>
              <w:t xml:space="preserve">3,203</w:t>
            </w:r>
          </w:p>
        </w:tc>
        <w:tc>
          <w:tcPr/>
          <w:p>
            <w:pPr>
              <w:pStyle w:val="Compact"/>
            </w:pPr>
            <w:r>
              <w:t xml:space="preserve">1,694</w:t>
            </w:r>
          </w:p>
        </w:tc>
        <w:tc>
          <w:tcPr/>
          <w:p>
            <w:pPr>
              <w:pStyle w:val="Compact"/>
            </w:pPr>
            <w:r>
              <w:t xml:space="preserve">–</w:t>
            </w:r>
          </w:p>
        </w:tc>
        <w:tc>
          <w:tcPr/>
          <w:p>
            <w:pPr>
              <w:pStyle w:val="Compact"/>
            </w:pPr>
            <w:r>
              <w:t xml:space="preserve">552</w:t>
            </w:r>
          </w:p>
        </w:tc>
        <w:tc>
          <w:tcPr/>
          <w:p>
            <w:pPr>
              <w:pStyle w:val="Compact"/>
            </w:pPr>
            <w:r>
              <w:t xml:space="preserve">752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(m² ha⁻¹)</w:t>
            </w:r>
          </w:p>
        </w:tc>
        <w:tc>
          <w:tcPr/>
          <w:p>
            <w:pPr>
              <w:pStyle w:val="Compact"/>
            </w:pPr>
            <w:r>
              <w:t xml:space="preserve">24.5</w:t>
            </w:r>
          </w:p>
        </w:tc>
        <w:tc>
          <w:tcPr/>
          <w:p>
            <w:pPr>
              <w:pStyle w:val="Compact"/>
            </w:pPr>
            <w:r>
              <w:t xml:space="preserve">19.1</w:t>
            </w:r>
          </w:p>
        </w:tc>
        <w:tc>
          <w:tcPr/>
          <w:p>
            <w:pPr>
              <w:pStyle w:val="Compact"/>
            </w:pPr>
            <w:r>
              <w:t xml:space="preserve">–</w:t>
            </w:r>
          </w:p>
        </w:tc>
        <w:tc>
          <w:tcPr/>
          <w:p>
            <w:pPr>
              <w:pStyle w:val="Compact"/>
            </w:pPr>
            <w:r>
              <w:t xml:space="preserve">6.5</w:t>
            </w:r>
          </w:p>
        </w:tc>
        <w:tc>
          <w:tcPr/>
          <w:p>
            <w:pPr>
              <w:pStyle w:val="Compact"/>
            </w:pPr>
            <w:r>
              <w:t xml:space="preserve">5.6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Tree height, mean / 95th pct. (m)</w:t>
            </w:r>
          </w:p>
        </w:tc>
        <w:tc>
          <w:tcPr/>
          <w:p>
            <w:pPr>
              <w:pStyle w:val="Compact"/>
            </w:pPr>
            <w:r>
              <w:t xml:space="preserve">7.6 / 14.7</w:t>
            </w:r>
          </w:p>
        </w:tc>
        <w:tc>
          <w:tcPr/>
          <w:p>
            <w:pPr>
              <w:pStyle w:val="Compact"/>
            </w:pPr>
            <w:r>
              <w:t xml:space="preserve">8.6 / 19.2</w:t>
            </w:r>
          </w:p>
        </w:tc>
        <w:tc>
          <w:tcPr/>
          <w:p>
            <w:pPr>
              <w:pStyle w:val="Compact"/>
            </w:pPr>
            <w:r>
              <w:t xml:space="preserve">–</w:t>
            </w:r>
          </w:p>
        </w:tc>
        <w:tc>
          <w:tcPr/>
          <w:p>
            <w:pPr>
              <w:pStyle w:val="Compact"/>
            </w:pPr>
            <w:r>
              <w:t xml:space="preserve">6.1 / 11.8</w:t>
            </w:r>
          </w:p>
        </w:tc>
        <w:tc>
          <w:tcPr/>
          <w:p>
            <w:pPr>
              <w:pStyle w:val="Compact"/>
            </w:pPr>
            <w:r>
              <w:t xml:space="preserve">5.6 / 9.4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Mean DBH (cm)</w:t>
            </w:r>
          </w:p>
        </w:tc>
        <w:tc>
          <w:tcPr/>
          <w:p>
            <w:pPr>
              <w:pStyle w:val="Compact"/>
            </w:pPr>
            <w:r>
              <w:t xml:space="preserve">8.9</w:t>
            </w:r>
          </w:p>
        </w:tc>
        <w:tc>
          <w:tcPr/>
          <w:p>
            <w:pPr>
              <w:pStyle w:val="Compact"/>
            </w:pPr>
            <w:r>
              <w:t xml:space="preserve">10.6</w:t>
            </w:r>
          </w:p>
        </w:tc>
        <w:tc>
          <w:tcPr/>
          <w:p>
            <w:pPr>
              <w:pStyle w:val="Compact"/>
            </w:pPr>
            <w:r>
              <w:t xml:space="preserve">–</w:t>
            </w:r>
          </w:p>
        </w:tc>
        <w:tc>
          <w:tcPr/>
          <w:p>
            <w:pPr>
              <w:pStyle w:val="Compact"/>
            </w:pPr>
            <w:r>
              <w:t xml:space="preserve">10.8</w:t>
            </w:r>
          </w:p>
        </w:tc>
        <w:tc>
          <w:tcPr/>
          <w:p>
            <w:pPr>
              <w:pStyle w:val="Compact"/>
            </w:pPr>
            <w:r>
              <w:t xml:space="preserve">9.0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Woody surface, stem / root (m² m⁻²)</w:t>
            </w:r>
          </w:p>
        </w:tc>
        <w:tc>
          <w:tcPr/>
          <w:p>
            <w:pPr>
              <w:pStyle w:val="Compact"/>
            </w:pPr>
            <w:r>
              <w:t xml:space="preserve">0.98 / 0.24</w:t>
            </w:r>
          </w:p>
        </w:tc>
        <w:tc>
          <w:tcPr/>
          <w:p>
            <w:pPr>
              <w:pStyle w:val="Compact"/>
            </w:pPr>
            <w:r>
              <w:t xml:space="preserve">0.86 / 0.19</w:t>
            </w:r>
          </w:p>
        </w:tc>
        <w:tc>
          <w:tcPr/>
          <w:p>
            <w:pPr>
              <w:pStyle w:val="Compact"/>
            </w:pPr>
            <w:r>
              <w:t xml:space="preserve">–</w:t>
            </w:r>
          </w:p>
        </w:tc>
        <w:tc>
          <w:tcPr/>
          <w:p>
            <w:pPr>
              <w:pStyle w:val="Compact"/>
            </w:pPr>
            <w:r>
              <w:t xml:space="preserve">0.22 / 0.03</w:t>
            </w:r>
          </w:p>
        </w:tc>
        <w:tc>
          <w:tcPr/>
          <w:p>
            <w:pPr>
              <w:pStyle w:val="Compact"/>
            </w:pPr>
            <w:r>
              <w:t xml:space="preserve">0.17 / 0.02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Stem density / basal area, FCE LTER 2023 (ha⁻¹ / m² ha⁻¹)</w:t>
            </w:r>
          </w:p>
        </w:tc>
        <w:tc>
          <w:tcPr/>
          <w:p>
            <w:pPr>
              <w:pStyle w:val="Compact"/>
            </w:pPr>
            <w:r>
              <w:t xml:space="preserve">2,525 / 25.0</w:t>
            </w:r>
          </w:p>
        </w:tc>
        <w:tc>
          <w:tcPr/>
          <w:p>
            <w:pPr>
              <w:pStyle w:val="Compact"/>
            </w:pPr>
            <w:r>
              <w:t xml:space="preserve">1,712 / 21.0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by species, FCE LTER 2023 (%)</w:t>
            </w:r>
          </w:p>
        </w:tc>
        <w:tc>
          <w:tcPr/>
          <w:p>
            <w:pPr>
              <w:pStyle w:val="Compact"/>
            </w:pPr>
            <w:r>
              <w:rPr>
                <w:i/>
                <w:iCs/>
              </w:rPr>
              <w:t xml:space="preserve">R. mangle</w:t>
            </w:r>
            <w:r>
              <w:t xml:space="preserve"> </w:t>
            </w:r>
            <w:r>
              <w:t xml:space="preserve">75,</w:t>
            </w:r>
            <w:r>
              <w:t xml:space="preserve"> </w:t>
            </w:r>
            <w:r>
              <w:rPr>
                <w:i/>
                <w:iCs/>
              </w:rPr>
              <w:t xml:space="preserve">L. racemosa</w:t>
            </w:r>
            <w:r>
              <w:t xml:space="preserve"> </w:t>
            </w:r>
            <w:r>
              <w:t xml:space="preserve">15,</w:t>
            </w:r>
            <w:r>
              <w:t xml:space="preserve"> </w:t>
            </w:r>
            <w:r>
              <w:rPr>
                <w:i/>
                <w:iCs/>
              </w:rPr>
              <w:t xml:space="preserve">A. germinans</w:t>
            </w:r>
            <w:r>
              <w:t xml:space="preserve"> </w:t>
            </w:r>
            <w:r>
              <w:t xml:space="preserve">10</w:t>
            </w:r>
          </w:p>
        </w:tc>
        <w:tc>
          <w:tcPr/>
          <w:p>
            <w:pPr>
              <w:pStyle w:val="Compact"/>
            </w:pPr>
            <w:r>
              <w:rPr>
                <w:i/>
                <w:iCs/>
              </w:rPr>
              <w:t xml:space="preserve">R. mangle</w:t>
            </w:r>
            <w:r>
              <w:t xml:space="preserve"> </w:t>
            </w:r>
            <w:r>
              <w:t xml:space="preserve">43,</w:t>
            </w:r>
            <w:r>
              <w:t xml:space="preserve"> </w:t>
            </w:r>
            <w:r>
              <w:rPr>
                <w:i/>
                <w:iCs/>
              </w:rPr>
              <w:t xml:space="preserve">A. germinans</w:t>
            </w:r>
            <w:r>
              <w:t xml:space="preserve"> </w:t>
            </w:r>
            <w:r>
              <w:t xml:space="preserve">41,</w:t>
            </w:r>
            <w:r>
              <w:t xml:space="preserve"> </w:t>
            </w:r>
            <w:r>
              <w:rPr>
                <w:i/>
                <w:iCs/>
              </w:rPr>
              <w:t xml:space="preserve">L. racemosa</w:t>
            </w:r>
            <w:r>
              <w:t xml:space="preserve"> </w:t>
            </w:r>
            <w:r>
              <w:t xml:space="preserve">16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Water level (cm)</w:t>
            </w:r>
          </w:p>
        </w:tc>
        <w:tc>
          <w:tcPr/>
          <w:p>
            <w:pPr>
              <w:pStyle w:val="Compact"/>
            </w:pPr>
            <w:r>
              <w:t xml:space="preserve">Oct 22: +12 / -1 (62%); Mar 23: 0 / -7 (37%)</w:t>
            </w:r>
          </w:p>
        </w:tc>
        <w:tc>
          <w:tcPr/>
          <w:p>
            <w:pPr>
              <w:pStyle w:val="Compact"/>
            </w:pPr>
            <w:r>
              <w:t xml:space="preserve">Oct 22: +29 / +1 (74%); Mar 23: +17 / -5 (55%)</w:t>
            </w:r>
          </w:p>
        </w:tc>
        <w:tc>
          <w:tcPr/>
          <w:p>
            <w:pPr>
              <w:pStyle w:val="Compact"/>
            </w:pPr>
            <w:r>
              <w:t xml:space="preserve">Oct 22: 6 (15); Mar 23: 0 (0)</w:t>
            </w:r>
          </w:p>
        </w:tc>
        <w:tc>
          <w:tcPr/>
          <w:p>
            <w:pPr>
              <w:pStyle w:val="Compact"/>
            </w:pPr>
            <w:r>
              <w:t xml:space="preserve">Oct 22: 11 (23); Mar 23: 9 (24)</w:t>
            </w:r>
          </w:p>
        </w:tc>
        <w:tc>
          <w:tcPr/>
          <w:p>
            <w:pPr>
              <w:pStyle w:val="Compact"/>
            </w:pPr>
            <w:r>
              <w:t xml:space="preserve">Oct 22: 16 (31); Mar 23: 6 (27)</w:t>
            </w:r>
          </w:p>
        </w:tc>
        <w:tc>
          <w:tcPr/>
          <w:p>
            <w:pPr>
              <w:pStyle w:val="Compact"/>
            </w:pPr>
            <w:r>
              <w:t xml:space="preserve">–</w:t>
            </w:r>
          </w:p>
        </w:tc>
        <w:tc>
          <w:tcPr/>
          <w:p>
            <w:pPr>
              <w:pStyle w:val="Compact"/>
            </w:pPr>
            <w:r>
              <w:t xml:space="preserve">Mar 23: 11 (15)</w:t>
            </w:r>
          </w:p>
        </w:tc>
        <w:tc>
          <w:tcPr/>
          <w:p>
            <w:pPr>
              <w:pStyle w:val="Compact"/>
            </w:pPr>
            <w:r>
              <w:t xml:space="preserve">Mar 23: 0 (1)</w:t>
            </w:r>
          </w:p>
        </w:tc>
      </w:tr>
      <w:tr>
        <w:tc>
          <w:tcPr/>
          <w:p>
            <w:pPr>
              <w:pStyle w:val="Compact"/>
            </w:pPr>
            <w:r>
              <w:t xml:space="preserve">Porewater salinity (PSU)</w:t>
            </w:r>
          </w:p>
        </w:tc>
        <w:tc>
          <w:tcPr/>
          <w:p>
            <w:pPr>
              <w:pStyle w:val="Compact"/>
            </w:pPr>
            <w:r>
              <w:t xml:space="preserve">Oct 22: 20; Oct 25: 20</w:t>
            </w:r>
          </w:p>
        </w:tc>
        <w:tc>
          <w:tcPr/>
          <w:p>
            <w:pPr>
              <w:pStyle w:val="Compact"/>
            </w:pPr>
            <w:r>
              <w:t xml:space="preserve">Oct 22: 27; Oct 25: 29</w:t>
            </w:r>
          </w:p>
        </w:tc>
        <w:tc>
          <w:tcPr/>
          <w:p>
            <w:pPr>
              <w:pStyle w:val="Compact"/>
            </w:pPr>
            <w:r>
              <w:t xml:space="preserve">Oct 22: 38; Mar 23: 38; Oct 25: 35</w:t>
            </w:r>
          </w:p>
        </w:tc>
        <w:tc>
          <w:tcPr/>
          <w:p>
            <w:pPr>
              <w:pStyle w:val="Compact"/>
            </w:pPr>
            <w:r>
              <w:t xml:space="preserve">Oct 22: 59; Mar 23: 63; Oct 25: 49</w:t>
            </w:r>
          </w:p>
        </w:tc>
        <w:tc>
          <w:tcPr/>
          <w:p>
            <w:pPr>
              <w:pStyle w:val="Compact"/>
            </w:pPr>
            <w:r>
              <w:t xml:space="preserve">Oct 22: 64; Mar 23: 61</w:t>
            </w:r>
          </w:p>
        </w:tc>
        <w:tc>
          <w:tcPr/>
          <w:p>
            <w:pPr>
              <w:pStyle w:val="Compact"/>
            </w:pPr>
            <w:r>
              <w:t xml:space="preserve">–</w:t>
            </w:r>
          </w:p>
        </w:tc>
        <w:tc>
          <w:tcPr/>
          <w:p>
            <w:pPr>
              <w:pStyle w:val="Compact"/>
            </w:pPr>
            <w:r>
              <w:t xml:space="preserve">Mar 23: 8</w:t>
            </w:r>
          </w:p>
        </w:tc>
        <w:tc>
          <w:tcPr/>
          <w:p>
            <w:pPr>
              <w:pStyle w:val="Compact"/>
            </w:pPr>
            <w:r>
              <w:t xml:space="preserv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r>
        <w:t xml:space="preserve"> </w:t>
      </w:r>
      <w:r>
        <w:t xml:space="preserve">The intact water-surface term in October 2022 (SRS5, SRS6), where no floating chamber was deployed, was estimated from dissolved CH4 and CO2 (M8).</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1.41</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0.60</w:t>
            </w:r>
          </w:p>
        </w:tc>
        <w:tc>
          <w:tcPr/>
          <w:p>
            <w:pPr>
              <w:pStyle w:val="Compact"/>
            </w:pPr>
            <w:r>
              <w:t xml:space="preserve">0.08</w:t>
            </w:r>
          </w:p>
        </w:tc>
        <w:tc>
          <w:tcPr/>
          <w:p>
            <w:pPr>
              <w:pStyle w:val="Compact"/>
            </w:pPr>
            <w:r>
              <w:t xml:space="preserve">10.33</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-3 756</w:t>
            </w:r>
          </w:p>
        </w:tc>
        <w:tc>
          <w:tcPr/>
          <w:p>
            <w:pPr>
              <w:pStyle w:val="Compact"/>
            </w:pPr>
            <w:r>
              <w:t xml:space="preserve">-3 635</w:t>
            </w:r>
          </w:p>
        </w:tc>
        <w:tc>
          <w:tcPr/>
          <w:p>
            <w:pPr>
              <w:pStyle w:val="Compact"/>
            </w:pPr>
            <w:r>
              <w:t xml:space="preserve">-5 214 to -1 918</w:t>
            </w:r>
          </w:p>
        </w:tc>
        <w:tc>
          <w:tcPr/>
          <w:p>
            <w:pPr>
              <w:pStyle w:val="Compact"/>
            </w:pPr>
            <w:r>
              <w:t xml:space="preserve">-3 715</w:t>
            </w:r>
          </w:p>
        </w:tc>
        <w:tc>
          <w:tcPr/>
          <w:p>
            <w:pPr>
              <w:pStyle w:val="Compact"/>
            </w:pPr>
            <w:r>
              <w:t xml:space="preserve">-5 291 to -2 012</w:t>
            </w:r>
          </w:p>
        </w:tc>
        <w:tc>
          <w:tcPr/>
          <w:p>
            <w:pPr>
              <w:pStyle w:val="Compact"/>
            </w:pPr>
            <w:r>
              <w:t xml:space="preserve">-3 744</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3 137</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(3.36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(0.400 to 0.956)</w:t>
            </w:r>
          </w:p>
        </w:tc>
        <w:tc>
          <w:tcPr/>
          <w:p>
            <w:pPr>
              <w:pStyle w:val="Compact"/>
            </w:pPr>
            <w:r>
              <w:t xml:space="preserve">0.609</w:t>
            </w:r>
          </w:p>
        </w:tc>
        <w:tc>
          <w:tcPr/>
          <w:p>
            <w:pPr>
              <w:pStyle w:val="Compact"/>
            </w:pPr>
            <w:r>
              <w:t xml:space="preserve">0.716</w:t>
            </w:r>
          </w:p>
        </w:tc>
        <w:tc>
          <w:tcPr/>
          <w:p>
            <w:pPr>
              <w:pStyle w:val="Compact"/>
            </w:pPr>
            <w:r>
              <w:t xml:space="preserve">1.082 (0.335 to 1.829)</w:t>
            </w:r>
          </w:p>
        </w:tc>
      </w:tr>
      <w:tr>
        <w:tc>
          <w:tcPr/>
          <w:p>
            <w:pPr>
              <w:pStyle w:val="Compact"/>
            </w:pPr>
            <w:r>
              <w:t xml:space="preserve">United States</w:t>
            </w:r>
          </w:p>
        </w:tc>
        <w:tc>
          <w:tcPr/>
          <w:p>
            <w:pPr>
              <w:pStyle w:val="Compact"/>
            </w:pPr>
            <w:r>
              <w:t xml:space="preserve">60.09</w:t>
            </w:r>
          </w:p>
        </w:tc>
        <w:tc>
          <w:tcPr/>
          <w:p>
            <w:pPr>
              <w:pStyle w:val="Compact"/>
            </w:pPr>
            <w:r>
              <w:t xml:space="preserve">0.385 (0.231 to 0.552)</w:t>
            </w:r>
          </w:p>
        </w:tc>
        <w:tc>
          <w:tcPr/>
          <w:p>
            <w:pPr>
              <w:pStyle w:val="Compact"/>
            </w:pPr>
            <w:r>
              <w:t xml:space="preserve">0.352</w:t>
            </w:r>
          </w:p>
        </w:tc>
        <w:tc>
          <w:tcPr/>
          <w:p>
            <w:pPr>
              <w:pStyle w:val="Compact"/>
            </w:pPr>
            <w:r>
              <w:t xml:space="preserve">0.413</w:t>
            </w:r>
          </w:p>
        </w:tc>
        <w:tc>
          <w:tcPr/>
          <w:p>
            <w:pPr>
              <w:pStyle w:val="Compact"/>
            </w:pPr>
            <w:r>
              <w:t xml:space="preserve">0.625 (0.193 to 1.057)</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1.112 (0.667 to 1.594)</w:t>
            </w:r>
          </w:p>
        </w:tc>
        <w:tc>
          <w:tcPr/>
          <w:p>
            <w:pPr>
              <w:pStyle w:val="Compact"/>
            </w:pPr>
            <w:r>
              <w:t xml:space="preserve">1.016</w:t>
            </w:r>
          </w:p>
        </w:tc>
        <w:tc>
          <w:tcPr/>
          <w:p>
            <w:pPr>
              <w:pStyle w:val="Compact"/>
            </w:pPr>
            <w:r>
              <w:t xml:space="preserve">1.193</w:t>
            </w:r>
          </w:p>
        </w:tc>
        <w:tc>
          <w:tcPr/>
          <w:p>
            <w:pPr>
              <w:pStyle w:val="Compact"/>
            </w:pPr>
            <w:r>
              <w:t xml:space="preserve">1.805 (0.558 to 3.049)</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2.90)</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1.95)</w:t>
            </w:r>
          </w:p>
        </w:tc>
        <w:tc>
          <w:tcPr/>
          <w:p>
            <w:pPr>
              <w:pStyle w:val="Compact"/>
            </w:pPr>
            <w:r>
              <w:t xml:space="preserve">1.25</w:t>
            </w:r>
          </w:p>
        </w:tc>
        <w:tc>
          <w:tcPr/>
          <w:p>
            <w:pPr>
              <w:pStyle w:val="Compact"/>
            </w:pPr>
            <w:r>
              <w:t xml:space="preserve">2.21 (0.68 to 3.74)</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99"/>
    <w:bookmarkStart w:id="100"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Castañeda-Moya, E., Rivera-Monroy, V. &amp; Twilley, R. Mangrove forest growth from the Shark River Slough, Everglades National Park (FCE), South Florida, USA, January 1995 – ongoing. Environmental Data Initiative, knb-lter-fce.1113.7 (2024). https://doi.org/10.6073/pasta/45b440211d5756a157e72b1ee3a7a0ec</w:t>
            </w:r>
          </w:p>
        </w:tc>
        <w:tc>
          <w:tcPr/>
          <w:p>
            <w:pPr>
              <w:pStyle w:val="Compact"/>
            </w:pPr>
            <w:r>
              <w:t xml:space="preserve">Species composition, stem density and basal area at SRS5 and SRS6 (table S1)</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0"/>
    <w:bookmarkStart w:id="101"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89" Target="media/rId89.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86" Target="media/rId86.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77" Target="media/rId77.png" /><Relationship Type="http://schemas.openxmlformats.org/officeDocument/2006/relationships/image" Id="rId83" Target="media/rId83.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68" Target="media/rId68.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2026-10-04T00:35:07Z</dcterms:created>
  <dcterms:modified xsi:type="dcterms:W3CDTF">2026-10-04T00:35:07Z</dcterms:modified>
</cp:coreProperties>
</file>

<file path=docProps/custom.xml><?xml version="1.0" encoding="utf-8"?>
<Properties xmlns="http://schemas.openxmlformats.org/officeDocument/2006/custom-properties" xmlns:vt="http://schemas.openxmlformats.org/officeDocument/2006/docPropsVTypes"/>
</file>