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Eric Ward</w:t>
      </w:r>
      <w:r>
        <w:rPr>
          <w:vertAlign w:val="superscript"/>
        </w:rPr>
        <w:t xml:space="preserve">4</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S1),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S1).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p>
    <w:p>
      <w:pPr>
        <w:pStyle w:val="BodyText"/>
      </w:pPr>
      <w:r>
        <w:drawing>
          <wp:inline>
            <wp:extent cx="5334000" cy="62230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(April 2022, October 2022, February 2023 and April 2023; bands, ±1.96 SE; grey, our campaign months).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S2).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S2),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S2).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S2),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~29 g CH4 m−2 yr−1 (24–33 across structural assumptions), more than ghost forest, so early regeneration may be the peak of the response rather than a return toward the intact baseline (text S3). By contrast, a decades-old die-off behind a road that restricted tidal exchange had little standing water in the dry season and soil emission an order of magnitude below the Everglades ghost sites (text S4),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The switch has three parts (Fig. 5B): the intact forest’s lost uptake (3,743 g CO2), a recovery debt that persists until the canopy regrows; CO2 released by the dead stand (1,810); and added methane (843 g CO2-eq at GWP20, 290 at GWP100). Methane adds 47% to the warming from the dead stand’s CO2 release at GWP20 (16% at GWP100), and it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S5). Across all other analytical choices we tested (flooding, temperature scaling, downed wood, canopy respiration and the tidal and daily timing of methane), the switch stayed between ~5,600 and ~8,000 (table S3;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S1;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the switch omits two unmeasured losses of the dead stand that would add to its CO2 and CH4 rather than replace them (text S6). Peat collapse after root death (76) draws down a soil stock built over centuries and so lengthens the recovery debt. Lateral export matters only in part: because the ghost ponds are cut off from the tide, much of their dissolved carbon degasses in place, where our water chambers measured it, and exported alkalinity is a durable ocean store rather than a source.</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of measured vertical exchange, split into lost uptake (the intact stand’s net CO2 uptake, a recovery debt until regrowth), CO2 released by the dead stand and added CH4; whiskers, Monte Carlo 95% intervals; labels, CH4 as a percentage of the dead stand’s CO2 release and the regional total over 173 km2. Lateral export and peat loss of the dead stand are not included (text S6). (</w:t>
      </w:r>
      <w:r>
        <w:rPr>
          <w:b/>
          <w:bCs/>
        </w:rPr>
        <w:t xml:space="preserve">C</w:t>
      </w:r>
      <w:r>
        <w:t xml:space="preserve">) Induced CH4 from 2017 hurricane dieback (74) per 0.25° cell, with the tracks of Irma and Maria; 173 km2 of dieback inducing 1.8 Gg CH4 yr−1 (0.5–3.1).</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S3).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 US-Skr data were provided by AmeriFlux (Fuentes, Malone &amp; Troxler, doi:10.17190/AMF/1246105); AmeriFlux is funded by the U.S. Department of Energy Office of Science.</w:t>
      </w:r>
      <w:r>
        <w:t xml:space="preserve"> </w:t>
      </w:r>
      <w:r>
        <w:rPr>
          <w:b/>
          <w:bCs/>
        </w:rPr>
        <w:t xml:space="preserve">Funding:</w:t>
      </w:r>
      <w:r>
        <w:t xml:space="preserve"> </w:t>
      </w:r>
      <w:r>
        <w:t xml:space="preserve">NASA Carbon Monitoring System (BlueFlux); NSF Graduate Research Fellowship and NASA Connecticut Space Grant Graduate Fellowship (J.G.);</w:t>
      </w:r>
      <w:r>
        <w:t xml:space="preserve"> </w:t>
      </w:r>
      <w:r>
        <w:rPr>
          <w:i/>
          <w:iCs/>
        </w:rPr>
        <w:t xml:space="preserve">[pending: other funding]</w:t>
      </w:r>
      <w:r>
        <w:t xml:space="preserve">.</w:t>
      </w:r>
      <w:r>
        <w:t xml:space="preserve"> </w:t>
      </w:r>
      <w:r>
        <w:rPr>
          <w:b/>
          <w:bCs/>
        </w:rPr>
        <w:t xml:space="preserve">Author contributions:</w:t>
      </w:r>
      <w:r>
        <w:t xml:space="preserve"> </w:t>
      </w:r>
      <w:r>
        <w:rPr>
          <w:i/>
          <w:iCs/>
        </w:rPr>
        <w:t xml:space="preserve">[pending]</w:t>
      </w:r>
      <w:r>
        <w:t xml:space="preserve">.</w:t>
      </w:r>
      <w:r>
        <w:t xml:space="preserve"> </w:t>
      </w:r>
      <w:r>
        <w:rPr>
          <w:b/>
          <w:bCs/>
        </w:rPr>
        <w:t xml:space="preserve">Competing interests:</w:t>
      </w:r>
      <w:r>
        <w:t xml:space="preserve"> </w:t>
      </w:r>
      <w:r>
        <w:rPr>
          <w:i/>
          <w:iCs/>
        </w:rPr>
        <w:t xml:space="preserve">[pending]</w:t>
      </w:r>
      <w:r>
        <w:t xml:space="preserve">.</w:t>
      </w:r>
      <w:r>
        <w:t xml:space="preserve"> </w:t>
      </w:r>
      <w:r>
        <w:rPr>
          <w:b/>
          <w:bCs/>
        </w:rPr>
        <w:t xml:space="preserve">Data and materials availability:</w:t>
      </w:r>
      <w:r>
        <w:t xml:space="preserve"> </w:t>
      </w:r>
      <w:r>
        <w:t xml:space="preserve">the chamber flux dataset and analysis workflow are at</w:t>
      </w:r>
      <w:r>
        <w:t xml:space="preserve"> </w:t>
      </w:r>
      <w:r>
        <w:rPr>
          <w:i/>
          <w:iCs/>
        </w:rPr>
        <w:t xml:space="preserve">[pending: repository URL]</w:t>
      </w:r>
      <w:r>
        <w:t xml:space="preserve">;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S12; Figures S1 to S21; Tables S1 to S16;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2026-10-10T00:05:18Z</dcterms:created>
  <dcterms:modified xsi:type="dcterms:W3CDTF">2026-10-10T00:05:18Z</dcterms:modified>
</cp:coreProperties>
</file>

<file path=docProps/custom.xml><?xml version="1.0" encoding="utf-8"?>
<Properties xmlns="http://schemas.openxmlformats.org/officeDocument/2006/custom-properties" xmlns:vt="http://schemas.openxmlformats.org/officeDocument/2006/docPropsVTypes"/>
</file>