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(47).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Terrestrial laser scans of intact (SRS6) and ghost (CP40) forest: side views of the same 40 m wide, 20 m deep slab through each plot, paler with distance (44).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(48).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Our ground sites are intensive process sites: few in number, chosen to resolve where and why emissions change, not to represent the region by themselves. Two lines of evidence support them. Sites within a class agreed with each other (intact SRS5 and SRS6; ghost CP40 and FLM30; table S3), and they agreed with independent measurements at larger scale. Airborne eddy covariance, disaggregated to intact and ghost forest (46, 49, 50),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(51)) (Fig. 3C). Chambers scaled by laser-scanned area and footprint-disaggregated airborne fluxes share no measurements, so their agreement does not depend on any one method’s assumptions. The airborne fluxes integrate intact and ghost mangrove along flight legs across south Florida (fig. S20), so the agreement also shows that our sites are representative of intact and ghost mangrove across the region. The climate numbers below come from the site budgets, which resolve every pathway; the airborne data establish that the intact–ghost contrast they describe holds across south Florida. The airborne class fluxes alone, with midday CO2 scaled to daily by the regional tower relation (52), give a switch of ~4,500 g CO2-eq m−2 yr−1 at GWP20 (2,000–7,000), and the BlueFlux regional upscaling over all mapped 2017 dieback gives ~1,700 (52). Both agree in sign and order of magnitude and are smaller, as expected for estimates that average over flight footprints or 500 m pixels and so mix persistent ghost forest with regreening stands and live margins, which our process sites separate (text S5; fig. S21).</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47).</w:t>
      </w:r>
    </w:p>
    <w:p>
      <w:pPr>
        <w:pStyle w:val="BodyText"/>
      </w:pPr>
      <w:r>
        <w:t xml:space="preserve">Closing the budget in this way also identifies what is still missing. Ground replication is limited to two sites per class (one regenerating site), which is why we treat the ground sites as process sites and test their representativeness against the airborne class fluxes before scaling.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2026-10-04T10:17:39Z</dcterms:created>
  <dcterms:modified xsi:type="dcterms:W3CDTF">2026-10-04T10:17:39Z</dcterms:modified>
</cp:coreProperties>
</file>

<file path=docProps/custom.xml><?xml version="1.0" encoding="utf-8"?>
<Properties xmlns="http://schemas.openxmlformats.org/officeDocument/2006/custom-properties" xmlns:vt="http://schemas.openxmlformats.org/officeDocument/2006/docPropsVTypes"/>
</file>