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We combined chambers on six surfaces (water, soil, prop roots, stems, downed wood and leaves) at intact, regenerating and ghost sites in wet- and dry-season campaigns; terrestrial laser scanning (TLS) (44, 45) to measure the area of each surface; the US-Skr eddy-covariance tower and CARAFE airborne eddy covariance (46, 47) as independent checks; and porewater chemistry and sediment metagenomes to identify mechanisms (Fig. 1C).</w:t>
      </w:r>
    </w:p>
    <w:p>
      <w:pPr>
        <w:pStyle w:val="BodyText"/>
      </w:pPr>
      <w:r>
        <w:drawing>
          <wp:inline>
            <wp:extent cx="5334000" cy="4815416"/>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4815416"/>
                    </a:xfrm>
                    <a:prstGeom prst="rect">
                      <a:avLst/>
                    </a:prstGeom>
                    <a:noFill/>
                    <a:ln w="9525">
                      <a:noFill/>
                      <a:headEnd/>
                      <a:tailEnd/>
                    </a:ln>
                  </pic:spPr>
                </pic:pic>
              </a:graphicData>
            </a:graphic>
          </wp:inline>
        </w:drawing>
      </w:r>
    </w:p>
    <w:p>
      <w:pPr>
        <w:pStyle w:val="BodyText"/>
      </w:pPr>
      <w:r>
        <w:rPr>
          <w:b/>
          <w:bCs/>
        </w:rPr>
        <w:t xml:space="preserve">Fig. 1. Study system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S4).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2C). Most woody surface lies far above the water line, where flux is lowest (Fig. 2F). Stems therefore contributed &lt;1% of stand methane in both intact and ghost forest, whereas the dense prop-root zone of intact red-mangrove forest contributed ~28% (Fig. 3A).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037666"/>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2. Flux rates and the surfaces they act on.</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Surface per unit ground area by component; pie area proportional to the total.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(55%) and prop roots (28%), with tidal water 14% (Fig. 3A).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 3, A and D).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3B). The budgets were insensitive to how stem flux was extrapolated above measured heights (≤4%), because stems are a small term, and ghost-forest emission rests mainly on directly measured water fluxes scaled by inundated area (fig. S7).</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Two independent measurements check these budgets.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C to E). Bottom-up intact CO2 uptake (−1,025 g C m−2 yr−1) matched the eddy-covariance tower over the same forest (−1,288 over the campaign months; −1,170 ± 127 in the long-term record (52)) (Fig. 3E).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3C.]</w:t>
      </w:r>
    </w:p>
    <w:p>
      <w:pPr>
        <w:pStyle w:val="BodyText"/>
      </w:pPr>
      <w:r>
        <w:drawing>
          <wp:inline>
            <wp:extent cx="5334000" cy="5926666"/>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 3. Stand budgets and independent closure.</w:t>
      </w:r>
      <w:r>
        <w:t xml:space="preserve"> </w:t>
      </w:r>
      <w:r>
        <w:t xml:space="preserve">Share of stand (</w:t>
      </w:r>
      <w:r>
        <w:rPr>
          <w:b/>
          <w:bCs/>
        </w:rPr>
        <w:t xml:space="preserve">A</w:t>
      </w:r>
      <w:r>
        <w:t xml:space="preserve">) CH4 and (</w:t>
      </w:r>
      <w:r>
        <w:rPr>
          <w:b/>
          <w:bCs/>
        </w:rPr>
        <w:t xml:space="preserve">B</w:t>
      </w:r>
      <w:r>
        <w:t xml:space="preserve">) respiration by component in the wet (October 2022) and dry (March 2023) campaigns. (</w:t>
      </w:r>
      <w:r>
        <w:rPr>
          <w:b/>
          <w:bCs/>
        </w:rPr>
        <w:t xml:space="preserve">C</w:t>
      </w:r>
      <w:r>
        <w:t xml:space="preserve">) Airborne CH4 and midday CO2 for intact and ghost forest by deployment</w:t>
      </w:r>
      <w:r>
        <w:t xml:space="preserve"> </w:t>
      </w:r>
      <w:r>
        <w:rPr>
          <w:i/>
          <w:iCs/>
        </w:rPr>
        <w:t xml:space="preserve">[July 2024 pending]</w:t>
      </w:r>
      <w:r>
        <w:t xml:space="preserve">. Stand (</w:t>
      </w:r>
      <w:r>
        <w:rPr>
          <w:b/>
          <w:bCs/>
        </w:rPr>
        <w:t xml:space="preserve">D</w:t>
      </w:r>
      <w:r>
        <w:t xml:space="preserve">) CH4 and (</w:t>
      </w:r>
      <w:r>
        <w:rPr>
          <w:b/>
          <w:bCs/>
        </w:rPr>
        <w:t xml:space="preserve">E</w:t>
      </w:r>
      <w:r>
        <w:t xml:space="preserve">) CO2 by campaign and annually (mean of the wet and dry campaigns), stacked by component, with bottom-up totals (diamonds; Monte Carlo 95% intervals), airborne (triangles; ±1.96 SE) and tower (squares) estimates; shaded green in E, tower GPP.</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(−3,755 g CO2 m−2 yr−1) dwarfed its methane emission (+121 g CO2-eq at GWP20), which offset 3% of it (Fig. 5B). Ghost forest was a net source (+2,776 g CO2-eq m−2 yr−1 at GWP20; +2,142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−5,214 to −1,918; ghost +1,931 to +3,977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~5,500 (Fig. 5A;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5D). At the measured per-area switch, this loss adds ~1.1 Tg CO2-eq yr−1 at GWP20 (0.7–1.6; 1.0 at GWP100), including 1.8 Gg CH4 yr−1 of induced methane (Fig. 5C).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8001000"/>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8001000"/>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 (</w:t>
      </w:r>
      <w:r>
        <w:rPr>
          <w:b/>
          <w:bCs/>
        </w:rPr>
        <w:t xml:space="preserve">B</w:t>
      </w:r>
      <w:r>
        <w:t xml:space="preserve">) Net forcing of intact and ghost forest at GWP20, GWP100 and GWP*, stacked by CO2 and CH4; diamonds, net with Monte Carlo 95% intervals; circles, intact net ecosystem carbon balance including lateral export. (</w:t>
      </w:r>
      <w:r>
        <w:rPr>
          <w:b/>
          <w:bCs/>
        </w:rPr>
        <w:t xml:space="preserve">C</w:t>
      </w:r>
      <w:r>
        <w:t xml:space="preserve">) The intact-to-ghost switch per m2, split into CO2 and CH4, with the CH4 share and the regional total. (</w:t>
      </w:r>
      <w:r>
        <w:rPr>
          <w:b/>
          <w:bCs/>
        </w:rPr>
        <w:t xml:space="preserve">D</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S17;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2026-10-03T22:27:47Z</dcterms:created>
  <dcterms:modified xsi:type="dcterms:W3CDTF">2026-10-03T22:27:47Z</dcterms:modified>
</cp:coreProperties>
</file>

<file path=docProps/custom.xml><?xml version="1.0" encoding="utf-8"?>
<Properties xmlns="http://schemas.openxmlformats.org/officeDocument/2006/custom-properties" xmlns:vt="http://schemas.openxmlformats.org/officeDocument/2006/docPropsVTypes"/>
</file>