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5.png" ContentType="image/png"/>
  <Override PartName="/word/media/rId71.png" ContentType="image/png"/>
  <Override PartName="/word/media/rId47.png" ContentType="image/png"/>
  <Override PartName="/word/media/rId59.png" ContentType="image/png"/>
  <Override PartName="/word/media/rId62.png" ContentType="image/png"/>
  <Override PartName="/word/media/rId92.png" ContentType="image/png"/>
  <Override PartName="/word/media/rId86.png" ContentType="image/png"/>
  <Override PartName="/word/media/rId89.png" ContentType="image/png"/>
  <Override PartName="/word/media/rId56.png" ContentType="image/png"/>
  <Override PartName="/word/media/rId65.png" ContentType="image/png"/>
  <Override PartName="/word/media/rId80.png" ContentType="image/png"/>
  <Override PartName="/word/media/rId50.png" ContentType="image/png"/>
  <Override PartName="/word/media/rId77.png" ContentType="image/png"/>
  <Override PartName="/word/media/rId101.png" ContentType="image/png"/>
  <Override PartName="/word/media/rId68.png" ContentType="image/png"/>
  <Override PartName="/word/media/rId5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 Figures marked † are earlier renders to be restyled to the main-text palette.]</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are reported in fig. S6.</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For net forcing, canopy leaf respiration (Rd25 and LAI) and tower GPP dominate the intact interval and the CH4 budget dominates the ghost interval (fig. S10).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7577893"/>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 †</w:t>
      </w:r>
    </w:p>
    <w:p>
      <w:pPr>
        <w:pStyle w:val="BodyText"/>
      </w:pPr>
      <w:r>
        <w:drawing>
          <wp:inline>
            <wp:extent cx="5334000" cy="63711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drawing>
          <wp:inline>
            <wp:extent cx="5334000" cy="2909454"/>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(Top) Chamber measurements by site and campaign against water level. (Bottom) Floating-chamber positions and water depth by campaign. †</w:t>
      </w:r>
    </w:p>
    <w:p>
      <w:pPr>
        <w:pStyle w:val="BodyText"/>
      </w:pPr>
      <w:r>
        <w:drawing>
          <wp:inline>
            <wp:extent cx="5334000" cy="7218307"/>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7218307"/>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and CO2 flux by component for every plot and campaign, including context sites (bootstrap means and 95% CIs; individual measurements as points; inverse-hyperbolic-sine axes). †</w:t>
      </w:r>
    </w:p>
    <w:p>
      <w:pPr>
        <w:pStyle w:val="BodyText"/>
      </w:pPr>
      <w:r>
        <w:drawing>
          <wp:inline>
            <wp:extent cx="5334000" cy="4393409"/>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393409"/>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 Example placements showing detected bubble steps, the de-ebulliated series and the diffusive fit (M7). †</w:t>
      </w:r>
    </w:p>
    <w:p>
      <w:pPr>
        <w:pStyle w:val="BodyText"/>
      </w:pPr>
      <w:r>
        <w:drawing>
          <wp:inline>
            <wp:extent cx="5334000" cy="3556000"/>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and CO2 flux against pneumatophore density per collar, by site (dry season). †</w:t>
      </w:r>
    </w:p>
    <w:p>
      <w:pPr>
        <w:pStyle w:val="BodyText"/>
      </w:pPr>
      <w:r>
        <w:drawing>
          <wp:inline>
            <wp:extent cx="5334000" cy="5745777"/>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745777"/>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Stem CH4 and CO2 by height category, species and live/dead status at sites with species identification; estimated marginal means (95% CI) from linear mixed-effects models (M20). †</w:t>
      </w:r>
    </w:p>
    <w:p>
      <w:pPr>
        <w:pStyle w:val="BodyText"/>
      </w:pPr>
      <w:r>
        <w:drawing>
          <wp:inline>
            <wp:extent cx="5334000" cy="3333750"/>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2843896"/>
            <wp:effectExtent b="0" l="0" r="0" t="0"/>
            <wp:docPr descr="" title="" id="72" name="Picture"/>
            <a:graphic>
              <a:graphicData uri="http://schemas.openxmlformats.org/drawingml/2006/picture">
                <pic:pic>
                  <pic:nvPicPr>
                    <pic:cNvPr descr="output/figures/other/height_extrap_sensitivity_total.png" id="73" name="Picture"/>
                    <pic:cNvPicPr>
                      <a:picLocks noChangeArrowheads="1" noChangeAspect="1"/>
                    </pic:cNvPicPr>
                  </pic:nvPicPr>
                  <pic:blipFill>
                    <a:blip r:embed="rId71"/>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(Top) Fitted exponential stem CH4 profiles by site and campaign against the measured heights. (Bottom) Stand CH4 under six extrapolation forms. †</w:t>
      </w:r>
    </w:p>
    <w:p>
      <w:pPr>
        <w:pStyle w:val="BodyText"/>
      </w:pPr>
      <w:r>
        <w:drawing>
          <wp:inline>
            <wp:extent cx="5334000" cy="218209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18209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surface area per unit ground area by segment class (trunk, branch, prop root) and 0.5 m height bin for the four scanned plots. †</w:t>
      </w:r>
    </w:p>
    <w:p>
      <w:pPr>
        <w:pStyle w:val="BodyText"/>
      </w:pPr>
      <w:r>
        <w:drawing>
          <wp:inline>
            <wp:extent cx="5334000" cy="2310948"/>
            <wp:effectExtent b="0" l="0" r="0" t="0"/>
            <wp:docPr descr="" title="" id="78" name="Picture"/>
            <a:graphic>
              <a:graphicData uri="http://schemas.openxmlformats.org/drawingml/2006/picture">
                <pic:pic>
                  <pic:nvPicPr>
                    <pic:cNvPr descr="output/figures/other/scenario_comparison.png" id="79" name="Picture"/>
                    <pic:cNvPicPr>
                      <a:picLocks noChangeArrowheads="1" noChangeAspect="1"/>
                    </pic:cNvPicPr>
                  </pic:nvPicPr>
                  <pic:blipFill>
                    <a:blip r:embed="rId77"/>
                    <a:stretch>
                      <a:fillRect/>
                    </a:stretch>
                  </pic:blipFill>
                  <pic:spPr bwMode="auto">
                    <a:xfrm>
                      <a:off x="0" y="0"/>
                      <a:ext cx="5334000" cy="2310948"/>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under tide and inundation representations (text S2; table S10). †</w:t>
      </w:r>
    </w:p>
    <w:p>
      <w:pPr>
        <w:pStyle w:val="BodyText"/>
      </w:pPr>
      <w:r>
        <w:drawing>
          <wp:inline>
            <wp:extent cx="5334000" cy="3046847"/>
            <wp:effectExtent b="0" l="0" r="0" t="0"/>
            <wp:docPr descr="" title="" id="81" name="Picture"/>
            <a:graphic>
              <a:graphicData uri="http://schemas.openxmlformats.org/drawingml/2006/picture">
                <pic:pic>
                  <pic:nvPicPr>
                    <pic:cNvPr descr="output/figures/other/pub_uncertainty_decomp.png" id="82" name="Picture"/>
                    <pic:cNvPicPr>
                      <a:picLocks noChangeArrowheads="1" noChangeAspect="1"/>
                    </pic:cNvPicPr>
                  </pic:nvPicPr>
                  <pic:blipFill>
                    <a:blip r:embed="rId80"/>
                    <a:stretch>
                      <a:fillRect/>
                    </a:stretch>
                  </pic:blipFill>
                  <pic:spPr bwMode="auto">
                    <a:xfrm>
                      <a:off x="0" y="0"/>
                      <a:ext cx="5334000" cy="3046847"/>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uncertainty: contribution of each input to the variance of stand CH4 and net forcing (text S4). †</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4191691"/>
            <wp:effectExtent b="0" l="0" r="0" t="0"/>
            <wp:docPr descr="" title="" id="87" name="Picture"/>
            <a:graphic>
              <a:graphicData uri="http://schemas.openxmlformats.org/drawingml/2006/picture">
                <pic:pic>
                  <pic:nvPicPr>
                    <pic:cNvPr descr="output/figures/other/pub_SI_ta_vs_dic.png" id="88" name="Picture"/>
                    <pic:cNvPicPr>
                      <a:picLocks noChangeArrowheads="1" noChangeAspect="1"/>
                    </pic:cNvPicPr>
                  </pic:nvPicPr>
                  <pic:blipFill>
                    <a:blip r:embed="rId86"/>
                    <a:stretch>
                      <a:fillRect/>
                    </a:stretch>
                  </pic:blipFill>
                  <pic:spPr bwMode="auto">
                    <a:xfrm>
                      <a:off x="0" y="0"/>
                      <a:ext cx="5334000" cy="4191691"/>
                    </a:xfrm>
                    <a:prstGeom prst="rect">
                      <a:avLst/>
                    </a:prstGeom>
                    <a:noFill/>
                    <a:ln w="9525">
                      <a:noFill/>
                      <a:headEnd/>
                      <a:tailEnd/>
                    </a:ln>
                  </pic:spPr>
                </pic:pic>
              </a:graphicData>
            </a:graphic>
          </wp:inline>
        </w:drawing>
      </w:r>
    </w:p>
    <w:p>
      <w:pPr>
        <w:pStyle w:val="BodyText"/>
      </w:pPr>
      <w:r>
        <w:drawing>
          <wp:inline>
            <wp:extent cx="5334000" cy="3668007"/>
            <wp:effectExtent b="0" l="0" r="0" t="0"/>
            <wp:docPr descr="" title="" id="90" name="Picture"/>
            <a:graphic>
              <a:graphicData uri="http://schemas.openxmlformats.org/drawingml/2006/picture">
                <pic:pic>
                  <pic:nvPicPr>
                    <pic:cNvPr descr="output/figures/other/pub_SI_ta_vs_salinity.png" id="91" name="Picture"/>
                    <pic:cNvPicPr>
                      <a:picLocks noChangeArrowheads="1" noChangeAspect="1"/>
                    </pic:cNvPicPr>
                  </pic:nvPicPr>
                  <pic:blipFill>
                    <a:blip r:embed="rId89"/>
                    <a:stretch>
                      <a:fillRect/>
                    </a:stretch>
                  </pic:blipFill>
                  <pic:spPr bwMode="auto">
                    <a:xfrm>
                      <a:off x="0" y="0"/>
                      <a:ext cx="5334000" cy="3668007"/>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total alkalinity against calculated DIC and against salinity, with conservative-mixing references (text S7). †</w:t>
      </w:r>
    </w:p>
    <w:p>
      <w:pPr>
        <w:pStyle w:val="BodyText"/>
      </w:pPr>
      <w:r>
        <w:drawing>
          <wp:inline>
            <wp:extent cx="5334000" cy="1778000"/>
            <wp:effectExtent b="0" l="0" r="0" t="0"/>
            <wp:docPr descr="" title="" id="93" name="Picture"/>
            <a:graphic>
              <a:graphicData uri="http://schemas.openxmlformats.org/drawingml/2006/picture">
                <pic:pic>
                  <pic:nvPicPr>
                    <pic:cNvPr descr="output/figures/other/pub_SI_salinity_vs_ch4_bysite.png" id="94" name="Picture"/>
                    <pic:cNvPicPr>
                      <a:picLocks noChangeArrowheads="1" noChangeAspect="1"/>
                    </pic:cNvPicPr>
                  </pic:nvPicPr>
                  <pic:blipFill>
                    <a:blip r:embed="rId92"/>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all sampling rounds. †</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fig_carbon_budget.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200400"/>
            <wp:effectExtent b="0" l="0" r="0" t="0"/>
            <wp:docPr descr="" title="" id="99" name="Picture"/>
            <a:graphic>
              <a:graphicData uri="http://schemas.openxmlformats.org/drawingml/2006/picture">
                <pic:pic>
                  <pic:nvPicPr>
                    <pic:cNvPr descr="output/gpp/plots/US-Skr_GPP_mean_diurnal_cycle.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w:t>
      </w:r>
    </w:p>
    <w:p>
      <w:pPr>
        <w:pStyle w:val="BodyText"/>
      </w:pPr>
      <w:r>
        <w:drawing>
          <wp:inline>
            <wp:extent cx="5334000" cy="3840480"/>
            <wp:effectExtent b="0" l="0" r="0" t="0"/>
            <wp:docPr descr="" title="" id="102" name="Picture"/>
            <a:graphic>
              <a:graphicData uri="http://schemas.openxmlformats.org/drawingml/2006/picture">
                <pic:pic>
                  <pic:nvPicPr>
                    <pic:cNvPr descr="output/figures/other/site_closure_comparison.png" id="103" name="Picture"/>
                    <pic:cNvPicPr>
                      <a:picLocks noChangeArrowheads="1" noChangeAspect="1"/>
                    </pic:cNvPicPr>
                  </pic:nvPicPr>
                  <pic:blipFill>
                    <a:blip r:embed="rId101"/>
                    <a:stretch>
                      <a:fillRect/>
                    </a:stretch>
                  </pic:blipFill>
                  <pic:spPr bwMode="auto">
                    <a:xfrm>
                      <a:off x="0" y="0"/>
                      <a:ext cx="5334000" cy="384048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Per-site closure: bottom-up stand CH4 and CO2 by site and campaign beside the airborne class values. †</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Allen, M. R. et al. A solution to the misrepresentations of CO2-equivalent emissions of short-lived climate pollutants under ambitious mitigation. npj Clim. Atmos. Sci. 1, 16 (2018). https://doi.org/10.1038/s41612-018-0026-8</w:t>
      </w:r>
    </w:p>
    <w:p>
      <w:pPr>
        <w:pStyle w:val="Compact"/>
        <w:numPr>
          <w:ilvl w:val="0"/>
          <w:numId w:val="1009"/>
        </w:numPr>
      </w:pPr>
      <w:r>
        <w:t xml:space="preserve">Atkin, O. K., Meir, P. &amp; Turnbull, M. H. Improving representation of leaf respiration in large-scale predictive climate–vegetation models. New Phytol. 202, 743–748 (2014). https://doi.org/10.1111/nph.12686</w:t>
      </w:r>
    </w:p>
    <w:p>
      <w:pPr>
        <w:pStyle w:val="Compact"/>
        <w:numPr>
          <w:ilvl w:val="0"/>
          <w:numId w:val="1009"/>
        </w:numPr>
      </w:pPr>
      <w:r>
        <w:t xml:space="preserve">Barr, J. G., Fuentes, J. D., Engel, V. &amp; Zieman, J. C. Physiological responses of red mangroves to the climate in the Florida Everglades. J. Geophys. Res. Biogeosci. 114, G02008 (2009). https://doi.org/10.1029/2008JG000843</w:t>
      </w:r>
    </w:p>
    <w:p>
      <w:pPr>
        <w:pStyle w:val="Compact"/>
        <w:numPr>
          <w:ilvl w:val="0"/>
          <w:numId w:val="1009"/>
        </w:numPr>
      </w:pPr>
      <w:r>
        <w:t xml:space="preserve">Bouillon, S. et al. Importance of intertidal sediment processes and porewater exchange on the water column biogeochemistry in a pristine mangrove creek (Ras Dege, Tanzania). Biogeosciences 4, 311–322 (2007). https://doi.org/10.5194/bg-4-311-2007</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Cabezas, A. et al. Methane emissions from mangrove soils in hydrologically disturbed and reference mangrove tidal creeks in southwest Florida. Ecol. Eng. 114, 57–65 (2018). https://doi.org/10.1016/j.ecoleng.2017.08.041</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 L. N. &amp; Mitsch, W. J. Estimating the effects of a hurricane on carbon storage in mangrove wetlands in Southwest Florida. Plants 10, 1749 (2021). https://doi.org/10.3390/plants10081749</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Huntingford, C. et al. Implications of improved representations of plant respiration in a changing climate. Nat. Commun. 8, 1602 (2017). https://doi.org/10.1038/s41467-017-01774-z [CHECK article number]</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 C.-W. et al. Flushing emissions of methane and carbon dioxide from mangrove soils during tidal cycles. Sci. Total Environ. 919, 170768 (2024). https://doi.org/10.1016/j.scitotenv.2024.170768</w:t>
      </w:r>
    </w:p>
    <w:p>
      <w:pPr>
        <w:pStyle w:val="Compact"/>
        <w:numPr>
          <w:ilvl w:val="0"/>
          <w:numId w:val="1009"/>
        </w:numPr>
      </w:pPr>
      <w:r>
        <w:t xml:space="preserve">Lovelock, C. E., Ruess, R. W. &amp; Feller, I. C. CO2 efflux from cleared mangrove peat. PLoS ONE 6, e21279 (2011). https://doi.org/10.1371/journal.pone.0021279</w:t>
      </w:r>
    </w:p>
    <w:p>
      <w:pPr>
        <w:pStyle w:val="Compact"/>
        <w:numPr>
          <w:ilvl w:val="0"/>
          <w:numId w:val="1009"/>
        </w:numPr>
      </w:pPr>
      <w:r>
        <w:t xml:space="preserve">Martin, R. M. et al. Greenhouse gas fluxes of mangrove soils and adjacent coastal waters in an urban, subtropical estuary. Wetlands 40, 1469–1480 (2020). https://doi.org/10.1007/s13157-020-01300-w</w:t>
      </w:r>
    </w:p>
    <w:p>
      <w:pPr>
        <w:pStyle w:val="Compact"/>
        <w:numPr>
          <w:ilvl w:val="0"/>
          <w:numId w:val="1009"/>
        </w:numPr>
      </w:pPr>
      <w:r>
        <w:t xml:space="preserve">Martinez, M. &amp; Ardón, M. Drivers of greenhouse gas emissions from standing dead trees in ghost forests. Biogeochemistry 154, 471–488 (2021). https://doi.org/10.1007/s10533-021-00797-5</w:t>
      </w:r>
    </w:p>
    <w:p>
      <w:pPr>
        <w:pStyle w:val="Compact"/>
        <w:numPr>
          <w:ilvl w:val="0"/>
          <w:numId w:val="1009"/>
        </w:numPr>
      </w:pPr>
      <w:r>
        <w:t xml:space="preserve">Osland, M. J. et al. A tropical cyclone-induced ecological regime shift: mangrove forest conversion to mudflat in Everglades National Park (Florida, USA). Wetlands 40, 1445–1458 (2020). https://doi.org/10.1007/s13157-020-01291-8</w:t>
      </w:r>
    </w:p>
    <w:p>
      <w:pPr>
        <w:pStyle w:val="Compact"/>
        <w:numPr>
          <w:ilvl w:val="0"/>
          <w:numId w:val="1009"/>
        </w:numPr>
      </w:pPr>
      <w:r>
        <w:t xml:space="preserve">Pacheco, C. F. et al. Soil greenhouse gas emissions from dead and natural mangrove forests in Southeastern Brazil. Mar. Pollut. Bull. 203, 116487 (2024). https://doi.org/10.1016/j.marpolbul.2024.116487</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9"/>
        </w:numPr>
      </w:pPr>
      <w:r>
        <w:t xml:space="preserve">Reed, D. et al. Resilience to hurricanes is high in mangrove blue carbon forests. Glob. Change Biol. 31, e70124 (2025). https://doi.org/10.1111/gcb.70124</w:t>
      </w:r>
    </w:p>
    <w:p>
      <w:pPr>
        <w:pStyle w:val="Compact"/>
        <w:numPr>
          <w:ilvl w:val="0"/>
          <w:numId w:val="1009"/>
        </w:numPr>
      </w:pPr>
      <w:r>
        <w:t xml:space="preserve">Reithmaier, G. M. S., Ho, D. T., Johnston, S. G. &amp; Maher, D. T. Mangroves as a source of greenhouse gases to the atmosphere and alkalinity and dissolved carbon to the coastal ocean: a case study from the Everglades National Park, Florida. J. Geophys. Res. Biogeosci. 125, e2020JG005812 (2020). https://doi.org/10.1029/2020JG005812</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Romero-Uribe, H. M., López-Portillo, J., Reverchon, F. &amp; Hernández, M. E. Effect of degradation of a black mangrove forest on seasonal greenhouse gas emissions. Environ. Sci. Pollut. Res. 29, 11951–11965 (2022). https://doi.org/10.1007/s11356-021-16597-1</w:t>
      </w:r>
    </w:p>
    <w:p>
      <w:pPr>
        <w:pStyle w:val="Compact"/>
        <w:numPr>
          <w:ilvl w:val="0"/>
          <w:numId w:val="1009"/>
        </w:numPr>
      </w:pPr>
      <w:r>
        <w:t xml:space="preserve">Salas-Rabaza, J. A. et al. Impacts of leaks and gas accumulation on closed chamber methods for measuring methane and carbon dioxide fluxes from tree stems. Sci. Total Environ. 904, 166358 (2023). https://doi.org/10.1016/j.scitotenv.2023.166358</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Sotomayor, D., Corredor, J. E. &amp; Morell, J. M. Methane flux from mangrove sediments along the southwestern coast of Puerto Rico. Estuaries 17, 140–147 (1994). https://doi.org/10.2307/1352563</w:t>
      </w:r>
    </w:p>
    <w:p>
      <w:pPr>
        <w:pStyle w:val="Compact"/>
        <w:numPr>
          <w:ilvl w:val="0"/>
          <w:numId w:val="1009"/>
        </w:numPr>
      </w:pPr>
      <w:r>
        <w:t xml:space="preserve">Stegehuis, A. I., Ho, D. T., Bopp, L. &amp; Guenet, B. Reduced carbon outflow from a Floridian mangrove estuary up to two years after a hurricane. Commun. Earth Environ. 7, 395 (2026). https://doi.org/10.1038/s43247-026-03249-w</w:t>
      </w:r>
    </w:p>
    <w:p>
      <w:pPr>
        <w:pStyle w:val="Compact"/>
        <w:numPr>
          <w:ilvl w:val="0"/>
          <w:numId w:val="1009"/>
        </w:numPr>
      </w:pPr>
      <w:r>
        <w:t xml:space="preserve">Sturchio, M. A. et al. Temperature acclimation of leaf respiration differs between marsh and mangrove vegetation in a coastal wetland ecotone. Glob. Change Biol. 28, 612–629 (2022). https://doi.org/10.1111/gcb.15938</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 R. Relationship between wind speed and gas exchange over the ocean revisited. Limnol. Oceanogr. Methods 12, 351–362 (2014). https://doi.org/10.4319/lom.2014.12.351</w:t>
      </w:r>
    </w:p>
    <w:p>
      <w:pPr>
        <w:pStyle w:val="Compact"/>
        <w:numPr>
          <w:ilvl w:val="0"/>
          <w:numId w:val="1009"/>
        </w:numPr>
      </w:pPr>
      <w:r>
        <w:t xml:space="preserve">Weiss, R. F. Carbon dioxide in water and seawater: the solubility of a non-ideal gas. Mar. Chem. 2, 203–215 (1974). https://doi.org/10.1016/0304-4203(74)90015-2</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 S. A. et al. Mitigating near-term climate change. Environ. Res. Lett. 18, 101002 (2023). https://doi.org/10.1088/1748-9326/acfdbd</w:t>
      </w:r>
    </w:p>
    <w:p>
      <w:pPr>
        <w:pStyle w:val="Compact"/>
        <w:numPr>
          <w:ilvl w:val="0"/>
          <w:numId w:val="1009"/>
        </w:numPr>
      </w:pPr>
      <w:r>
        <w:t xml:space="preserve">Yamamoto, S., Alcauskas, J. B. &amp; Crozier, T. E. Solubility of methane in distilled water and seawater. J. Chem. Eng. Data 21, 78–80 (1976). https://doi.org/10.1021/je60068a029</w:t>
      </w:r>
    </w:p>
    <w:p>
      <w:pPr>
        <w:pStyle w:val="Compact"/>
        <w:numPr>
          <w:ilvl w:val="0"/>
          <w:numId w:val="1009"/>
        </w:numPr>
      </w:pPr>
      <w:r>
        <w:t xml:space="preserve">Yong, Z.-J., Lin, W.-J., Lin, C.-W. &amp; Lin, H.-J. Tidal influence on carbon dioxide and methane fluxes from tree stems and soils in mangrove forests. Biogeosciences 21, 5247–5260 (2024). https://doi.org/10.5194/bg-21-5247-2024</w:t>
      </w:r>
    </w:p>
    <w:p>
      <w:pPr>
        <w:pStyle w:val="Compact"/>
        <w:numPr>
          <w:ilvl w:val="0"/>
          <w:numId w:val="1009"/>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 X. et al. Asynchronous methane and carbon dioxide fluxes drive temporal variability of mangrove blue carbon sequestration. Geophys. Res. Lett. 51, e2023GL107235 (2024). https://doi.org/10.1029/2023GL107235</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71" Target="media/rId71.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2" Target="media/rId9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2026-10-03T11:09:14Z</dcterms:created>
  <dcterms:modified xsi:type="dcterms:W3CDTF">2026-10-03T11:09:14Z</dcterms:modified>
</cp:coreProperties>
</file>

<file path=docProps/custom.xml><?xml version="1.0" encoding="utf-8"?>
<Properties xmlns="http://schemas.openxmlformats.org/officeDocument/2006/custom-properties" xmlns:vt="http://schemas.openxmlformats.org/officeDocument/2006/docPropsVTypes"/>
</file>