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(44, 45) to measure the area of each surface; the US-Skr eddy-covariance tower; CARAFE airborne eddy covariance (46, 47), which resolves intact and ghost mangrove fluxes across south Florida; and porewater chemistry and sediment metagenomes to identify mechanisms (Fig. 1D).</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S6).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Stems therefore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w:t>
      </w:r>
      <w:r>
        <w:t xml:space="preserve"> </w:t>
      </w:r>
      <w:r>
        <w:rPr>
          <w:i/>
          <w:iCs/>
        </w:rPr>
        <w:t xml:space="preserve">[PLACEHOLDER — terrestrial laser scans of intact (SRS6) and ghost (CP40) forest.]</w:t>
      </w:r>
      <w:r>
        <w:t xml:space="preserve"> </w:t>
      </w:r>
      <w:r>
        <w:t xml:space="preserve">(</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S9).</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Our ground sites are intensive process sites: few in number, chosen to resolve where and why emissions change, not to represent the region by themselves. Two lines of evidence support them. Sites within a class agreed with each other (intact SRS5 and SRS6; ghost CP40 and FLM30; table S3), and they agreed with independent measurements at larger scale.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A to C). Bottom-up intact CO2 uptake (−1,025 g C m−2 yr−1) matched the eddy-covariance tower over the same forest (−1,288 over the campaign months; −1,170 ± 127 in the long-term record (52)) (Fig. 3C). Chambers scaled by laser-scanned area and footprint-disaggregated airborne fluxes share no measurements, so their agreement does not depend on any one method’s assumptions. The airborne fluxes integrate intact and ghost mangrove along flight legs across south Florida (fig. S20), so the agreement also shows that our sites are representative of intact and ghost mangrove across the region. The climate numbers below come from the site budgets, which resolve every pathway; the airborne data establish that the intact–ghost contrast they describe holds across south Florida.</w:t>
      </w:r>
      <w:r>
        <w:t xml:space="preserve"> </w:t>
      </w:r>
      <w:r>
        <w:rPr>
          <w:i/>
          <w:iCs/>
        </w:rPr>
        <w:t xml:space="preserve">[PLACEHOLDER — airborne coverage: flight-leg footprint area over intact and ghost mangrove (km2) and the number of legs per class (E. Delaria).]</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5482166"/>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Ground replication is limited to two sites per class (one regenerating site), which is why we treat the ground sites as process sites and test their representativeness against the airborne class fluxes before scaling.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S19;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2026-10-04T08:43:05Z</dcterms:created>
  <dcterms:modified xsi:type="dcterms:W3CDTF">2026-10-04T08:43:05Z</dcterms:modified>
</cp:coreProperties>
</file>

<file path=docProps/custom.xml><?xml version="1.0" encoding="utf-8"?>
<Properties xmlns="http://schemas.openxmlformats.org/officeDocument/2006/custom-properties" xmlns:vt="http://schemas.openxmlformats.org/officeDocument/2006/docPropsVTypes"/>
</file>