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83.png" ContentType="image/png"/>
  <Override PartName="/word/media/rId92.png" ContentType="image/png"/>
  <Override PartName="/word/media/rId47.png" ContentType="image/png"/>
  <Override PartName="/word/media/rId59.png" ContentType="image/png"/>
  <Override PartName="/word/media/rId62.png" ContentType="image/png"/>
  <Override PartName="/word/media/rId89.png" ContentType="image/png"/>
  <Override PartName="/word/media/rId56.png" ContentType="image/png"/>
  <Override PartName="/word/media/rId65.png" ContentType="image/png"/>
  <Override PartName="/word/media/rId50.png" ContentType="image/png"/>
  <Override PartName="/word/media/rId80.png" ContentType="image/png"/>
  <Override PartName="/word/media/rId86.png" ContentType="image/png"/>
  <Override PartName="/word/media/rId71.png" ContentType="image/png"/>
  <Override PartName="/word/media/rId77.png" ContentType="image/png"/>
  <Override PartName="/word/media/rId98.png" ContentType="image/png"/>
  <Override PartName="/word/media/rId68.png" ContentType="image/png"/>
  <Override PartName="/word/media/rId53.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CO2 estimated marginal means by species and status are shown in fig. S6F.</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(component standard errors in fig. S10). For net forcing, canopy leaf respiration (Rd25 and LAI) and tower GPP dominate the intact interval and the CH4 budget dominates the ghost interval.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1"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5482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Stem CH4 (a–c) and CO2 (d–f) by height class and forest class: (a, d) density ridges; (b, e) individual measurements with box plots and means for groups with n &gt; 3; (c) fitted woody-surface CH4 height profiles by class ± 95% CI (live stem, flooded, wet season; M20); (f) CO2 estimated marginal means (95% CI) by species and live/dead status from a linear mixed-effects model (M20).</w:t>
      </w:r>
    </w:p>
    <w:p>
      <w:pPr>
        <w:pStyle w:val="BodyText"/>
      </w:pPr>
      <w:r>
        <w:drawing>
          <wp:inline>
            <wp:extent cx="5334000" cy="1852083"/>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drawing>
          <wp:inline>
            <wp:extent cx="5334000" cy="1926166"/>
            <wp:effectExtent b="0" l="0" r="0" t="0"/>
            <wp:docPr descr="" title="" id="72" name="Picture"/>
            <a:graphic>
              <a:graphicData uri="http://schemas.openxmlformats.org/drawingml/2006/picture">
                <pic:pic>
                  <pic:nvPicPr>
                    <pic:cNvPr descr="output/figures/other/si_S7b_extrap_sensitivity.png" id="73" name="Picture"/>
                    <pic:cNvPicPr>
                      <a:picLocks noChangeArrowheads="1" noChangeAspect="1"/>
                    </pic:cNvPicPr>
                  </pic:nvPicPr>
                  <pic:blipFill>
                    <a:blip r:embed="rId71"/>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by height with exponential-decay fits by forest class to positive fluxes up to 1.5 m (solid), extrapolated above it and clamped at zero (dashed; shaded zone); inverse-hyperbolic-sine axis. (b) Total plot CH4 (mg m−2 d−1) under six extrapolation rules by site and campaign, with non-stem components held constant and high tide at tidal sites; x axes differ by site.</w:t>
      </w:r>
    </w:p>
    <w:p>
      <w:pPr>
        <w:pStyle w:val="BodyText"/>
      </w:pPr>
      <w:r>
        <w:drawing>
          <wp:inline>
            <wp:extent cx="5334000" cy="2667000"/>
            <wp:effectExtent b="0" l="0" r="0" t="0"/>
            <wp:docPr descr="" title="" id="75" name="Picture"/>
            <a:graphic>
              <a:graphicData uri="http://schemas.openxmlformats.org/drawingml/2006/picture">
                <pic:pic>
                  <pic:nvPicPr>
                    <pic:cNvPr descr="output/figures/other/SA_by_segment_height_fixedY.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area (m2 per 0.5 m height bin per plot) by segment class (trunk, branch, prop root) for the four scanned plots; dashed line, 1.5 m chamber height limit.</w:t>
      </w:r>
    </w:p>
    <w:p>
      <w:pPr>
        <w:pStyle w:val="BodyText"/>
      </w:pPr>
      <w:r>
        <w:drawing>
          <wp:inline>
            <wp:extent cx="5334000" cy="2222500"/>
            <wp:effectExtent b="0" l="0" r="0" t="0"/>
            <wp:docPr descr="" title="" id="78" name="Picture"/>
            <a:graphic>
              <a:graphicData uri="http://schemas.openxmlformats.org/drawingml/2006/picture">
                <pic:pic>
                  <pic:nvPicPr>
                    <pic:cNvPr descr="output/figures/other/si_S9_tide_scenarios.png" id="79" name="Picture"/>
                    <pic:cNvPicPr>
                      <a:picLocks noChangeArrowheads="1" noChangeAspect="1"/>
                    </pic:cNvPicPr>
                  </pic:nvPicPr>
                  <pic:blipFill>
                    <a:blip r:embed="rId77"/>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Total plot CH4 by site and campaign at high and low tide (tidal sites) or non-tidal (ghost sites), under exponential or zero stem extrapolation above 1.5 m (text S2; table S10); log axis.</w:t>
      </w:r>
    </w:p>
    <w:p>
      <w:pPr>
        <w:pStyle w:val="BodyText"/>
      </w:pPr>
      <w:r>
        <w:drawing>
          <wp:inline>
            <wp:extent cx="5334000" cy="2518833"/>
            <wp:effectExtent b="0" l="0" r="0" t="0"/>
            <wp:docPr descr="" title="" id="81" name="Picture"/>
            <a:graphic>
              <a:graphicData uri="http://schemas.openxmlformats.org/drawingml/2006/picture">
                <pic:pic>
                  <pic:nvPicPr>
                    <pic:cNvPr descr="output/figures/other/si_S10_mc_uncertainty.png" id="82" name="Picture"/>
                    <pic:cNvPicPr>
                      <a:picLocks noChangeArrowheads="1" noChangeAspect="1"/>
                    </pic:cNvPicPr>
                  </pic:nvPicPr>
                  <pic:blipFill>
                    <a:blip r:embed="rId80"/>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standard error of each CH4 component (joint flux-rate and surface-area uncertainty) by site and campaign, at high tide for tidal sites; components with zero uncertainty omitted (text S4); log axis.</w:t>
      </w:r>
    </w:p>
    <w:p>
      <w:pPr>
        <w:pStyle w:val="BodyText"/>
      </w:pPr>
      <w:r>
        <w:drawing>
          <wp:inline>
            <wp:extent cx="5334000" cy="3852333"/>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2518833"/>
            <wp:effectExtent b="0" l="0" r="0" t="0"/>
            <wp:docPr descr="" title="" id="87" name="Picture"/>
            <a:graphic>
              <a:graphicData uri="http://schemas.openxmlformats.org/drawingml/2006/picture">
                <pic:pic>
                  <pic:nvPicPr>
                    <pic:cNvPr descr="output/figures/other/si_S12_carbonate.png" id="88" name="Picture"/>
                    <pic:cNvPicPr>
                      <a:picLocks noChangeArrowheads="1" noChangeAspect="1"/>
                    </pic:cNvPicPr>
                  </pic:nvPicPr>
                  <pic:blipFill>
                    <a:blip r:embed="rId86"/>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0–90 cm, surface water excluded). (a) Total alkalinity against DIC calculated from pH and alkalinity, with the 1:1 line (dashed) and least-squares fits by site. (b) Total alkalinity against salinity, with class regressions (95% CI), Pearson r and n by class, and a conservative-mixing reference (dashed; end-members salinity 0, 3,000 µM and salinity 35, 2,400 µM; text S7). Fill, forest class; shape, site.</w:t>
      </w:r>
    </w:p>
    <w:p>
      <w:pPr>
        <w:pStyle w:val="BodyText"/>
      </w:pPr>
      <w:r>
        <w:drawing>
          <wp:inline>
            <wp:extent cx="5334000" cy="1852083"/>
            <wp:effectExtent b="0" l="0" r="0" t="0"/>
            <wp:docPr descr="" title="" id="90" name="Picture"/>
            <a:graphic>
              <a:graphicData uri="http://schemas.openxmlformats.org/drawingml/2006/picture">
                <pic:pic>
                  <pic:nvPicPr>
                    <pic:cNvPr descr="output/figures/other/pub_SI_salinity_vs_ch4_bysite.png" id="91" name="Picture"/>
                    <pic:cNvPicPr>
                      <a:picLocks noChangeArrowheads="1" noChangeAspect="1"/>
                    </pic:cNvPicPr>
                  </pic:nvPicPr>
                  <pic:blipFill>
                    <a:blip r:embed="rId89"/>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(site × round × depth means, including surface water) for the three sampling rounds (October 2022, March 2023, October 2025). Fill, forest class; shape, round; CH4 on a log(1 + x) axis.</w:t>
      </w:r>
    </w:p>
    <w:p>
      <w:pPr>
        <w:pStyle w:val="BodyText"/>
      </w:pPr>
      <w:r>
        <w:drawing>
          <wp:inline>
            <wp:extent cx="5334000" cy="4741333"/>
            <wp:effectExtent b="0" l="0" r="0" t="0"/>
            <wp:docPr descr="" title="" id="93" name="Picture"/>
            <a:graphic>
              <a:graphicData uri="http://schemas.openxmlformats.org/drawingml/2006/picture">
                <pic:pic>
                  <pic:nvPicPr>
                    <pic:cNvPr descr="output/figures/other/fig_carbon_budget.png" id="94" name="Picture"/>
                    <pic:cNvPicPr>
                      <a:picLocks noChangeArrowheads="1" noChangeAspect="1"/>
                    </pic:cNvPicPr>
                  </pic:nvPicPr>
                  <pic:blipFill>
                    <a:blip r:embed="rId92"/>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budget schematic (as Fig. 5A)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657600"/>
            <wp:effectExtent b="0" l="0" r="0" t="0"/>
            <wp:docPr descr="" title="" id="96" name="Picture"/>
            <a:graphic>
              <a:graphicData uri="http://schemas.openxmlformats.org/drawingml/2006/picture">
                <pic:pic>
                  <pic:nvPicPr>
                    <pic:cNvPr descr="output/gpp/plots/US-Skr_GPP_mean_diurnal_cycle.png" id="97" name="Picture"/>
                    <pic:cNvPicPr>
                      <a:picLocks noChangeArrowheads="1" noChangeAspect="1"/>
                    </pic:cNvPicPr>
                  </pic:nvPicPr>
                  <pic:blipFill>
                    <a:blip r:embed="rId95"/>
                    <a:stretch>
                      <a:fillRect/>
                    </a:stretch>
                  </pic:blipFill>
                  <pic:spPr bwMode="auto">
                    <a:xfrm>
                      <a:off x="0" y="0"/>
                      <a:ext cx="5334000" cy="36576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Lines, monthly mean half-hourly GPP; ribbons, mean bootstrap 95% interval (partitioning-parameter uncertainty); local standard time.</w:t>
      </w:r>
    </w:p>
    <w:p>
      <w:pPr>
        <w:pStyle w:val="BodyText"/>
      </w:pPr>
      <w:r>
        <w:drawing>
          <wp:inline>
            <wp:extent cx="5334000" cy="4741333"/>
            <wp:effectExtent b="0" l="0" r="0" t="0"/>
            <wp:docPr descr="" title="" id="99" name="Picture"/>
            <a:graphic>
              <a:graphicData uri="http://schemas.openxmlformats.org/drawingml/2006/picture">
                <pic:pic>
                  <pic:nvPicPr>
                    <pic:cNvPr descr="output/figures/other/site_closure_comparison.png" id="100" name="Picture"/>
                    <pic:cNvPicPr>
                      <a:picLocks noChangeArrowheads="1" noChangeAspect="1"/>
                    </pic:cNvPicPr>
                  </pic:nvPicPr>
                  <pic:blipFill>
                    <a:blip r:embed="rId9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1"/>
    <w:bookmarkStart w:id="102"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2"/>
    <w:bookmarkStart w:id="103"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3"/>
    <w:bookmarkStart w:id="104"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2026-10-03T19:29:46Z</dcterms:created>
  <dcterms:modified xsi:type="dcterms:W3CDTF">2026-10-03T19:29:46Z</dcterms:modified>
</cp:coreProperties>
</file>

<file path=docProps/custom.xml><?xml version="1.0" encoding="utf-8"?>
<Properties xmlns="http://schemas.openxmlformats.org/officeDocument/2006/custom-properties" xmlns:vt="http://schemas.openxmlformats.org/officeDocument/2006/docPropsVTypes"/>
</file>