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to E). Bottom-up intact CO2 uptake (−1,025 g C m−2 yr−1) matched the eddy-covariance tower over the same forest (−1,288 over the campaign months; −1,170 ± 127 in the long-term record (52)) (Fig. 3E).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in the wet (October 2022) and dry (March 2023) campaigns. (</w:t>
      </w:r>
      <w:r>
        <w:rPr>
          <w:b/>
          <w:bCs/>
        </w:rPr>
        <w:t xml:space="preserve">C</w:t>
      </w:r>
      <w:r>
        <w:t xml:space="preserve">) Airborne CH4 and midday CO2 for intact and ghost forest by deployment</w:t>
      </w:r>
      <w:r>
        <w:t xml:space="preserve"> </w:t>
      </w:r>
      <w:r>
        <w:rPr>
          <w:i/>
          <w:iCs/>
        </w:rPr>
        <w:t xml:space="preserve">[July 2024 pending]</w:t>
      </w:r>
      <w:r>
        <w:t xml:space="preserve">. Stand (</w:t>
      </w:r>
      <w:r>
        <w:rPr>
          <w:b/>
          <w:bCs/>
        </w:rPr>
        <w:t xml:space="preserve">D</w:t>
      </w:r>
      <w:r>
        <w:t xml:space="preserve">) CH4 and (</w:t>
      </w:r>
      <w:r>
        <w:rPr>
          <w:b/>
          <w:bCs/>
        </w:rPr>
        <w:t xml:space="preserve">E</w:t>
      </w:r>
      <w:r>
        <w:t xml:space="preserve">) CO2 by campaign and annually (mean of the wet and dry campaigns), stacked by component, with bottom-up totals (diamonds; Monte Carlo 95% intervals), airborne (triangles; ±1.96 SE) and tower (squares) estimates; shaded green in E, tower GPP.</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2026-10-03T21:44:37Z</dcterms:created>
  <dcterms:modified xsi:type="dcterms:W3CDTF">2026-10-03T21:44:37Z</dcterms:modified>
</cp:coreProperties>
</file>

<file path=docProps/custom.xml><?xml version="1.0" encoding="utf-8"?>
<Properties xmlns="http://schemas.openxmlformats.org/officeDocument/2006/custom-properties" xmlns:vt="http://schemas.openxmlformats.org/officeDocument/2006/docPropsVTypes"/>
</file>