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to complete (Yale School of the Environment; Yale Center for Natural Carbon Capture; University of Maryland; East Carolina University and Coastal Studies Institute; NASA Goddard Space Flight Center; Southern Cross University; Utah State University; Spark Climate Solutions; Stanford). Corresponding author: J. Gewirtzman.]</w:t>
      </w:r>
    </w:p>
    <w:p>
      <w:pPr>
        <w:pStyle w:val="BodyText"/>
      </w:pPr>
      <w:r>
        <w:rPr>
          <w:i/>
          <w:iCs/>
        </w:rPr>
        <w:t xml:space="preserve">Draft for Science (Research Article: ≤3,000-word main text, ≤5 display items, ~50 references; Materials and Methods in the supplementary materials). Citations are reference keys in braces, defined in manuscript/references.md, numbered by manuscript/build_docx.py. Figures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pPr>
        <w:pStyle w:val="BodyText"/>
      </w:pPr>
      <w:r>
        <w:rPr>
          <w:i/>
          <w:iCs/>
        </w:rPr>
        <w:t xml:space="preserve">[~120 words]</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 offsets to carbon burial are far smaller in saline than in freshwater mangrove soils (~7% vs ~27%) (13), and the IPCC 2013 Wetlands Supplement sets mangrove methane to zero above 18 PSU (15). Blue-carbon crediting methodologies assign only small default soil emission factors at these salinities (0.56–1.1 g CH4 m−2 yr−1 above 18–20 ppt) (16).</w:t>
      </w:r>
    </w:p>
    <w:p>
      <w:pPr>
        <w:pStyle w:val="BodyText"/>
      </w:pPr>
      <w:r>
        <w:t xml:space="preserve">Two lines of evidence challenge that view. First, the framework rests mainly on soil measurements, yet methane also leaves wetlands through tidal water, prop roots, stems and dead wood (9, 17–19), and some woody surfaces even take methane up (20).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(21), so salinity need not suppress methane.</w:t>
      </w:r>
    </w:p>
    <w:p>
      <w:pPr>
        <w:pStyle w:val="BodyText"/>
      </w:pPr>
      <w:r>
        <w:t xml:space="preserve">Mangroves are also increasingly killed. Tropical cyclones, sea-level rise and drought have caused widespread mangrove mortality (22–24). Cyclones defoliate canopies, kill root systems and pond water behind fallen wood, leaving standing</w:t>
      </w:r>
      <w:r>
        <w:t xml:space="preserve"> </w:t>
      </w:r>
      <w:r>
        <w:t xml:space="preserve">“ghost forests”</w:t>
      </w:r>
      <w:r>
        <w:t xml:space="preserve"> </w:t>
      </w:r>
      <w:r>
        <w:t xml:space="preserve">that can persist for years (23, 25). Loss of root oxygen transport, a pulse of dead biomass and persistent flooding should all favour methane. Limited observations agree: creek methane rose 45% after a dieback in the Gulf of Mexico (26), and dead mangrove stems emitted eight times more methane than living ones in Australia (17). But no study has resolved how mortality changes each emission pathway, checked those changes against an ecosystem-scale measurement, or asked whether mortality changes the net radiative balance. With the proportion of intense cyclones rising (27), this is a question about a growing climate feedback.</w:t>
      </w:r>
    </w:p>
    <w:p>
      <w:pPr>
        <w:pStyle w:val="BodyText"/>
      </w:pPr>
      <w:r>
        <w:t xml:space="preserve">As part of NASA’s BlueFlux campaign (28), we measured methane and CO2 across a hurricane-disturbance gradient in the Florida coastal Everglades, where Hurricane Irma (September 2017) left extensive ghost forest (23) (Fig. 1). We combined chambers on six surfaces (water, soil, prop roots, stems, downed wood and leaves) at intact, regenerating and ghost sites in wet- and dry-season campaigns; terrestrial laser scanning (TLS) (29, 30) to measure the area of each surface; the US-Skr eddy-covariance tower and CARAFE airborne eddy covariance (31, 32) as independent checks; and porewater chemistry and sediment metagenomes to identify mechanisms (Fig. 1C).</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(41),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S4).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2C). Most woody surface lies far above the water line, where flux is lowest (Fig. 2F). Stems therefore contributed &lt;1% of stand methane in both intact and ghost forest, whereas the dense prop-root zone of intact red-mangrove forest contributed ~28% (Fig. 3A). This bears directly on the recent global estimate that mangrove stems emit ~730 Gg CH4 yr−1 (9), which has been questioned for leaning on a few extreme values and on soil flux as a predictor (33).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That is far above the zero that Tier-1 factors assign at these salinities (15) and above the crediting default for porewater above 20 ppt (16),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(34). Ghost forest emitted 11.9 g CH4 m−2 yr−1, eight times more, ~87% of it through flooded water surfaces (Fig. 3, A and D).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S7).</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Rates were also setting-dependent: a ghost site in the Ten Thousand Islands emitted an order of magnitude less than the Everglades ghost sites, whereas an additional intact site matched the core intact class (Supplementary Text S8).</w:t>
      </w:r>
    </w:p>
    <w:p>
      <w:pPr>
        <w:pStyle w:val="BodyText"/>
      </w:pPr>
      <w:r>
        <w:t xml:space="preserve">Two independent measurements check these budgets. Airborne eddy covariance, disaggregated to intact and ghost forest (32, 35, 36), agreed with the chamber budgets within uncertainty in both seasons. It ranked ghost above intact methane in the wet season (airborne 51 ± 27 vs 29 ± 16 nmol m−2 s−1; chambers 36 vs 4) and matched net CO2 exchange in sign and magnitude (Fig. 3, C, E and F). Bottom-up intact CO2 uptake (−1,025 g C m−2 yr−1) matched the long-term tower estimate for the same forest (−1,170 ± 127) (37) (Fig. 3D).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(37).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(38),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(21).</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(−3,755 g CO2 m−2 yr−1) dwarfed its methane emission (+121 g CO2-eq at GWP20), which offset 3% of it (Fig. 5A). Ghost forest was a net source (+2,775 g CO2-eq m−2 yr−1 at GWP20; +2,141 at GWP100). Losing the canopy turned its CO2 balance positive, and methane supplied 35% of its warming at GWP20 (16% at GWP100; 42% with the flow-based GWP* (39)). Mortality therefore switched the radiative balance by ~6,400 g CO2-eq m−2 yr−1 at GWP20 (~5,800 at GWP100). Most of that switch is lost CO2 uptake; methane is what turns the lost sink into a source. Monte Carlo intervals for the two states did not overlap (intact −5,233 to −1,939; ghost +1,922 to +3,978 g CO2-eq m−2 yr−1).</w:t>
      </w:r>
    </w:p>
    <w:p>
      <w:pPr>
        <w:pStyle w:val="BodyText"/>
      </w:pPr>
      <w:r>
        <w:t xml:space="preserve">The switch is robust to how the intact sink is defined. Mangroves export part of their fixed carbon to tidal waters, so the carbon an intact forest retains is smaller than its net CO2 uptake. Counting exported alkalinity as a durable ocean store and the rest as returned to the atmosphere (40), the intact sink shrinks to ~−2,700 g CO2-eq m−2 yr−1 and the switch remains ~5,500 (fig. S9).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(41), 173 km2 of mangrove showed little recovery, 95% of it after Irma, mainly in northern Cuba and south Florida (Fig. 5C). At the measured per-area switch, this loss adds ~1.1 Tg CO2-eq yr−1 at GWP20 (0.7–1.6; 1.0 at GWP100), including 1.8 Gg CH4 yr−1 of induced methane (Fig. 5B). Our ghost sites showed no canopy recovery five to six years after landfall, so this forcing recurs each year until stands recover. The estimate is conservative. The map captures only 60 of the 108 km2 of post-Irma dieback in Florida (23), and it omits peat collapse after root death (42) and the lateral losses of ghost forest.</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(41)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(15, 16).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and it persisted in standing dead stems, which lose active root-driven transport but keep a passive pathway and a decomposing source. Per-area stem emission in ghost forest was ~40 times that of intact forest, matching the eightfold rise in dead mangrove stems elsewhere (17) in direction if not magnitude, yet stems stayed below 1% of both stand budgets because little bark sits near the water line. Per-area rates and stand contributions must therefore be kept distinct, and stem fluxes scaled by measured bark area and height rather than extrapolated from soil fluxes (9, 33).</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and the proportion of intense cyclones is projected to rise (27). Because recovery restores the sink, the feedback strengthens the case for conserving intact mangrove and restoring damaged stands. Where impounded, hypersaline water persists, as at our ghost sites, restoring tidal exchange may favour recruitment (43). But the regenerating stand still emitted as much methane as ghost forest, so the methane benefit of restoration should be measured rather than assumed. Blue-carbon crediting should carry both an accurate methane baseline and a permanence-risk term for disturbance.</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[Main-text word count: see build output]</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Bunting, P. et al. Global Mangrove Extent Change 1996–2020: Global Mangrove Watch Version 3.0. Remote Sens. 14, 3657 (2022). https://doi.org/10.3390/rs14153657</w:t>
      </w:r>
    </w:p>
    <w:p>
      <w:pPr>
        <w:pStyle w:val="Compact"/>
        <w:numPr>
          <w:ilvl w:val="0"/>
          <w:numId w:val="1001"/>
        </w:numPr>
      </w:pPr>
      <w:r>
        <w:t xml:space="preserve">Rovai, A. S. et al. Global controls on carbon storage in mangrove soils. Nat. Clim. Change 8, 534–538 (2018). https://doi.org/10.1038/s41558-018-0162-5</w:t>
      </w:r>
    </w:p>
    <w:p>
      <w:pPr>
        <w:pStyle w:val="Compact"/>
        <w:numPr>
          <w:ilvl w:val="0"/>
          <w:numId w:val="1001"/>
        </w:numPr>
      </w:pPr>
      <w:r>
        <w:t xml:space="preserve">Kauffman, J. B. et al. Total ecosystem carbon stocks of mangroves across broad global environmental and physical gradients. Ecol. Monogr. 90, e01405 (2020). https://doi.org/10.1002/ecm.1405</w:t>
      </w:r>
    </w:p>
    <w:p>
      <w:pPr>
        <w:pStyle w:val="Compact"/>
        <w:numPr>
          <w:ilvl w:val="0"/>
          <w:numId w:val="1001"/>
        </w:numPr>
      </w:pPr>
      <w:r>
        <w:t xml:space="preserve">Breithaupt, J. L. &amp; Steinmuller, H. E. Refining the global estimate of mangrove carbon burial rates using sedimentary and geomorphic settings. Geophys. Res. Lett. 49, e2022GL100177 (2022). https://doi.org/10.1029/2022gl100177</w:t>
      </w:r>
    </w:p>
    <w:p>
      <w:pPr>
        <w:pStyle w:val="Compact"/>
        <w:numPr>
          <w:ilvl w:val="0"/>
          <w:numId w:val="1001"/>
        </w:numPr>
      </w:pPr>
      <w:r>
        <w:t xml:space="preserve">Macreadie, P. I. et al. Blue carbon as a natural climate solution. Nat. Rev. Earth Environ. 2, 826–839 (2021). https://doi.org/10.1038/s43017-021-00224-1</w:t>
      </w:r>
    </w:p>
    <w:p>
      <w:pPr>
        <w:pStyle w:val="Compact"/>
        <w:numPr>
          <w:ilvl w:val="0"/>
          <w:numId w:val="1001"/>
        </w:numPr>
      </w:pPr>
      <w:r>
        <w:t xml:space="preserve">Macreadie, P. I. et al. The future of Blue Carbon science. Nat. Commun. 10, 3998 (2019). https://doi.org/10.1038/s41467-019-11693-w</w:t>
      </w:r>
    </w:p>
    <w:p>
      <w:pPr>
        <w:pStyle w:val="Compact"/>
        <w:numPr>
          <w:ilvl w:val="0"/>
          <w:numId w:val="1001"/>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1"/>
        </w:numPr>
      </w:pPr>
      <w:r>
        <w:t xml:space="preserve">Rosentreter, J. A., Maher, D. T., Erler, D. V., Murray, R. H. &amp; Eyre, B. D. Methane emissions partially offset</w:t>
      </w:r>
      <w:r>
        <w:t xml:space="preserve"> </w:t>
      </w:r>
      <w:r>
        <w:t xml:space="preserve">“blue carbon”</w:t>
      </w:r>
      <w:r>
        <w:t xml:space="preserve"> </w:t>
      </w:r>
      <w:r>
        <w:t xml:space="preserve">burial in mangroves. Sci. Adv. 4, eaao4985 (2018). https://doi.org/10.1126/sciadv.aao4985</w:t>
      </w:r>
    </w:p>
    <w:p>
      <w:pPr>
        <w:pStyle w:val="Compact"/>
        <w:numPr>
          <w:ilvl w:val="0"/>
          <w:numId w:val="1001"/>
        </w:numPr>
      </w:pPr>
      <w:r>
        <w:t xml:space="preserve">Qin, G. et al. Mangrove sediment carbon burial offset by methane emissions from mangrove tree stems. Nat. Geosci. 18, 1224–1231 (2025). https://doi.org/10.1038/s41561-025-01848-4</w:t>
      </w:r>
    </w:p>
    <w:p>
      <w:pPr>
        <w:pStyle w:val="Compact"/>
        <w:numPr>
          <w:ilvl w:val="0"/>
          <w:numId w:val="1001"/>
        </w:numPr>
      </w:pPr>
      <w:r>
        <w:t xml:space="preserve">Burdige, D. J. Estuarine and coastal sediments – coupled biogeochemical cycling. In Treatise on Estuarine and Coastal Science, 279–316 (2012).</w:t>
      </w:r>
    </w:p>
    <w:p>
      <w:pPr>
        <w:pStyle w:val="Compact"/>
        <w:numPr>
          <w:ilvl w:val="0"/>
          <w:numId w:val="1001"/>
        </w:numPr>
      </w:pPr>
      <w:r>
        <w:t xml:space="preserve">Martens, C. S. &amp; Berner, R. A. Methane production in the interstitial waters of sulfate-depleted marine sediments. Science 185, 1167–1169 (1974).</w:t>
      </w:r>
    </w:p>
    <w:p>
      <w:pPr>
        <w:pStyle w:val="Compact"/>
        <w:numPr>
          <w:ilvl w:val="0"/>
          <w:numId w:val="1001"/>
        </w:numPr>
      </w:pPr>
      <w:r>
        <w:t xml:space="preserve">Weston, N. B., Dixon, R. E. &amp; Joye, S. B. Ramifications of increased salinity in tidal freshwater sediments: geochemistry and microbial pathways of organic matter mineralization. J. Geophys. Res. Biogeosci. 111, G01009 (2006). https://doi.org/10.1029/2005jg000071</w:t>
      </w:r>
    </w:p>
    <w:p>
      <w:pPr>
        <w:pStyle w:val="Compact"/>
        <w:numPr>
          <w:ilvl w:val="0"/>
          <w:numId w:val="1001"/>
        </w:numPr>
      </w:pPr>
      <w:r>
        <w:t xml:space="preserve">Cotovicz, L. C. et al. Methane oxidation minimizes emissions and offsets to carbon burial in mangroves. Nat. Clim. Change 14, 275–281 (2024). https://doi.org/10.1038/s41558-024-01927-1</w:t>
      </w:r>
    </w:p>
    <w:p>
      <w:pPr>
        <w:pStyle w:val="Compact"/>
        <w:numPr>
          <w:ilvl w:val="0"/>
          <w:numId w:val="1001"/>
        </w:numPr>
      </w:pPr>
      <w:r>
        <w:t xml:space="preserve">Bartlett, K. B., Bartlett, D. S., Harriss, R. C. &amp; Sebacher, D. I. Methane emissions along a salt marsh salinity gradient. Biogeochemistry 4, 183–202 (1987).</w:t>
      </w:r>
    </w:p>
    <w:p>
      <w:pPr>
        <w:pStyle w:val="Compact"/>
        <w:numPr>
          <w:ilvl w:val="0"/>
          <w:numId w:val="1001"/>
        </w:numPr>
      </w:pPr>
      <w:r>
        <w:t xml:space="preserve">IPCC. 2013 Supplement to the 2006 IPCC Guidelines for National Greenhouse Gas Inventories: Wetlands (IPCC, Switzerland, 2014).</w:t>
      </w:r>
    </w:p>
    <w:p>
      <w:pPr>
        <w:pStyle w:val="Compact"/>
        <w:numPr>
          <w:ilvl w:val="0"/>
          <w:numId w:val="1001"/>
        </w:numPr>
      </w:pPr>
      <w:r>
        <w:t xml:space="preserve">Verra. VM0033 Methodology for Tidal Wetland and Seagrass Restoration, v2.1 (Verified Carbon Standard, 2023).</w:t>
      </w:r>
    </w:p>
    <w:p>
      <w:pPr>
        <w:pStyle w:val="Compact"/>
        <w:numPr>
          <w:ilvl w:val="0"/>
          <w:numId w:val="1001"/>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1"/>
        </w:numPr>
      </w:pPr>
      <w:r>
        <w:t xml:space="preserve">Rosentreter, J. A. et al. Half of global methane emissions come from highly variable aquatic ecosystem sources. Nat. Geosci. 14, 225–230 (2021). https://doi.org/10.1038/s41561-021-00715-2</w:t>
      </w:r>
    </w:p>
    <w:p>
      <w:pPr>
        <w:pStyle w:val="Compact"/>
        <w:numPr>
          <w:ilvl w:val="0"/>
          <w:numId w:val="1001"/>
        </w:numPr>
      </w:pPr>
      <w:r>
        <w:t xml:space="preserve">Call, M. et al. Spatial and temporal variability of carbon dioxide and methane fluxes over semi-diurnal and spring–neap–spring timescales in a mangrove creek. Geochim. Cosmochim. Acta 150, 211–225 (2015). https://doi.org/10.1016/j.gca.2014.11.023</w:t>
      </w:r>
    </w:p>
    <w:p>
      <w:pPr>
        <w:pStyle w:val="Compact"/>
        <w:numPr>
          <w:ilvl w:val="0"/>
          <w:numId w:val="1001"/>
        </w:numPr>
      </w:pPr>
      <w:r>
        <w:t xml:space="preserve">Gauci, V. et al. Global atmospheric methane uptake by upland tree woody surfaces. Nature 631, 796–800 (2024). https://doi.org/10.1038/s41586-024-07592-w</w:t>
      </w:r>
    </w:p>
    <w:p>
      <w:pPr>
        <w:pStyle w:val="Compact"/>
        <w:numPr>
          <w:ilvl w:val="0"/>
          <w:numId w:val="1001"/>
        </w:numPr>
      </w:pPr>
      <w:r>
        <w:t xml:space="preserve">[CITE: methylotrophic methanogenesis from noncompetitive substrates (methylamines, methanol) in sulfate-rich and hypersaline sediments — e.g., Oremland &amp; Polcin 1982; Zhuang et al. 2016; to choose]</w:t>
      </w:r>
    </w:p>
    <w:p>
      <w:pPr>
        <w:pStyle w:val="Compact"/>
        <w:numPr>
          <w:ilvl w:val="0"/>
          <w:numId w:val="1001"/>
        </w:numPr>
      </w:pPr>
      <w:r>
        <w:t xml:space="preserve">Sippo, J. Z., Lovelock, C. E., Santos, I. R., Sanders, C. J. &amp; Maher, D. T. Mangrove mortality in a changing climate: an overview. Estuar. Coast. Shelf Sci. 215, 241–249 (2018). https://doi.org/10.1016/j.ecss.2018.10.011</w:t>
      </w:r>
    </w:p>
    <w:p>
      <w:pPr>
        <w:pStyle w:val="Compact"/>
        <w:numPr>
          <w:ilvl w:val="0"/>
          <w:numId w:val="1001"/>
        </w:numPr>
      </w:pPr>
      <w:r>
        <w:t xml:space="preserve">Lagomasino, D. et al. Storm surge and ponding explain mangrove dieback in southwest Florida following Hurricane Irma. Nat. Commun. 12, 4003 (2021). https://doi.org/10.1038/s41467-021-24253-y</w:t>
      </w:r>
    </w:p>
    <w:p>
      <w:pPr>
        <w:pStyle w:val="Compact"/>
        <w:numPr>
          <w:ilvl w:val="0"/>
          <w:numId w:val="1001"/>
        </w:numPr>
      </w:pPr>
      <w:r>
        <w:t xml:space="preserve">Saintilan, N. et al. Widespread retreat of coastal habitat is likely at warming levels above 1.5 °C. Nature 621, 112–119 (2023). https://doi.org/10.1038/s41586-023-06448-z</w:t>
      </w:r>
    </w:p>
    <w:p>
      <w:pPr>
        <w:pStyle w:val="Compact"/>
        <w:numPr>
          <w:ilvl w:val="0"/>
          <w:numId w:val="1001"/>
        </w:numPr>
      </w:pPr>
      <w:r>
        <w:t xml:space="preserve">[CITE: post-hurricane ghost-forest persistence in the Everglades — e.g., Smith et al. 2009 / Radabaugh et al. 2020; to choose]</w:t>
      </w:r>
    </w:p>
    <w:p>
      <w:pPr>
        <w:pStyle w:val="Compact"/>
        <w:numPr>
          <w:ilvl w:val="0"/>
          <w:numId w:val="1001"/>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1"/>
        </w:numPr>
      </w:pPr>
      <w:r>
        <w:t xml:space="preserve">Seneviratne, S. I. et al. Weather and climate extreme events in a changing climate. In Climate Change 2021: The Physical Science Basis. Contribution of Working Group I to the Sixth Assessment Report of the IPCC, 1513–1766 (Cambridge Univ. Press, 2021). https://doi.org/10.1017/9781009157896.013</w:t>
      </w:r>
    </w:p>
    <w:p>
      <w:pPr>
        <w:pStyle w:val="Compact"/>
        <w:numPr>
          <w:ilvl w:val="0"/>
          <w:numId w:val="1001"/>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1"/>
        </w:numPr>
      </w:pPr>
      <w:r>
        <w:t xml:space="preserve">Calders, K. et al. 3D imaging insights into forests and coral reefs. Trends Ecol. Evol. 35, 6–9 (2020). https://doi.org/10.1016/j.tree.2019.10.004</w:t>
      </w:r>
    </w:p>
    <w:p>
      <w:pPr>
        <w:pStyle w:val="Compact"/>
        <w:numPr>
          <w:ilvl w:val="0"/>
          <w:numId w:val="1001"/>
        </w:numPr>
      </w:pPr>
      <w:r>
        <w:t xml:space="preserve">Maeda, E. E. et al. Expanding forest research with terrestrial LiDAR technology. Nat. Commun. 16, 8853 (2025). https://doi.org/10.1038/s41467-025-63946-6</w:t>
      </w:r>
    </w:p>
    <w:p>
      <w:pPr>
        <w:pStyle w:val="Compact"/>
        <w:numPr>
          <w:ilvl w:val="0"/>
          <w:numId w:val="1001"/>
        </w:numPr>
      </w:pPr>
      <w:r>
        <w:t xml:space="preserve">Wolfe, G. M. et al. The NASA Carbon Airborne Flux Experiment (CARAFE): instrumentation and methodology. Atmos. Meas. Tech. 11, 1757–1776 (2018). https://doi.org/10.5194/amt-11-1757-2018</w:t>
      </w:r>
    </w:p>
    <w:p>
      <w:pPr>
        <w:pStyle w:val="Compact"/>
        <w:numPr>
          <w:ilvl w:val="0"/>
          <w:numId w:val="1001"/>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1"/>
        </w:numPr>
      </w:pPr>
      <w:r>
        <w:t xml:space="preserve">Maher, D. et al. Matters Arising: critical methodological flaws in Qin et al. (2025)</w:t>
      </w:r>
      <w:r>
        <w:t xml:space="preserve"> </w:t>
      </w:r>
      <w:r>
        <w:t xml:space="preserve">“Mangrove sediment carbon burial offset by methane emissions from mangrove tree stems”</w:t>
      </w:r>
      <w:r>
        <w:t xml:space="preserve">. EarthArXiv preprint (2025). https://doi.org/10.31223/X5XB3C</w:t>
      </w:r>
    </w:p>
    <w:p>
      <w:pPr>
        <w:pStyle w:val="Compact"/>
        <w:numPr>
          <w:ilvl w:val="0"/>
          <w:numId w:val="1001"/>
        </w:numPr>
      </w:pPr>
      <w:r>
        <w:t xml:space="preserve">Liu, J. et al. Methane emissions reduce the radiative cooling effect of a subtropical estuarine mangrove wetland by half. Glob. Change Biol. 26, 4998–5016 (2020). https://doi.org/10.1111/gcb.15247</w:t>
      </w:r>
    </w:p>
    <w:p>
      <w:pPr>
        <w:pStyle w:val="Compact"/>
        <w:numPr>
          <w:ilvl w:val="0"/>
          <w:numId w:val="1001"/>
        </w:numPr>
      </w:pPr>
      <w:r>
        <w:t xml:space="preserve">Hutjes, R. W. A. et al. Dis-aggregation of airborne flux measurements using footprint analysis. Agric. For. Meteorol. 150, 966–983 (2010). https://doi.org/10.1016/j.agrformet.2010.03.004</w:t>
      </w:r>
    </w:p>
    <w:p>
      <w:pPr>
        <w:pStyle w:val="Compact"/>
        <w:numPr>
          <w:ilvl w:val="0"/>
          <w:numId w:val="1001"/>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1"/>
        </w:numPr>
      </w:pPr>
      <w:r>
        <w:t xml:space="preserve">Barr, J. G. et al. Controls on mangrove forest-atmosphere carbon dioxide exchanges in western Everglades National Park. J. Geophys. Res. Biogeosci. 115, G02020 (2010). https://doi.org/10.1029/2009JG001186</w:t>
      </w:r>
    </w:p>
    <w:p>
      <w:pPr>
        <w:pStyle w:val="Compact"/>
        <w:numPr>
          <w:ilvl w:val="0"/>
          <w:numId w:val="1001"/>
        </w:numPr>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p>
      <w:pPr>
        <w:pStyle w:val="Compact"/>
        <w:numPr>
          <w:ilvl w:val="0"/>
          <w:numId w:val="1001"/>
        </w:numPr>
      </w:pPr>
      <w:r>
        <w:t xml:space="preserve">Smith, M. A., Cain, M. &amp; Allen, M. R. Further improvement of warming-equivalent emissions calculation. npj Clim. Atmos. Sci. 4, 19 (2021). https://doi.org/10.1038/s41612-021-00169-8</w:t>
      </w:r>
    </w:p>
    <w:p>
      <w:pPr>
        <w:pStyle w:val="Compact"/>
        <w:numPr>
          <w:ilvl w:val="0"/>
          <w:numId w:val="1001"/>
        </w:numPr>
      </w:pPr>
      <w:r>
        <w:t xml:space="preserve">Zhao, X. et al. Tropical cyclones cumulatively control regional carbon fluxes in Everglades mangrove wetlands (Florida, USA). Sci. Rep. 11, 13927 (2021). https://doi.org/10.1038/s41598-021-92899-1</w:t>
      </w:r>
    </w:p>
    <w:p>
      <w:pPr>
        <w:pStyle w:val="Compact"/>
        <w:numPr>
          <w:ilvl w:val="0"/>
          <w:numId w:val="1001"/>
        </w:numPr>
      </w:pPr>
      <w:r>
        <w:t xml:space="preserve">Taillie, P. J. et al. Widespread mangrove damage resulting from the 2017 Atlantic mega hurricane season. Environ. Res. Lett. 15, 064010 (2020). https://doi.org/10.1088/1748-9326/ab82cf</w:t>
      </w:r>
    </w:p>
    <w:p>
      <w:pPr>
        <w:pStyle w:val="Compact"/>
        <w:numPr>
          <w:ilvl w:val="0"/>
          <w:numId w:val="1001"/>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1"/>
        </w:numPr>
      </w:pPr>
      <w:r>
        <w:t xml:space="preserve">Lewis, R. R. Ecological engineering for successful management and restoration of mangrove forests. Ecol. Eng. 24, 403–418 (2005). https://doi.org/10.1016/j.ecoleng.2004.10.003</w:t>
      </w:r>
    </w:p>
    <w:p>
      <w:pPr>
        <w:pStyle w:val="Compact"/>
        <w:numPr>
          <w:ilvl w:val="0"/>
          <w:numId w:val="1001"/>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1"/>
        </w:numPr>
      </w:pPr>
      <w:r>
        <w:t xml:space="preserve">Xiong, L., Lagomasino, D. &amp; Poulter, B. BlueFlux: Terrestrial lidar scans of mangrove forests, Everglades, FL, USA, 2022–2023. ORNL DAAC (2024). https://doi.org/10.3334/ORNLDAAC/2311</w:t>
      </w:r>
    </w:p>
    <w:p>
      <w:pPr>
        <w:pStyle w:val="Compact"/>
        <w:numPr>
          <w:ilvl w:val="0"/>
          <w:numId w:val="1001"/>
        </w:numPr>
      </w:pPr>
      <w:r>
        <w:t xml:space="preserve">Krauss, K. W. et al. Woody debris in the mangrove forests of South Florida. Biotropica 37, 9–15 (2005). https://doi.org/10.1111/j.1744-7429.2005.03058.x</w:t>
      </w:r>
    </w:p>
    <w:p>
      <w:pPr>
        <w:pStyle w:val="Compact"/>
        <w:numPr>
          <w:ilvl w:val="0"/>
          <w:numId w:val="1001"/>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1"/>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1"/>
        </w:numPr>
      </w:pPr>
      <w:r>
        <w:t xml:space="preserve">Kljun, N., Calanca, P., Rotach, M. W. &amp; Schmid, H. P. A simple two-dimensional parameterisation for Flux Footprint Prediction (FFP). Geosci. Model Dev. 8, 3695–3713 (2015). https://doi.org/10.5194/gmd-8-3695-2015</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chamber flux dataset and analysis workflow at [repository URL]; airborne fluxes from (32) (ORNL DAAC); tower data from AmeriFlux US-Skr.</w:t>
      </w:r>
    </w:p>
    <w:p>
      <w:r>
        <w:pict>
          <v:rect style="width:0;height:1.5pt" o:hralign="center" o:hrstd="t" o:hr="t"/>
        </w:pict>
      </w:r>
    </w:p>
    <w:bookmarkEnd w:id="32"/>
    <w:bookmarkStart w:id="35" w:name="supplementary-materials"/>
    <w:p>
      <w:pPr>
        <w:pStyle w:val="Heading2"/>
      </w:pPr>
      <w:r>
        <w:t xml:space="preserve">Supplementary Materials</w:t>
      </w:r>
    </w:p>
    <w:bookmarkStart w:id="33" w:name="materials-and-methods"/>
    <w:p>
      <w:pPr>
        <w:pStyle w:val="Heading3"/>
      </w:pPr>
      <w:r>
        <w:t xml:space="preserve">Materials and Methods</w:t>
      </w:r>
    </w:p>
    <w:p>
      <w:pPr>
        <w:pStyle w:val="FirstParagraph"/>
      </w:pPr>
      <w:r>
        <w:rPr>
          <w:b/>
          <w:bCs/>
        </w:rPr>
        <w:t xml:space="preserve">Study system.</w:t>
      </w:r>
      <w:r>
        <w:t xml:space="preserve"> </w:t>
      </w:r>
      <w:r>
        <w:t xml:space="preserve">We worked in mangrove forests of the southwest Florida coast in and near Everglades National Park, across three classes along a hurricane-disturbance gradient. The two ghost-forest sites (FLM30, CP40) lost their canopy when Hurricane Irma (September 2017) drove storm surge and ponding across the region (23); five years later they retained standing dead trunks and roots with no canopy recovery. The regenerating site (BL60) was also damaged but supported active recruitment beneath a low, discontinuous canopy. The intact sites (SRS5, SRS6) are tall riverine forests on the Shark River that sustained comparatively little damage.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The climate is subtropical, with ~70% of the 1,000–1,700 mm annual rainfall falling in the May–October wet season. Single-visit measurements at Marco Island, Rookery Bay and the SE-1 scrub-mangrove ecotone gave additional context. Sites and coordinates are in table S1.</w:t>
      </w:r>
    </w:p>
    <w:p>
      <w:pPr>
        <w:pStyle w:val="BodyText"/>
      </w:pPr>
      <w:r>
        <w:rPr>
          <w:b/>
          <w:bCs/>
        </w:rPr>
        <w:t xml:space="preserve">Campaigns and design.</w:t>
      </w:r>
      <w:r>
        <w:t xml:space="preserve"> </w:t>
      </w:r>
      <w:r>
        <w:t xml:space="preserve">Repeat measurements spanned October 2022 (late wet season) and March 2023 (dry season), each with chamber fluxes, TLS and environmental sampling at the five core sites. CARAFE airborne flights were part of the wider BlueFlux campaign (28), with deployments in April 2022, October 2022, February 2023, April 2023 and July 2024; October 2022 and February/April 2023 bracket our ground campaigns. Bottom-up budgets (chambers × TLS) were compared with the tower and airborne fluxes.</w:t>
      </w:r>
    </w:p>
    <w:p>
      <w:pPr>
        <w:pStyle w:val="BodyText"/>
      </w:pPr>
      <w:r>
        <w:rPr>
          <w:b/>
          <w:bCs/>
        </w:rPr>
        <w:t xml:space="preserve">Chamber fluxes.</w:t>
      </w:r>
      <w:r>
        <w:t xml:space="preserve"> </w:t>
      </w:r>
      <w:r>
        <w:t xml:space="preserve">CH4 and CO2 were measured with closed dynamic chambers connected to portable analyzers (three ABB/LGR GLA131 microportable greenhouse-gas analyzers and one Picarro G4301), logging at 1 Hz (LGR) or ~0.2 Hz (Picarro). Chambers were matched to each surface (fig. S1): four elliptical stem-chamber sizes (40–462 cm2) sealed to bark with modelling clay at 0, 50 and 100 cm above the sediment (and 150 cm where possible); prop-root chambers on individual</w:t>
      </w:r>
      <w:r>
        <w:t xml:space="preserve"> </w:t>
      </w:r>
      <w:r>
        <w:rPr>
          <w:i/>
          <w:iCs/>
        </w:rPr>
        <w:t xml:space="preserve">R. mangle</w:t>
      </w:r>
      <w:r>
        <w:t xml:space="preserve"> </w:t>
      </w:r>
      <w:r>
        <w:t xml:space="preserve">roots; a transparent leaf chamber enclosing a branch cluster (to determine flux direction and approximate magnitude); open-bottom soil cylinders (23.5 cm diameter) in the wet season and PVC soil collars (14.3 or 19.4 cm) inserted ≥1 h before sampling in the dry season; and floating chambers (19.4 cm) on surface water. Soil chambers included pneumatophores, whose density was recorded. Chambers used closed-loop tubing with inline desiccant, were leak-tested before each measurement, and had system volumes computed for each chamber–analyzer combination. Measurements covered all four species, including standing dead trunks at ghost sites (≥5 stems per species per site; 10 soil collars per plot). In total, 752 fluxes were analysed: stems (n = 476), soil (118), water (47 floating-chamber placements), prop roots (65), downed wood (27) and leaves (19).</w:t>
      </w:r>
    </w:p>
    <w:p>
      <w:pPr>
        <w:pStyle w:val="BodyText"/>
      </w:pPr>
      <w:r>
        <w:rPr>
          <w:b/>
          <w:bCs/>
        </w:rPr>
        <w:t xml:space="preserve">Flux calculation.</w:t>
      </w:r>
      <w:r>
        <w:t xml:space="preserve"> </w:t>
      </w:r>
      <w:r>
        <w:t xml:space="preserve">Fluxes were computed with goFlux (44), fitting linear and Hutchinson–Mosier models and reporting the best-fit flux, corrected for chamber volume, area, air temperature and pressure (from the US-Skr tower). Minimum detectable fluxes were computed per measurement; below-detection fluxes were retained. Measurements with analyzer artefacts were excluded (data S1). Water-surface methane was partitioned into diffusive and ebullitive components by removing bubble steps from the concentration series and fitting the diffusive flux to the corrected series (fig. S4).</w:t>
      </w:r>
    </w:p>
    <w:p>
      <w:pPr>
        <w:pStyle w:val="BodyText"/>
      </w:pPr>
      <w:r>
        <w:rPr>
          <w:b/>
          <w:bCs/>
        </w:rPr>
        <w:t xml:space="preserve">Terrestrial laser scanning.</w:t>
      </w:r>
      <w:r>
        <w:t xml:space="preserve"> </w:t>
      </w:r>
      <w:r>
        <w:t xml:space="preserve">Plot structure was measured with a RIEGL VZ-400i scanner (1,550 nm; 0.03° resolution) and Trimble R8/R6 GNSS (45). Scans from multiple positions per plot</w:t>
      </w:r>
      <w:r>
        <w:t xml:space="preserve"> </w:t>
      </w:r>
      <w:r>
        <w:rPr>
          <w:i/>
          <w:iCs/>
        </w:rPr>
        <w:t xml:space="preserve">[CHECK with L. Powell: number of scan positions per plot]</w:t>
      </w:r>
      <w:r>
        <w:t xml:space="preserve"> </w:t>
      </w:r>
      <w:r>
        <w:t xml:space="preserve">were registered by iterative closest point and multi-station adjustment in RiSCAN PRO, georeferenced to WGS 84 / UTM 17N, segmented into wood (trunk, branch, prop root) and leaf, and summarized as surface area per 0.5 m height bin per unit ground area. Because the scanner sees the water surface rather than the sediment in flooded plots, heights were corrected to the sediment surface using water depth at scan time</w:t>
      </w:r>
      <w:r>
        <w:t xml:space="preserve"> </w:t>
      </w:r>
      <w:r>
        <w:rPr>
          <w:i/>
          <w:iCs/>
        </w:rPr>
        <w:t xml:space="preserve">[PLACEHOLDER — final segmentation and surface-area methods from L. Powell and L. Xiong]</w:t>
      </w:r>
      <w:r>
        <w:t xml:space="preserve">.</w:t>
      </w:r>
    </w:p>
    <w:p>
      <w:pPr>
        <w:pStyle w:val="BodyText"/>
      </w:pPr>
      <w:r>
        <w:rPr>
          <w:b/>
          <w:bCs/>
        </w:rPr>
        <w:t xml:space="preserve">Stand budgets.</w:t>
      </w:r>
      <w:r>
        <w:t xml:space="preserve"> </w:t>
      </w:r>
      <w:r>
        <w:t xml:space="preserve">Stand CH4 and respiration budgets multiplied each component’s flux density by its area per unit ground area and summed across components. Stem flux was integrated over height using the measured profile, modelled relative to the water surface so that the emission peak moves with water level; only surface above the water emits. Inundation set which surfaces emit: ghost sites were fully flooded in the wet season, and the exposed fraction in the dry season was budgeted as soil; tidal intact sites were weighted by the share of the forest floor under water from hourly FCE LTER water levels. Downed-wood area came from regional woody-debris volumes (46, 47). Net CO2 exchange was respiration minus gross primary production, with ecosystem respiration built from chamber fluxes plus a literature canopy-respiration term (48) and gross primary production from the US-Skr tower; ghost-forest photosynthesis was taken as negligible.</w:t>
      </w:r>
    </w:p>
    <w:p>
      <w:pPr>
        <w:pStyle w:val="BodyText"/>
      </w:pPr>
      <w:r>
        <w:rPr>
          <w:b/>
          <w:bCs/>
        </w:rPr>
        <w:t xml:space="preserve">Tower and airborne fluxes.</w:t>
      </w:r>
      <w:r>
        <w:t xml:space="preserve"> </w:t>
      </w:r>
      <w:r>
        <w:t xml:space="preserve">The US-Skr tower (SRS6) measures CO2 and CH4 by eddy covariance on a 30 m tower</w:t>
      </w:r>
      <w:r>
        <w:t xml:space="preserve"> </w:t>
      </w:r>
      <w:r>
        <w:rPr>
          <w:i/>
          <w:iCs/>
        </w:rPr>
        <w:t xml:space="preserve">[CHECK: instruments and heights]</w:t>
      </w:r>
      <w:r>
        <w:t xml:space="preserve"> </w:t>
      </w:r>
      <w:r>
        <w:t xml:space="preserve">(37). CARAFE measured CO2 and CH4 from a Beechcraft King Air A90 at ~90 m with a Picarro G2311-f (10 Hz), a Picarro G2401m calibrated to NOAA/WMO standards, and an Aventech AIMMS-20 wind probe (32). Fluxes were computed by continuous wavelet transform along straight legs (&gt;15 km, roll &lt;5°, altitude within ±10 m), assigned to two-dimensional footprints (49), and disaggregated to intact and ghost forest by multilinear regression on footprint land cover (35, 36). Midday airborne CO2 was converted to daily values for comparison with daily chamber budgets.</w:t>
      </w:r>
    </w:p>
    <w:p>
      <w:pPr>
        <w:pStyle w:val="BodyText"/>
      </w:pPr>
      <w:r>
        <w:rPr>
          <w:b/>
          <w:bCs/>
        </w:rPr>
        <w:t xml:space="preserve">Porewater geochemistry.</w:t>
      </w:r>
      <w:r>
        <w:t xml:space="preserve"> </w:t>
      </w:r>
      <w:r>
        <w:t xml:space="preserve">Porewater was sampled in October 2022 and March 2023 (mostly ~40 cm; dissolved CH4 by headspace gas chromatography and salinity)</w:t>
      </w:r>
      <w:r>
        <w:t xml:space="preserve"> </w:t>
      </w:r>
      <w:r>
        <w:rPr>
          <w:i/>
          <w:iCs/>
        </w:rPr>
        <w:t xml:space="preserve">[CHECK: 2022–23 sampler and GC protocol]</w:t>
      </w:r>
      <w:r>
        <w:t xml:space="preserve">, and as depth profiles (surface water and 0, 15, 45 and 90 cm) at SRS5, SRS6, BL60 and CP40 in October 2025 using PushPoint samplers. Field measurements included temperature, pH, conductivity, dissolved oxygen and redox potential (Hanna HI98494), and total dissolved sulfide and iron (Hach DR900). Dissolved CH4, CO2 and their δ13C were measured by headspace equilibration on a Picarro G2201-i; dissolved organic carbon, major ions and alkalinity at the Yale Analytical and Stable Isotope Center; and inorganic nitrogen at Yale</w:t>
      </w:r>
      <w:r>
        <w:t xml:space="preserve"> </w:t>
      </w:r>
      <w:r>
        <w:rPr>
          <w:i/>
          <w:iCs/>
        </w:rPr>
        <w:t xml:space="preserve">[CHECK: method and dilution]</w:t>
      </w:r>
      <w:r>
        <w:t xml:space="preserve">. Intact-site ammonium was compared with FCE LTER porewater monitoring (38).</w:t>
      </w:r>
    </w:p>
    <w:p>
      <w:pPr>
        <w:pStyle w:val="BodyText"/>
      </w:pPr>
      <w:r>
        <w:rPr>
          <w:b/>
          <w:bCs/>
        </w:rPr>
        <w:t xml:space="preserve">Sediment metagenomes.</w:t>
      </w:r>
      <w:r>
        <w:t xml:space="preserve"> </w:t>
      </w:r>
      <w:r>
        <w:rPr>
          <w:i/>
          <w:iCs/>
        </w:rPr>
        <w:t xml:space="preserve">[PLACEHOLDER — Peccia lab: sampling, extraction, sequencing, profiling, marker genes (mcrA, mttB/mtbB/mtmB, pmoA/mmoX), normalization by sediment mass and organic carbon.]</w:t>
      </w:r>
    </w:p>
    <w:p>
      <w:pPr>
        <w:pStyle w:val="BodyText"/>
      </w:pPr>
      <w:r>
        <w:rPr>
          <w:b/>
          <w:bCs/>
        </w:rPr>
        <w:t xml:space="preserve">Radiative forcing and regional scaling.</w:t>
      </w:r>
      <w:r>
        <w:t xml:space="preserve"> </w:t>
      </w:r>
      <w:r>
        <w:t xml:space="preserve">CH4 was converted to CO2 equivalents with AR6 global warming potentials (GWP20 = 81.2, GWP100 = 27.9) (7), with GWP* (39) for the intact-to-ghost change. The switch is the intact-to-ghost difference in net forcing. Lateral-export framings used published Shark River syntheses (40). The regional estimate multiplies the per-area switch by the area of 2017 hurricane dieback (41), computed in an equal-area projection and attributed to Irma or Maria by territory, with a Florida bound from (23).</w:t>
      </w:r>
    </w:p>
    <w:p>
      <w:pPr>
        <w:pStyle w:val="BodyText"/>
      </w:pPr>
      <w:r>
        <w:rPr>
          <w:b/>
          <w:bCs/>
        </w:rPr>
        <w:t xml:space="preserve">Statistics.</w:t>
      </w:r>
      <w:r>
        <w:t xml:space="preserve"> </w:t>
      </w:r>
      <w:r>
        <w:t xml:space="preserve">Fluxes were transformed with the inverse hyperbolic sine. Component means and 95% intervals used bootstrap resampling (5,000 iterations). Woody flux by height used a location-scale generalized additive model with class-specific height smooths and tree and site-campaign random effects. Porewater structure used principal-components analysis of 13 centred, scaled variables. Budget and forcing uncertainty was propagated by Monte Carlo (5,000 draws) over chamber fluxes, canopy respiration, downed-wood area, tidal timing and tower photosynthesis. Analyses used R (≥4.3); the workflow is at [repository URL].</w:t>
      </w:r>
    </w:p>
    <w:bookmarkEnd w:id="33"/>
    <w:bookmarkStart w:id="34" w:name="supplementary-text-figures-and-tables"/>
    <w:p>
      <w:pPr>
        <w:pStyle w:val="Heading3"/>
      </w:pPr>
      <w:r>
        <w:t xml:space="preserve">Supplementary Text, figures and tables</w:t>
      </w:r>
    </w:p>
    <w:p>
      <w:pPr>
        <w:pStyle w:val="FirstParagraph"/>
      </w:pPr>
      <w:r>
        <w:t xml:space="preserve">Supplementary Text S1–S11; figs. S1–S10 (currently ED1–ED10 in the NCC draft); tables S1–S11; data S1 (chamber flux dataset).</w:t>
      </w:r>
      <w:r>
        <w:t xml:space="preserve"> </w:t>
      </w:r>
      <w:r>
        <w:rPr>
          <w:i/>
          <w:iCs/>
        </w:rPr>
        <w:t xml:space="preserve">[To assemble from manuscript/SI/manuscript_NCC_SI.md.]</w:t>
      </w:r>
    </w:p>
    <w:p>
      <w:pPr>
        <w:pStyle w:val="BodyText"/>
      </w:pPr>
      <w:r>
        <w:rPr>
          <w:i/>
          <w:iCs/>
        </w:rPr>
        <w:t xml:space="preserve">[CHECK flags: E. Delaria airborne uncertainty definition; inorganic-N dilution; D. Lagomasino on the 2017 layer; TLS scan positions; tower instruments; references marked [details to complete] in manuscript/references.md.]</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2026-10-03T09:49:37Z</dcterms:created>
  <dcterms:modified xsi:type="dcterms:W3CDTF">2026-10-03T09:49:37Z</dcterms:modified>
</cp:coreProperties>
</file>

<file path=docProps/custom.xml><?xml version="1.0" encoding="utf-8"?>
<Properties xmlns="http://schemas.openxmlformats.org/officeDocument/2006/custom-properties" xmlns:vt="http://schemas.openxmlformats.org/officeDocument/2006/docPropsVTypes"/>
</file>