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(52)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(52).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5B). Ghost forest was a net source (+2,775 g CO2-eq m−2 yr−1 at GWP20; +2,141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~5,500 (Fig. 5A; fig. S14;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5D). At the measured per-area switch, this loss adds ~1.1 Tg CO2-eq yr−1 at GWP20 (0.7–1.6; 1.0 at GWP100), including 1.8 Gg CH4 yr−1 of induced methane (Fig. 5C).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800100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 (</w:t>
      </w:r>
      <w:r>
        <w:rPr>
          <w:b/>
          <w:bCs/>
        </w:rPr>
        <w:t xml:space="preserve">B</w:t>
      </w:r>
      <w:r>
        <w:t xml:space="preserve">) Net forcing of intact and ghost forest at GWP20, GWP100 and GWP*, stacked by CO2 and CH4; diamonds, net with Monte Carlo 95% intervals; circles, intact net ecosystem carbon balance including lateral export. (</w:t>
      </w:r>
      <w:r>
        <w:rPr>
          <w:b/>
          <w:bCs/>
        </w:rPr>
        <w:t xml:space="preserve">C</w:t>
      </w:r>
      <w:r>
        <w:t xml:space="preserve">) The intact-to-ghost switch per m2, split into CO2 and CH4, with the CH4 share and the regional total. (</w:t>
      </w:r>
      <w:r>
        <w:rPr>
          <w:b/>
          <w:bCs/>
        </w:rPr>
        <w:t xml:space="preserve">D</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S17;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2026-10-03T20:48:55Z</dcterms:created>
  <dcterms:modified xsi:type="dcterms:W3CDTF">2026-10-03T20:48:55Z</dcterms:modified>
</cp:coreProperties>
</file>

<file path=docProps/custom.xml><?xml version="1.0" encoding="utf-8"?>
<Properties xmlns="http://schemas.openxmlformats.org/officeDocument/2006/custom-properties" xmlns:vt="http://schemas.openxmlformats.org/officeDocument/2006/docPropsVTypes"/>
</file>