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four deployments in April 2022, October 2022, February 2023 and April 2023;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version 0.5.0.9002 with additions (Gewirtzman 2026),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z σ / t × the flux conversion term, with z = 1.96 (a benchmark multiplier rather than a calibrated 95% test; Cowan et al. 2025), t the closure duration (the span of the fitting window plus one logging interval)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whose CO2 flux was not positive and significant (p &lt; 0.05; not evaluated for water, leaves and downed wood); a significantly accelerating (convex) trace; a window &lt;60 s; and closure noise (second-difference precision) &gt;1.5 times the analyzer–campaign median.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[pending: number of scan positions (E. Powell)]</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[pending: values read from the logger display; logger file (D. Lagomasino) to replace them, barometrically corrected]</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version 2-5 (Fuentes et al. 2024; data S2); the site and flux system are described in Barr et al. (2010). Net exchange was the PI-provided NEE, or FC + SC where NEE was missing. GPP was partitioned with the gap-filling and partitioning script of S. Malone, adapted to our pipeline,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[pending: airborne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[pending: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[pending: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[pending: sample dilution for the sulfide reading (M. Zhang)]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[pending: relation of this layer (173 km2) to the paper’s 790 km2 of persistent damage (D. Lagomasino)]</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partitioning of intact-forest respiration agrees with earlier component studies at SRS6. Our below-canopy components other than stems (prop roots, soil, water and downed wood) released 1.6–2.2 µmol m−2 s−1 (610–820 g C m−2 yr−1), against 715 g C m−2 yr−1 for the same set of components (soil, litter, pneumatophores, prop roots, downed wood and water) summed by Troxler et al. (2015). That study did not measure stems, which here added a further 0.9–1.6 µmol m−2 s−1 (20–29% of respiration). The components Troxler et al. measured made up 45% (sum of components) to 65% (tower) of their ecosystem respiration, and the same components made up 36–39% of ours; including stems, our below-canopy share is 56–68%. Their dark leaf respiration (859 g C m−2 yr−1) carried no light inhibition, whereas our leaf term (660–760 g C m−2 yr−1) does. Exposed soil alone made up 10–14% of our respiration because flooded soil was not counted as soil efflux. This matches the ~10% typical of mature mangrove forests, as compiled by Ouyang et al. (2018). Their own microcosm seedlings put about twice that share through the sediment (20.9 ± 4.1%), but seedlings have little aboveground biomass, so the difference is expected. Our total respiration (4.5–5.5 µmol m−2 s−1) exceeds the tower’s annual mean for 2004–2005 (Barr et al. 2010). Part of the difference is respired carbon exported by the tides as dissolved inorganic carbon, which lowers tower respiration (Barr et al. 2010).</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It omits two losses of the dead stand, lateral export and peat loss. Both would add to the measured CO2 and CH4, not replace them, so the switch is a lower bound; because their effect on the climate depends on the form the carbon leaves in, they are discussed here but not added to it.</w:t>
      </w:r>
    </w:p>
    <w:p>
      <w:pPr>
        <w:pStyle w:val="BodyText"/>
      </w:pPr>
      <w:r>
        <w:t xml:space="preserve">Lateral export. Dissolved inorganic carbon exported as excess CO2 degasses downstream and warms as if emitted on site; alkalinity (bicarbonate generated by sulfate reduction) mostly stays dissolved in the ocean and is a durable store, as we assumed for intact forest (text S5); exported organic carbon is partly remineralized and partly refractory. Ghost-forest export is unmeasured but probably small. The ghost stands are ponded and hydrologically isolated (Fig. 4C), so carbon that tidal forest exports laterally instead degasses in place, where the water chambers measured it: the ponds were 2–23 times supersaturated in CO2 on most visits (text S1). Export is likely episodic, with storm surge and overland flow. After dieback elsewhere, losses shifted from lateral outwelling toward atmospheric CO2 (soil CO2 +189%, DIC outwelling −50%; Sippo et al. 2020), and Shark River DIC and DOC fluxes fell by 45% and 27% for up to two years after Irma (Stegehuis et al. 2026). Part of whatever leaves would be alkalinity: CP40 porewater held 16.4 mM total alkalinity (7 times seawater), 13 mM above conservative mixing, alongside a 10 mM sulfate deficit (text S2). As a bound, if the dead stand exported 150–250 g C m−2 yr−1 (roughly half the intact rate) and all of it reached the atmosphere, its carbon loss would add 550–920 g CO2 m−2 yr−1 to the measured release of 1,810, raising the switch by 9–14% at GWP20; the CH4 term is unchanged. Counting the alkalinity share as retained would make the addition smaller.</w:t>
      </w:r>
    </w:p>
    <w:p>
      <w:pPr>
        <w:pStyle w:val="BodyText"/>
      </w:pPr>
      <w:r>
        <w:t xml:space="preserve">Peat loss.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With the bulk density and organic carbon of Southwest Florida mangrove soil before and after Irma (0.26 g cm−3; 19% and 12% organic carbon; Griffiths &amp; Mitsch 2021), collapse at the Honduran rate would correspond to ~300–550 g C m−2 yr−1 (1,100–2,000 g CO2), comparable to the dead stand’s measured CO2 release; this is an upper bound, because part of any elevation loss is compaction rather than carbon loss. Peat oxidized in place is already in our soil and water CO2; peat lost by collapse and erosion is not, and its fate (burial nearby, remineralization or export) is unknown. It is a draw-down of a soil stock built over centuries rather than a steady annual flux, so we treat it as part of the recovery debt, which it lengthens, rather than adding it to the annual forcing. We could not measure it: our laser scans are referenced to the local water surface, not to a fixed elevation datum, so ghost and intact floors cannot be compared in elevation. Surface-elevation tables or repeat lidar at the ghost sites would constrain it.</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[pending: uncertainty definition (E. Delaria)]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b/>
          <w:bCs/>
        </w:rPr>
        <w:t xml:space="preserve">[pending: 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N. J. Cowan, P. Levy, M. Tigli, G. Y. Toteva, J. Drewer, Characterisation of analytical uncertainty in chamber soil flux measurements.</w:t>
      </w:r>
      <w:r>
        <w:t xml:space="preserve"> </w:t>
      </w:r>
      <w:r>
        <w:rPr>
          <w:i/>
          <w:iCs/>
        </w:rPr>
        <w:t xml:space="preserve">Eur. J. Soil Sci.</w:t>
      </w:r>
      <w:r>
        <w:t xml:space="preserve"> </w:t>
      </w:r>
      <w:r>
        <w:rPr>
          <w:b/>
          <w:bCs/>
        </w:rPr>
        <w:t xml:space="preserve">76</w:t>
      </w:r>
      <w:r>
        <w:t xml:space="preserve">, e70104 (2025).</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J. Gewirtzman, goFlux 0.5.0.9002: goFlux with additions (R package). Zenodo (2026).</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X. Ouyang, S. Y. Lee, R. M. Connolly, Using isotope labeling to partition sources of CO2 efflux in newly established mangrove seedlings.</w:t>
      </w:r>
      <w:r>
        <w:t xml:space="preserve"> </w:t>
      </w:r>
      <w:r>
        <w:rPr>
          <w:i/>
          <w:iCs/>
        </w:rPr>
        <w:t xml:space="preserve">Limnol. Oceanogr.</w:t>
      </w:r>
      <w:r>
        <w:t xml:space="preserve"> </w:t>
      </w:r>
      <w:r>
        <w:rPr>
          <w:b/>
          <w:bCs/>
        </w:rPr>
        <w:t xml:space="preserve">63</w:t>
      </w:r>
      <w:r>
        <w:t xml:space="preserve">, 731–740 (2018).</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2026-10-10T00:04:18Z</dcterms:created>
  <dcterms:modified xsi:type="dcterms:W3CDTF">2026-10-10T00:04:18Z</dcterms:modified>
</cp:coreProperties>
</file>

<file path=docProps/custom.xml><?xml version="1.0" encoding="utf-8"?>
<Properties xmlns="http://schemas.openxmlformats.org/officeDocument/2006/custom-properties" xmlns:vt="http://schemas.openxmlformats.org/officeDocument/2006/docPropsVTypes"/>
</file>