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the NASA Carbon Monitoring System BlueFlux campaign (42),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1C). We combined chambers on six surfaces (water, soil, prop roots, stems, downed wood and leaves) at intact (Gunboat Island, SRS5; Lower Shark River, SRS6), regenerating (Bear Lake, BL60) and ghost (Christian Point, CP40; Flamingo, FLM30) sites in wet- and dry-season campaigns; terrestrial laser scanning (TLS) (43, 44) to measure the area of each surface; the US-Skr eddy-covariance tower; CARAFE airborne eddy covariance (45, 46), which resolves intact and ghost mangrove fluxes across south Florida; and porewater chemistry and sediment metagenomes to identify mechanisms (Fig. 1D).</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B</w:t>
      </w:r>
      <w:r>
        <w:t xml:space="preserve">) Intact (SRS5), regenerating (BL60) and ghost (CP40) forest. (</w:t>
      </w:r>
      <w:r>
        <w:rPr>
          <w:b/>
          <w:bCs/>
        </w:rPr>
        <w:t xml:space="preserve">C</w:t>
      </w:r>
      <w:r>
        <w:t xml:space="preserve">) Dry-season (January–April) Landsat NDVI at the five core plots, 1995–2025 (median of cloud-free scenes over a 90 m window; at the river-edge SRS5 and SRS6 plots the window is centred 100 m inland); dashed lines, Hurricanes Wilma (2005) and Irma (2017); bars, BlueFlux ground campaigns (grey) and airborne deployments (blue). (</w:t>
      </w:r>
      <w:r>
        <w:rPr>
          <w:b/>
          <w:bCs/>
        </w:rPr>
        <w:t xml:space="preserve">D</w:t>
      </w:r>
      <w:r>
        <w:t xml:space="preserve">) Measurement design: chambers on stems at several heights, prop roots, sediment, water and downed wood; terrestrial laser scanning; tower and airborne eddy covariance.</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(47).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 Terrestrial laser scans of intact (SRS6) and ghost (CP40) forest: side views of the same 40 m wide, 20 m deep slab through each plot, paler with distance (44). (</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box, the chamber-sampled range (0–1.9 m)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(48).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Our ground sites are intensive process sites: few in number, chosen to resolve where and why emissions change, not to represent the region by themselves. Two lines of evidence support them. Sites within a class agreed with each other (intact SRS5 and SRS6; ghost CP40 and FLM30; table S3), and they agreed with independent measurements at larger scale. Airborne eddy covariance, disaggregated to intact and ghost forest (46, 49, 50),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(51)) (Fig. 3C). Chambers scaled by laser-scanned area and footprint-disaggregated airborne fluxes share no measurements, so their agreement does not depend on any one method’s assumptions. The airborne fluxes integrate intact and ghost mangrove along flight legs across south Florida (fig. S20), so the agreement also shows that our sites are representative of intact and ghost mangrove across the region. The climate numbers below come from the site budgets, which resolve every pathway; the airborne data establish that the intact–ghost contrast they describe holds across south Florida. The airborne class fluxes alone, with midday CO2 scaled to daily by the regional tower relation (52), give a switch of ~4,500 g CO2-eq m−2 yr−1 at GWP20 (2,000–7,000), and the BlueFlux regional upscaling over all mapped 2017 dieback gives ~1,700 (52). Both agree in sign and order of magnitude and are smaller, as expected for estimates that average over flight footprints or 500 m pixels and so mix persistent ghost forest with regreening stands and live margins, which our process sites separate (text S5; fig. S21).</w:t>
      </w:r>
      <w:r>
        <w:t xml:space="preserve"> </w:t>
      </w:r>
      <w:r>
        <w:rPr>
          <w:i/>
          <w:iCs/>
        </w:rPr>
        <w:t xml:space="preserve">[PLACEHOLDER — airborne coverage: flight-leg footprint area over intact and ghost mangrove (km2) and the number of legs per class (E. Delaria).]</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47).</w:t>
      </w:r>
    </w:p>
    <w:p>
      <w:pPr>
        <w:pStyle w:val="BodyText"/>
      </w:pPr>
      <w:r>
        <w:t xml:space="preserve">Closing the budget in this way also identifies what is still missing. Ground replication is limited to two sites per class (one regenerating site), which is why we treat the ground sites as process sites and test their representativeness against the airborne class fluxes before scaling.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S19;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2026-10-04T10:27:04Z</dcterms:created>
  <dcterms:modified xsi:type="dcterms:W3CDTF">2026-10-04T10:27:04Z</dcterms:modified>
</cp:coreProperties>
</file>

<file path=docProps/custom.xml><?xml version="1.0" encoding="utf-8"?>
<Properties xmlns="http://schemas.openxmlformats.org/officeDocument/2006/custom-properties" xmlns:vt="http://schemas.openxmlformats.org/officeDocument/2006/docPropsVTypes"/>
</file>