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Estimating Mangrove Leaf-Level Respiration from Tower GPP</w:t>
      </w:r>
    </w:p>
    <w:p>
      <w:pPr>
        <w:spacing w:after="40" w:before="0" w:line="276"/>
      </w:pPr>
      <w:r>
        <w:rPr>
          <w:i/>
          <w:iCs/>
          <w:color w:val="555555"/>
          <w:sz w:val="22"/>
          <w:szCs w:val="22"/>
        </w:rPr>
        <w:t xml:space="preserve">A literature synthesis for the Shark River Slough mangrove site (FCE LTER / AmeriFlux US-Skr, Tower SRS-6)</w:t>
      </w:r>
    </w:p>
    <w:p>
      <w:pPr>
        <w:spacing w:after="200" w:before="0" w:line="276"/>
      </w:pPr>
      <w:r>
        <w:rPr>
          <w:color w:val="777777"/>
          <w:sz w:val="20"/>
          <w:szCs w:val="20"/>
        </w:rPr>
        <w:t xml:space="preserve">Species: Rhizophora mangle, Avicennia germinans, Laguncularia racemosa  |  Prepared June 2026</w:t>
      </w:r>
    </w:p>
    <w:p>
      <w:pPr>
        <w:pStyle w:val="Heading1"/>
      </w:pPr>
      <w:r>
        <w:t xml:space="preserve">1. Purpose and what the literature can give you</w:t>
      </w:r>
    </w:p>
    <w:p>
      <w:pPr>
        <w:spacing w:after="120" w:before="0" w:line="276"/>
      </w:pPr>
      <w:r>
        <w:rPr>
          <w:sz w:val="22"/>
          <w:szCs w:val="22"/>
        </w:rPr>
        <w:t xml:space="preserve">You have two measured quantities: stand-level gross primary productivity (GPP) from above-canopy eddy covariance, and below-canopy soil/chamber respiration (Rs). The missing term you want to constrain from the literature is leaf-level respiration. This memo pulls together the directly usable numbers and, crucially, distinguishes three different things that all sometimes get called “leaf respiration” so you apply the right one: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Leaf dark respiration (Rd) — </w:t>
      </w:r>
      <w:r>
        <w:rPr>
          <w:sz w:val="22"/>
          <w:szCs w:val="22"/>
        </w:rPr>
        <w:t xml:space="preserve">the instantaneous CO2 efflux of foliage in darkness, the quantity reported in leaf gas-exchange studies (µmol m⁻² s⁻¹ or nmol g⁻¹ s⁻¹). This is what you scale by leaf area / LAI to get canopy leaf respiration.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Canopy / autotrophic respiration (Ra) — </w:t>
      </w:r>
      <w:r>
        <w:rPr>
          <w:sz w:val="22"/>
          <w:szCs w:val="22"/>
        </w:rPr>
        <w:t xml:space="preserve">the whole-plant respiration of leaves + wood + roots. Often expressed as a fraction of GPP (Ra:GPP, the complement of carbon-use efficiency).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Ecosystem respiration (Re) — </w:t>
      </w:r>
      <w:r>
        <w:rPr>
          <w:sz w:val="22"/>
          <w:szCs w:val="22"/>
        </w:rPr>
        <w:t xml:space="preserve">Ra plus heterotrophic (microbial) respiration. This is what the tower NEE partitioning gives you, and what your chamber Rs is partly measuring.</w:t>
      </w:r>
    </w:p>
    <w:p>
      <w:pPr>
        <w:spacing w:after="200" w:before="0" w:line="276"/>
      </w:pPr>
      <w:r>
        <w:rPr>
          <w:sz w:val="22"/>
          <w:szCs w:val="22"/>
        </w:rPr>
        <w:t xml:space="preserve">The bottom line up front: there is a strong, species-matched, Florida value for Avicennia germinans leaf Rd, a reasonable Rhizophora proxy, a usable temperature-correction function, and good site-specific tower/chamber numbers for benchmarking. There is no clean published mangrove Ra:GPP, so an autotrophic fraction has to be derived. All values and citations are in the accompanying spreadsheet; this memo explains how to use them.</w:t>
      </w:r>
    </w:p>
    <w:p>
      <w:pPr>
        <w:pStyle w:val="Heading1"/>
      </w:pPr>
      <w:r>
        <w:t xml:space="preserve">2. Leaf dark respiration (Rd): recommended values</w:t>
      </w:r>
    </w:p>
    <w:p>
      <w:pPr>
        <w:spacing w:after="140" w:before="0" w:line="276"/>
      </w:pPr>
      <w:r>
        <w:rPr>
          <w:sz w:val="22"/>
          <w:szCs w:val="22"/>
        </w:rPr>
        <w:t xml:space="preserve">The single best-matched source is Sturchio et al. (2022), who measured Rd on mature Avicennia germinans in north Florida and report it both per area and per mass, standardized to 25 °C, with a measured Q10 and a leaf-age split. For Rhizophora, no neotropical R. mangle leaf Rd was cleanly extractable from the open literature; the closest measured values are for the congener R. stylosa (Jacotot et al. 2018), which are markedly lower than Avicennia.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1900"/>
        <w:gridCol w:w="1700"/>
        <w:gridCol w:w="1500"/>
        <w:gridCol w:w="1800"/>
      </w:tblGrid>
      <w:tr>
        <w:trPr>
          <w:tblHeader/>
        </w:trP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Species (use for)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Rd, area (µmol m⁻² s⁻¹)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Rd, mass (nmol g⁻¹ s⁻¹)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 / Q10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Avicennia germinans (black)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1.28–1.54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5.75–8.73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25°C / Q10 2.39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Sturchio 2022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Avicennia marina (proxy)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0.29–0.41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25°C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Jacotot 2018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Rhizophora stylosa (proxy for R. mangle)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0.17–0.22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25°C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Jacotot 2018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Rhizophora mangle (secondary)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C55A11"/>
                <w:sz w:val="18"/>
                <w:szCs w:val="18"/>
              </w:rPr>
              <w:t xml:space="preserve">Lovelock (verify)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Tropical evergreen broadleaf (fallback)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Rd25 ~0.43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trait eqns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25°C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Atkin 2015</w:t>
            </w:r>
          </w:p>
        </w:tc>
      </w:tr>
    </w:tbl>
    <w:p>
      <w:pPr>
        <w:spacing w:after="120" w:before="120"/>
      </w:pPr>
      <w:r>
        <w:rPr>
          <w:b/>
          <w:bCs/>
          <w:sz w:val="22"/>
          <w:szCs w:val="22"/>
        </w:rPr>
        <w:t xml:space="preserve">Caution on the Rhizophora numbers. </w:t>
      </w:r>
      <w:r>
        <w:rPr>
          <w:sz w:val="22"/>
          <w:szCs w:val="22"/>
        </w:rPr>
        <w:t xml:space="preserve">The R. stylosa proxy (~0.2) and the secondary R. mangle value (~1.5) differ almost tenfold, so leaf Rd for your dominant species is the weakest link in the chain. Both are flagged in the spreadsheet. Before relying on a Rhizophora value, retrieve Cheeseman &amp; Lovelock (2004) and Lovelock &amp; Feller (2003) full texts — both measured neotropical R. mangle gas exchange and are the right primary sources. A defensible interim choice is to gap-fill Rhizophora Rd from its photosynthetic capacity using the Rd25:Vcmax25 ratio (Section 4).</w:t>
      </w:r>
    </w:p>
    <w:p>
      <w:pPr>
        <w:pStyle w:val="Heading1"/>
      </w:pPr>
      <w:r>
        <w:t xml:space="preserve">3. Putting Rd on your site’s temperature</w:t>
      </w:r>
    </w:p>
    <w:p>
      <w:pPr>
        <w:spacing w:after="100" w:before="0" w:line="276"/>
      </w:pPr>
      <w:r>
        <w:rPr>
          <w:sz w:val="22"/>
          <w:szCs w:val="22"/>
        </w:rPr>
        <w:t xml:space="preserve">Literature Rd is reported at 25 °C, but your canopy leaves sit warmer (subtropical; leaf T often 28–34 °C). Do not use a fixed Q10 = 2 — it over-predicts at high leaf temperature. Use the globally convergent short-term response of Heskel et al. (2016):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R(T) = R₂₅ · exp[ 0.1012·(T − 25) − 0.0005·(T² − 25²) ]</w:t>
      </w:r>
    </w:p>
    <w:p>
      <w:pPr>
        <w:spacing w:after="200" w:before="0" w:line="276"/>
      </w:pPr>
      <w:r>
        <w:rPr>
          <w:sz w:val="22"/>
          <w:szCs w:val="22"/>
        </w:rPr>
        <w:t xml:space="preserve">with T in °C and R in µmol m⁻² s⁻¹. The negative quadratic term means the effective Q10 falls from ~2 at cool temperatures toward ~1.5 at warm leaf temperatures. For black mangrove specifically, Sturchio et al. measured Q10 = 2.39 over 20–30 °C, which you can use as a species check. If you want to account for thermal acclimation to your warm growth climate, Huntingford et al. (2017) give the JULES form with an acclimation coefficient r2 = 0.0402 (Rd25 declines per °C of growth-temperature).</w:t>
      </w:r>
    </w:p>
    <w:p>
      <w:pPr>
        <w:pStyle w:val="Heading1"/>
      </w:pPr>
      <w:r>
        <w:t xml:space="preserve">4. Gap-filling Rd where mangrove data are missing</w:t>
      </w:r>
    </w:p>
    <w:p>
      <w:pPr>
        <w:spacing w:after="120" w:before="0" w:line="276"/>
      </w:pPr>
      <w:r>
        <w:rPr>
          <w:sz w:val="22"/>
          <w:szCs w:val="22"/>
        </w:rPr>
        <w:t xml:space="preserve">Two complementary routes, both from the GlobResp global leaf-respiration database (Atkin et al. 2015), let you estimate Rd25 from traits you can measure on your own leaves: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From leaf nitrogen and LMA (area basis): log₁₀ Rd_a25 = 0.469 + 0.329·log₁₀[N]a + 0.204·log₁₀ Ma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From climate alone: log₁₀ Rd_a25 = 0.451 − 0.0153·TWQ − 0.00016·PWQ, with TWQ ≈ 28–29 °C for your site (temperature of the warmest quarter).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From photosynthetic capacity: Rd25 = (0.020–0.026) × Vcmax25. Use this tropical-forest ratio (Wu et al. 2025), not the older TBM default of 0.015, which underestimates for warm broadleaf evergreens.</w:t>
      </w:r>
    </w:p>
    <w:p>
      <w:pPr>
        <w:spacing w:after="200" w:before="0" w:line="276"/>
      </w:pPr>
      <w:r>
        <w:rPr>
          <w:sz w:val="22"/>
          <w:szCs w:val="22"/>
        </w:rPr>
        <w:t xml:space="preserve">Because mangroves sit at the low-Rd25 end of the global distribution (tropical evergreen broadleaf is the lowest biome mean, ~0.43 µmol m⁻² s⁻¹), do not import temperate/boreal baselines. Leaf phosphorus matters too: in P-limited mangrove peat, Rd per unit N runs higher (Rowland et al. 2017).</w:t>
      </w:r>
    </w:p>
    <w:p>
      <w:pPr>
        <w:pStyle w:val="Heading1"/>
      </w:pPr>
      <w:r>
        <w:t xml:space="preserve">5. From leaf Rd to a canopy term, and partitioning your tower flux</w:t>
      </w:r>
    </w:p>
    <w:p>
      <w:pPr>
        <w:spacing w:after="120" w:before="0" w:line="276"/>
      </w:pPr>
      <w:r>
        <w:rPr>
          <w:sz w:val="22"/>
          <w:szCs w:val="22"/>
        </w:rPr>
        <w:t xml:space="preserve">Workflow to estimate canopy leaf respiration and place it within your measured budget: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Pick a species-weighted Rd25 for your stand (Avicennia from Sturchio; Rhizophora and Laguncularia from proxy/gap-fill), weighting by the basal-area or LAI share of each species.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Temperature-correct to canopy leaf T with the Heskel function (Section 3), ideally at the same half-hourly resolution as your flux data.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Scale to ground area by multiplying by LAI (≈2.8 m² m⁻² at this tower; Troxler 2015) — or, better, integrate over a vertical LAI profile since lower-canopy leaves are cooler and shaded. Apply ~30% light inhibition of Rd for daytime hours.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Cross-check the canopy leaf respiration against the autotrophic budget: with mangrove CUE ≈ 0.57, autotrophic respiration Ra ≈ 0.43 × GPP (Alongi 2022). Leaves are typically the largest single component of Ra, so canopy leaf R should be a substantial but sub-total fraction of that 0.43·GPP.</w:t>
      </w:r>
    </w:p>
    <w:p>
      <w:pPr>
        <w:spacing w:after="120" w:before="60" w:line="276"/>
      </w:pPr>
      <w:r>
        <w:rPr>
          <w:sz w:val="22"/>
          <w:szCs w:val="22"/>
        </w:rPr>
        <w:t xml:space="preserve">Reconciling with your chamber Rs. At this exact site, Troxler et al. (2015) found below-canopy components (soil, pneumatophores, prop roots, CWD, water) account for 45–65% of total ecosystem respiration. Their soil-only efflux was 1.27 ± 0.05 µmol m⁻² s⁻¹ — a direct benchmark for your chamber Rs — rising to 3.17 with pneumatophores present. So your budget closes roughly as: Re (tower) ≈ above-ground autotrophic (leaf + wood) + your below-canopy Rs. Re minus your chamber Rs gives an upper bound on above-ground (largely leaf) respiration, which you can then compare against the bottom-up leaf estimate from steps 1–3.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Important caveat for this site: </w:t>
      </w:r>
      <w:r>
        <w:rPr>
          <w:sz w:val="22"/>
          <w:szCs w:val="22"/>
        </w:rPr>
        <w:t xml:space="preserve">Barr et al. (2010) note the tower-based Re is probably underestimated because much belowground respiration is exported laterally as dissolved inorganic carbon by the tides rather than vented vertically past the sensor. A budget that simply differences tower Re and chamber Rs will therefore understate true respiration — treat the lateral-export term explicitly.</w:t>
      </w:r>
    </w:p>
    <w:p>
      <w:pPr>
        <w:pStyle w:val="Heading1"/>
      </w:pPr>
      <w:r>
        <w:t xml:space="preserve">6. Site benchmark values (Shark River, US-Skr / SRS-6)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60"/>
        <w:gridCol w:w="1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Annual NEP (= −NEE)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1170 ± 127 g C m⁻² yr⁻¹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 2010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GPP (8-day daily)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~0.5–0.75 mol C m⁻² d⁻¹ (~6–9 g C m⁻² d⁻¹)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 2013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Ecosystem respiration Re (8-day daily)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0.30–0.55 mol C m⁻² d⁻¹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Barr 2013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Soil respiration Rs (chamber, soil only)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1.27 ± 0.05 µmol m⁻² s⁻¹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Troxler 2015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Soil + pneumatophores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3.17 ± 0.11 µmol m⁻² s⁻¹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Troxler 2015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Below-canopy share of 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45–65%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Troxler 2015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LAI / canopy height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2.80 m² m⁻² / ~19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Troxler 2015; Barr 2013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 NPP (Shark River)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17.0 ± 1.1 Mg ha⁻¹ yr⁻¹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Castañeda-Moya 2013</w:t>
            </w:r>
          </w:p>
        </w:tc>
      </w:tr>
    </w:tbl>
    <w:p>
      <w:pPr>
        <w:pStyle w:val="Heading1"/>
      </w:pPr>
      <w:r>
        <w:t xml:space="preserve">7. Confidence and what to verify before publishing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Strongest values: Avicennia germinans leaf Rd and Q10 (Sturchio 2022); the Heskel temperature function; the site tower and chamber numbers (Barr, Troxler). These were read from primary tables/equations.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Verify in the primary source: a neotropical Rhizophora mangle leaf Rd (Cheeseman &amp; Lovelock 2004; Lovelock &amp; Feller 2003); the exact Barr GPP/Re partition (1271/1022); Aspinwall (2021) Rd values that are figure-only; and Rowland (2017) tropical R–N–P slopes.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Conceptual: do not equate ecosystem Re:GPP (~0.74–0.80) with autotrophic Ra:GPP (~0.43). The former includes microbial respiration; only the latter feeds the leaf/canopy partition.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Rhizophora leaf Rd uncertainty (proxy 0.2 vs secondary 1.5 µmol m⁻² s⁻¹) is the dominant uncertainty in any leaf-respiration estimate for this stand; propagate it explicitly.</w:t>
      </w:r>
    </w:p>
    <w:p>
      <w:pPr>
        <w:pStyle w:val="Heading1"/>
        <w:pageBreakBefore/>
      </w:pPr>
      <w:r>
        <w:t xml:space="preserve">8. References</w:t>
      </w:r>
    </w:p>
    <w:p>
      <w:pPr>
        <w:spacing w:after="100" w:line="264"/>
      </w:pPr>
      <w:r>
        <w:rPr>
          <w:sz w:val="20"/>
          <w:szCs w:val="20"/>
        </w:rPr>
        <w:t xml:space="preserve">1. </w:t>
      </w:r>
      <w:r>
        <w:rPr>
          <w:sz w:val="20"/>
          <w:szCs w:val="20"/>
        </w:rPr>
        <w:t xml:space="preserve">Barr, J.G., et al. (2010). Controls on mangrove forest-atmosphere CO2 exchanges in western Everglades National Park. J. Geophys. Res. Biogeosci. 115, G02020. </w:t>
      </w:r>
      <w:hyperlink w:history="1" r:id="rIdtmzmuppo4dzuo9-ew4zbc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2. </w:t>
      </w:r>
      <w:r>
        <w:rPr>
          <w:sz w:val="20"/>
          <w:szCs w:val="20"/>
        </w:rPr>
        <w:t xml:space="preserve">Barr, J.G., et al. (2013). Modeling light use efficiency in a subtropical mangrove forest equipped with CO2 eddy covariance. Biogeosciences 10, 2145–2158. </w:t>
      </w:r>
      <w:hyperlink w:history="1" r:id="rId8viedydn4kpjc3giiqz1x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3. </w:t>
      </w:r>
      <w:r>
        <w:rPr>
          <w:sz w:val="20"/>
          <w:szCs w:val="20"/>
        </w:rPr>
        <w:t xml:space="preserve">Troxler, T.G., et al. (2015). Component-specific dynamics of riverine mangrove CO2 efflux in the Florida coastal Everglades. Agric. For. Meteorol. 213, 273–282. </w:t>
      </w:r>
      <w:hyperlink w:history="1" r:id="rIdpx7vc9gg1-er8oxfcx5zy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4. </w:t>
      </w:r>
      <w:r>
        <w:rPr>
          <w:sz w:val="20"/>
          <w:szCs w:val="20"/>
        </w:rPr>
        <w:t xml:space="preserve">Sturchio, M.A., et al. (2022). Contrasting Effects of Nitrogen Addition on Leaf Photosynthesis and Respiration in Black Mangrove in North Florida. Estuaries and Coasts 46, 182–197. </w:t>
      </w:r>
      <w:hyperlink w:history="1" r:id="rId5zhmribcrpvne1knrzdt6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5. </w:t>
      </w:r>
      <w:r>
        <w:rPr>
          <w:sz w:val="20"/>
          <w:szCs w:val="20"/>
        </w:rPr>
        <w:t xml:space="preserve">Aspinwall, M.J., et al. (2021). Salinity has little effect on photosynthetic and respiratory responses to seasonal temperature changes in black mangrove (Avicennia germinans) seedlings. Tree Physiology 41(1), 103–118. </w:t>
      </w:r>
      <w:hyperlink w:history="1" r:id="rIdymp3pvsr6u-qy0qw0frfr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6. </w:t>
      </w:r>
      <w:r>
        <w:rPr>
          <w:sz w:val="20"/>
          <w:szCs w:val="20"/>
        </w:rPr>
        <w:t xml:space="preserve">Jacotot, A., et al. (2018). Effects of elevated atmospheric CO2 and increased tidal flooding on leaf gas-exchange parameters of two common mangrove species: Avicennia marina and Rhizophora stylosa. Photosynthesis Research 138, 249–260. </w:t>
      </w:r>
      <w:hyperlink w:history="1" r:id="rId-kmfyqptfpumlpxg8zeyp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7. </w:t>
      </w:r>
      <w:r>
        <w:rPr>
          <w:sz w:val="20"/>
          <w:szCs w:val="20"/>
        </w:rPr>
        <w:t xml:space="preserve">Cheeseman, J.M., Lovelock, C.E. (2004). Photosynthetic characteristics of dwarf and fringe Rhizophora mangle L. in a Belizean mangrove. Plant, Cell &amp; Environment 27, 769–780. </w:t>
      </w:r>
      <w:hyperlink w:history="1" r:id="rIds9zur6kjsw--4j04j2utq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8. </w:t>
      </w:r>
      <w:r>
        <w:rPr>
          <w:sz w:val="20"/>
          <w:szCs w:val="20"/>
        </w:rPr>
        <w:t xml:space="preserve">Lovelock, C.E., Feller, I.C. (2003). Photosynthetic performance and resource utilization of two mangrove species coexisting in a hypersaline scrub forest. Oecologia 134, 455–462. </w:t>
      </w:r>
      <w:hyperlink w:history="1" r:id="rIdxigrlbom-zrxkw6gqs0fb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9. </w:t>
      </w:r>
      <w:r>
        <w:rPr>
          <w:sz w:val="20"/>
          <w:szCs w:val="20"/>
        </w:rPr>
        <w:t xml:space="preserve">Hogan, J.A., et al. (2022). Water levels primarily drive variation in photosynthesis and nutrient use of scrub Red Mangroves in the southeastern Florida Everglades. (bioRxiv 2021.01.27.428494). </w:t>
      </w:r>
      <w:hyperlink w:history="1" r:id="rId2e4_dhv0celym9ubnfpf_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10. </w:t>
      </w:r>
      <w:r>
        <w:rPr>
          <w:sz w:val="20"/>
          <w:szCs w:val="20"/>
        </w:rPr>
        <w:t xml:space="preserve">Castañeda-Moya, E., et al. (2013). Allocation of biomass and net primary productivity of mangrove forests along environmental gradients in the Florida Coastal Everglades. For. Ecol. Manage. 307, 226–241. </w:t>
      </w:r>
      <w:hyperlink w:history="1" r:id="rId-ed3rzuypd2geqfpso6av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11. </w:t>
      </w:r>
      <w:r>
        <w:rPr>
          <w:sz w:val="20"/>
          <w:szCs w:val="20"/>
        </w:rPr>
        <w:t xml:space="preserve">Atkin, O.K., et al. (2015). Global variability in leaf respiration in relation to climate, plant functional types and leaf traits. New Phytologist 206, 614–636. </w:t>
      </w:r>
      <w:hyperlink w:history="1" r:id="rIdsxey6-fo0ig3j4p_lkwek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12. </w:t>
      </w:r>
      <w:r>
        <w:rPr>
          <w:sz w:val="20"/>
          <w:szCs w:val="20"/>
        </w:rPr>
        <w:t xml:space="preserve">Heskel, M.A., et al. (2016). Convergence in the temperature response of leaf respiration across biomes and plant functional types. PNAS 113(14), 3832–3837. </w:t>
      </w:r>
      <w:hyperlink w:history="1" r:id="rIdd4iait0dpyrj_tu3iqi9z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13. </w:t>
      </w:r>
      <w:r>
        <w:rPr>
          <w:sz w:val="20"/>
          <w:szCs w:val="20"/>
        </w:rPr>
        <w:t xml:space="preserve">Huntingford, C., et al. (2017). Implications of improved representations of plant respiration in a changing climate. Nature Communications 8, 1602. </w:t>
      </w:r>
      <w:hyperlink w:history="1" r:id="rIdie93ovizqlm4nxzkd7raf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14. </w:t>
      </w:r>
      <w:r>
        <w:rPr>
          <w:sz w:val="20"/>
          <w:szCs w:val="20"/>
        </w:rPr>
        <w:t xml:space="preserve">Wu, J., et al. (2025). Linking leaf dark respiration to leaf traits and reflectance spectroscopy across diverse forest types. New Phytologist. </w:t>
      </w:r>
      <w:hyperlink w:history="1" r:id="rIdq7kxfhrdl25_n2xijwy1l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15. </w:t>
      </w:r>
      <w:r>
        <w:rPr>
          <w:sz w:val="20"/>
          <w:szCs w:val="20"/>
        </w:rPr>
        <w:t xml:space="preserve">Rowland, L., et al. (2017). Scaling leaf respiration with nitrogen and phosphorus in tropical forests across two continents. New Phytologist 214, 1064–1077. </w:t>
      </w:r>
      <w:hyperlink w:history="1" r:id="rIdbhf22e-zovxsobl26bayd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16. </w:t>
      </w:r>
      <w:r>
        <w:rPr>
          <w:sz w:val="20"/>
          <w:szCs w:val="20"/>
        </w:rPr>
        <w:t xml:space="preserve">DeLucia, E.H., et al. (2007). Forest carbon use efficiency: is respiration a constant fraction of gross primary production? Global Change Biology 13, 1157–1167. </w:t>
      </w:r>
      <w:hyperlink w:history="1" r:id="rIdnhvjvw2vwy-imzvuv5qan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17. </w:t>
      </w:r>
      <w:r>
        <w:rPr>
          <w:sz w:val="20"/>
          <w:szCs w:val="20"/>
        </w:rPr>
        <w:t xml:space="preserve">Drake, J.E., et al. (2016). Does physiological acclimation to climate warming stabilize the ratio of canopy respiration to photosynthesis? New Phytologist 211, 850–863. </w:t>
      </w:r>
      <w:hyperlink w:history="1" r:id="rIdbublj_nqkscueic7jbrjm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18. </w:t>
      </w:r>
      <w:r>
        <w:rPr>
          <w:sz w:val="20"/>
          <w:szCs w:val="20"/>
        </w:rPr>
        <w:t xml:space="preserve">Alongi, D.M. (2022). Revised mangrove blue-carbon budget (CUE / Re:GPP synthesis). </w:t>
      </w:r>
      <w:hyperlink w:history="1" r:id="rIdred3pafyaheewfvxysymj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19. </w:t>
      </w:r>
      <w:r>
        <w:rPr>
          <w:sz w:val="20"/>
          <w:szCs w:val="20"/>
        </w:rPr>
        <w:t xml:space="preserve">Krauss, K.W., et al. (2006). Leaf gas exchange characteristics of three neotropical mangrove species in response to varying hydroperiod. Tree Physiology 26, 959–968. </w:t>
      </w:r>
      <w:hyperlink w:history="1" r:id="rIdqvif8k9xoao979d5gucwo">
        <w:r>
          <w:rPr>
            <w:rStyle w:val="Hyperlink"/>
            <w:sz w:val="22"/>
            <w:szCs w:val="22"/>
          </w:rPr>
          <w:t xml:space="preserve">[link]</w:t>
        </w:r>
      </w:hyperlink>
    </w:p>
    <w:p>
      <w:pPr>
        <w:spacing w:after="100" w:line="264"/>
      </w:pPr>
      <w:r>
        <w:rPr>
          <w:sz w:val="20"/>
          <w:szCs w:val="20"/>
        </w:rPr>
        <w:t xml:space="preserve">20. </w:t>
      </w:r>
      <w:r>
        <w:rPr>
          <w:sz w:val="20"/>
          <w:szCs w:val="20"/>
        </w:rPr>
        <w:t xml:space="preserve">AmeriFlux US-Skr Shark River Slough (Tower SRS-6), Everglades. </w:t>
      </w:r>
      <w:hyperlink w:history="1" r:id="rIdou9pntdbshnlowabpzzih">
        <w:r>
          <w:rPr>
            <w:rStyle w:val="Hyperlink"/>
            <w:sz w:val="22"/>
            <w:szCs w:val="22"/>
          </w:rPr>
          <w:t xml:space="preserve">[link]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Mangrove leaf respiration synthesis  —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mzmuppo4dzuo9-ew4zbc" Type="http://schemas.openxmlformats.org/officeDocument/2006/relationships/hyperlink" Target="https://doi.org/10.1029/2009JG001186" TargetMode="External"/><Relationship Id="rId8viedydn4kpjc3giiqz1x" Type="http://schemas.openxmlformats.org/officeDocument/2006/relationships/hyperlink" Target="https://doi.org/10.5194/bg-10-2145-2013" TargetMode="External"/><Relationship Id="rIdpx7vc9gg1-er8oxfcx5zy" Type="http://schemas.openxmlformats.org/officeDocument/2006/relationships/hyperlink" Target="https://doi.org/10.1016/j.agrformet.2014.12.012" TargetMode="External"/><Relationship Id="rId5zhmribcrpvne1knrzdt6" Type="http://schemas.openxmlformats.org/officeDocument/2006/relationships/hyperlink" Target="https://doi.org/10.1007/s12237-022-01120-7" TargetMode="External"/><Relationship Id="rIdymp3pvsr6u-qy0qw0frfr" Type="http://schemas.openxmlformats.org/officeDocument/2006/relationships/hyperlink" Target="https://doi.org/10.1093/treephys/tpaa107" TargetMode="External"/><Relationship Id="rId-kmfyqptfpumlpxg8zeyp" Type="http://schemas.openxmlformats.org/officeDocument/2006/relationships/hyperlink" Target="https://doi.org/10.1007/s11120-018-0570-4" TargetMode="External"/><Relationship Id="rIds9zur6kjsw--4j04j2utq" Type="http://schemas.openxmlformats.org/officeDocument/2006/relationships/hyperlink" Target="https://doi.org/10.1111/j.1365-3040.2004.01181.x" TargetMode="External"/><Relationship Id="rIdxigrlbom-zrxkw6gqs0fb" Type="http://schemas.openxmlformats.org/officeDocument/2006/relationships/hyperlink" Target="https://doi.org/10.1007/s00442-002-1118-y" TargetMode="External"/><Relationship Id="rId2e4_dhv0celym9ubnfpf_" Type="http://schemas.openxmlformats.org/officeDocument/2006/relationships/hyperlink" Target="https://doi.org/10.1101/2021.01.27.428494" TargetMode="External"/><Relationship Id="rId-ed3rzuypd2geqfpso6av" Type="http://schemas.openxmlformats.org/officeDocument/2006/relationships/hyperlink" Target="https://doi.org/10.1016/j.foreco.2013.07.011" TargetMode="External"/><Relationship Id="rIdsxey6-fo0ig3j4p_lkwek" Type="http://schemas.openxmlformats.org/officeDocument/2006/relationships/hyperlink" Target="https://doi.org/10.1111/nph.13253" TargetMode="External"/><Relationship Id="rIdd4iait0dpyrj_tu3iqi9z" Type="http://schemas.openxmlformats.org/officeDocument/2006/relationships/hyperlink" Target="https://doi.org/10.1073/pnas.1520282113" TargetMode="External"/><Relationship Id="rIdie93ovizqlm4nxzkd7raf" Type="http://schemas.openxmlformats.org/officeDocument/2006/relationships/hyperlink" Target="https://doi.org/10.1038/s41467-017-01774-z" TargetMode="External"/><Relationship Id="rIdq7kxfhrdl25_n2xijwy1l" Type="http://schemas.openxmlformats.org/officeDocument/2006/relationships/hyperlink" Target="https://doi.org/10.1111/nph.20267" TargetMode="External"/><Relationship Id="rIdbhf22e-zovxsobl26bayd" Type="http://schemas.openxmlformats.org/officeDocument/2006/relationships/hyperlink" Target="https://doi.org/10.1111/nph.13992" TargetMode="External"/><Relationship Id="rIdnhvjvw2vwy-imzvuv5qan" Type="http://schemas.openxmlformats.org/officeDocument/2006/relationships/hyperlink" Target="https://doi.org/10.1111/j.1365-2486.2007.01365.x" TargetMode="External"/><Relationship Id="rIdbublj_nqkscueic7jbrjm" Type="http://schemas.openxmlformats.org/officeDocument/2006/relationships/hyperlink" Target="https://doi.org/10.1111/nph.13978" TargetMode="External"/><Relationship Id="rIdred3pafyaheewfvxysymj" Type="http://schemas.openxmlformats.org/officeDocument/2006/relationships/hyperlink" Target="https://www.researchgate.net/publication/366053902" TargetMode="External"/><Relationship Id="rIdqvif8k9xoao979d5gucwo" Type="http://schemas.openxmlformats.org/officeDocument/2006/relationships/hyperlink" Target="https://doi.org/10.1093/treephys/26.7.959" TargetMode="External"/><Relationship Id="rIdou9pntdbshnlowabpzzih" Type="http://schemas.openxmlformats.org/officeDocument/2006/relationships/hyperlink" Target="https://doi.org/10.17190/AMF/1246105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2026-06-17T17:19:49.202Z</dcterms:created>
  <dcterms:modified xsi:type="dcterms:W3CDTF">2026-06-17T17:19:49.202Z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