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5.png" ContentType="image/png"/>
  <Override PartName="/word/media/rId71.png" ContentType="image/png"/>
  <Override PartName="/word/media/rId47.png" ContentType="image/png"/>
  <Override PartName="/word/media/rId59.png" ContentType="image/png"/>
  <Override PartName="/word/media/rId62.png" ContentType="image/png"/>
  <Override PartName="/word/media/rId92.png" ContentType="image/png"/>
  <Override PartName="/word/media/rId86.png" ContentType="image/png"/>
  <Override PartName="/word/media/rId89.png" ContentType="image/png"/>
  <Override PartName="/word/media/rId56.png" ContentType="image/png"/>
  <Override PartName="/word/media/rId65.png" ContentType="image/png"/>
  <Override PartName="/word/media/rId80.png" ContentType="image/png"/>
  <Override PartName="/word/media/rId50.png" ContentType="image/png"/>
  <Override PartName="/word/media/rId77.png" ContentType="image/png"/>
  <Override PartName="/word/media/rId101.png" ContentType="image/png"/>
  <Override PartName="/word/media/rId68.png" ContentType="image/png"/>
  <Override PartName="/word/media/rId5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(Ten Thousand Islands) differs from the core ghost sites in origin and hydrology. It lies within the area of mangrove impounded by a road that restricted tidal exchange for decades, where stress from impoundment was compounded by Hurricane Irma (landfall at Marco Island, 10 September 2017), and where tidal flow was restored by culverts and channels completed in early 2023</w:t>
      </w:r>
      <w:r>
        <w:t xml:space="preserve"> </w:t>
      </w:r>
      <w:r>
        <w:rPr>
          <w:i/>
          <w:iCs/>
        </w:rPr>
        <w:t xml:space="preserve">[CHECK: confirm the plot lies within the Fruit Farm Creek restoration area]</w:t>
      </w:r>
      <w:r>
        <w:t xml:space="preserve">. At both visits (March 2022 and March 2023) there was little or no standing water (0–1 cm at chambers), whereas porewater salinity was as high as at the core ghost sites (60 PSU at 40 cm). Compared within the same season, Marco Island soil CH4 (median 1.8–2.4 nmol m−2 s−1) was an order of magnitude below exposed ghost soil at FLM30 (median 17), while stem CH4 medians were similar (0.4 vs 0.6–0.7 at the core ghost sites); the core ghost sites’ high stand emission comes mainly from ponded water, which Marco Island lacked. Drained rather than ponded conditions, an older die-off with less labile carbon, and a thinner organic layer over shell and carbonate sand (Radabaugh et al. 2020) are plausible explanations; mortality after Irma was concentrated where surge water stayed ponded (Lagomasino et al. 2021). Ghost-forest methane is therefore likely to depend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degraded</w:t>
      </w:r>
      <w:r>
        <w:t xml:space="preserve"> </w:t>
      </w:r>
      <w:r>
        <w:rPr>
          <w:i/>
          <w:iCs/>
        </w:rPr>
        <w:t xml:space="preserve">Avicennia</w:t>
      </w:r>
      <w:r>
        <w:t xml:space="preserve"> </w:t>
      </w:r>
      <w:r>
        <w:t xml:space="preserve">forest in Veracruz, Mexico,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2" name="Picture"/>
            <a:graphic>
              <a:graphicData uri="http://schemas.openxmlformats.org/drawingml/2006/picture">
                <pic:pic>
                  <pic:nvPicPr>
                    <pic:cNvPr descr="output/figures/other/height_extrap_sensitivity_total.png" id="73" name="Picture"/>
                    <pic:cNvPicPr>
                      <a:picLocks noChangeArrowheads="1" noChangeAspect="1"/>
                    </pic:cNvPicPr>
                  </pic:nvPicPr>
                  <pic:blipFill>
                    <a:blip r:embed="rId71"/>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8" name="Picture"/>
            <a:graphic>
              <a:graphicData uri="http://schemas.openxmlformats.org/drawingml/2006/picture">
                <pic:pic>
                  <pic:nvPicPr>
                    <pic:cNvPr descr="output/figures/other/scenario_comparison.png" id="79" name="Picture"/>
                    <pic:cNvPicPr>
                      <a:picLocks noChangeArrowheads="1" noChangeAspect="1"/>
                    </pic:cNvPicPr>
                  </pic:nvPicPr>
                  <pic:blipFill>
                    <a:blip r:embed="rId77"/>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1" name="Picture"/>
            <a:graphic>
              <a:graphicData uri="http://schemas.openxmlformats.org/drawingml/2006/picture">
                <pic:pic>
                  <pic:nvPicPr>
                    <pic:cNvPr descr="output/figures/other/pub_uncertainty_decomp.png" id="82" name="Picture"/>
                    <pic:cNvPicPr>
                      <a:picLocks noChangeArrowheads="1" noChangeAspect="1"/>
                    </pic:cNvPicPr>
                  </pic:nvPicPr>
                  <pic:blipFill>
                    <a:blip r:embed="rId80"/>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7" name="Picture"/>
            <a:graphic>
              <a:graphicData uri="http://schemas.openxmlformats.org/drawingml/2006/picture">
                <pic:pic>
                  <pic:nvPicPr>
                    <pic:cNvPr descr="output/figures/other/pub_SI_ta_vs_dic.png" id="88" name="Picture"/>
                    <pic:cNvPicPr>
                      <a:picLocks noChangeArrowheads="1" noChangeAspect="1"/>
                    </pic:cNvPicPr>
                  </pic:nvPicPr>
                  <pic:blipFill>
                    <a:blip r:embed="rId86"/>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90" name="Picture"/>
            <a:graphic>
              <a:graphicData uri="http://schemas.openxmlformats.org/drawingml/2006/picture">
                <pic:pic>
                  <pic:nvPicPr>
                    <pic:cNvPr descr="output/figures/other/pub_SI_ta_vs_salinity.png" id="91" name="Picture"/>
                    <pic:cNvPicPr>
                      <a:picLocks noChangeArrowheads="1" noChangeAspect="1"/>
                    </pic:cNvPicPr>
                  </pic:nvPicPr>
                  <pic:blipFill>
                    <a:blip r:embed="rId89"/>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3" name="Picture"/>
            <a:graphic>
              <a:graphicData uri="http://schemas.openxmlformats.org/drawingml/2006/picture">
                <pic:pic>
                  <pic:nvPicPr>
                    <pic:cNvPr descr="output/figures/other/pub_SI_salinity_vs_ch4_bysite.png" id="94" name="Picture"/>
                    <pic:cNvPicPr>
                      <a:picLocks noChangeArrowheads="1" noChangeAspect="1"/>
                    </pic:cNvPicPr>
                  </pic:nvPicPr>
                  <pic:blipFill>
                    <a:blip r:embed="rId92"/>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fig_carbon_budget.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flows in intact and ghost forest on one scale (g C m−2 yr−1): GPP (tower), respiration and CH4 by component (chambers × scanned area), lateral export (DIC, DOC, POC, dissolved CH4) and storage (burial, wood increment) from the literature for intact forest, and the closure residual (M18; text S10).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200400"/>
            <wp:effectExtent b="0" l="0" r="0" t="0"/>
            <wp:docPr descr="" title="" id="99" name="Picture"/>
            <a:graphic>
              <a:graphicData uri="http://schemas.openxmlformats.org/drawingml/2006/picture">
                <pic:pic>
                  <pic:nvPicPr>
                    <pic:cNvPr descr="output/gpp/plots/US-Skr_GPP_mean_diurnal_cycle.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2" name="Picture"/>
            <a:graphic>
              <a:graphicData uri="http://schemas.openxmlformats.org/drawingml/2006/picture">
                <pic:pic>
                  <pic:nvPicPr>
                    <pic:cNvPr descr="output/figures/other/site_closure_comparison.png" id="103" name="Picture"/>
                    <pic:cNvPicPr>
                      <a:picLocks noChangeArrowheads="1" noChangeAspect="1"/>
                    </pic:cNvPicPr>
                  </pic:nvPicPr>
                  <pic:blipFill>
                    <a:blip r:embed="rId101"/>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Lovelock, C. E., Ruess, R. W. &amp; Feller, I. C. CO2 efflux from cleared mangrove peat. PLoS ONE 6, e21279 (2011). https://doi.org/10.1371/journal.pone.0021279</w:t>
      </w:r>
    </w:p>
    <w:p>
      <w:pPr>
        <w:pStyle w:val="Compact"/>
        <w:numPr>
          <w:ilvl w:val="0"/>
          <w:numId w:val="1009"/>
        </w:numPr>
      </w:pPr>
      <w:r>
        <w:t xml:space="preserve">Martinez, M. &amp; Ardón, M. Drivers of greenhouse gas emissions from standing dead trees in ghost forests. Biogeochemistry 154, 471–488 (2021). https://doi.org/10.1007/s10533-021-00797-5</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71" Target="media/rId71.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2" Target="media/rId9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2026-10-03T10:37:50Z</dcterms:created>
  <dcterms:modified xsi:type="dcterms:W3CDTF">2026-10-03T10:37:50Z</dcterms:modified>
</cp:coreProperties>
</file>

<file path=docProps/custom.xml><?xml version="1.0" encoding="utf-8"?>
<Properties xmlns="http://schemas.openxmlformats.org/officeDocument/2006/custom-properties" xmlns:vt="http://schemas.openxmlformats.org/officeDocument/2006/docPropsVTypes"/>
</file>