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5.png" ContentType="image/png"/>
  <Override PartName="/word/media/rId71.png" ContentType="image/png"/>
  <Override PartName="/word/media/rId47.png" ContentType="image/png"/>
  <Override PartName="/word/media/rId59.png" ContentType="image/png"/>
  <Override PartName="/word/media/rId62.png" ContentType="image/png"/>
  <Override PartName="/word/media/rId92.png" ContentType="image/png"/>
  <Override PartName="/word/media/rId86.png" ContentType="image/png"/>
  <Override PartName="/word/media/rId89.png" ContentType="image/png"/>
  <Override PartName="/word/media/rId56.png" ContentType="image/png"/>
  <Override PartName="/word/media/rId65.png" ContentType="image/png"/>
  <Override PartName="/word/media/rId80.png" ContentType="image/png"/>
  <Override PartName="/word/media/rId50.png" ContentType="image/png"/>
  <Override PartName="/word/media/rId77.png" ContentType="image/png"/>
  <Override PartName="/word/media/rId101.png" ContentType="image/png"/>
  <Override PartName="/word/media/rId68.png" ContentType="image/png"/>
  <Override PartName="/word/media/rId5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pPr>
        <w:pStyle w:val="BodyText"/>
      </w:pPr>
      <w:r>
        <w:rPr>
          <w:i/>
          <w:iCs/>
        </w:rPr>
        <w:t xml:space="preserve">[Draft. Section structure follows the analysis workflow (run_all.R); numbers are read from the workflow outputs. Placeholders in brackets. Figures marked † are earlier renders to be restyled to the main-text palette.]</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are reported in fig. S6.</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run by run_all.R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For net forcing, canopy leaf respiration (Rd25 and LAI) and tower GPP dominate the intact interval and the CH4 budget dominates the ghost interval (fig. S10).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(Ten Thousand Islands) differs from the core ghost sites in origin and hydrology. It lies within the area of mangrove impounded by a road that restricted tidal exchange for decades, where stress from impoundment was compounded by Hurricane Irma (landfall at Marco Island, 10 September 2017), and where tidal flow was restored by culverts and channels completed in early 2023</w:t>
      </w:r>
      <w:r>
        <w:t xml:space="preserve"> </w:t>
      </w:r>
      <w:r>
        <w:rPr>
          <w:i/>
          <w:iCs/>
        </w:rPr>
        <w:t xml:space="preserve">[CHECK: confirm the plot lies within the Fruit Farm Creek restoration area]</w:t>
      </w:r>
      <w:r>
        <w:t xml:space="preserve">. At both visits (March 2022 and March 2023) there was little or no standing water (0–1 cm at chambers), whereas porewater salinity was as high as at the core ghost sites (60 PSU at 40 cm). Compared within the same season, Marco Island soil CH4 (median 1.8–2.4 nmol m−2 s−1) was an order of magnitude below exposed ghost soil at FLM30 (median 17), while stem CH4 medians were similar (0.4 vs 0.6–0.7 at the core ghost sites); the core ghost sites’ high stand emission comes mainly from ponded water, which Marco Island lacked. Drained rather than ponded conditions, an older die-off with less labile carbon, and a thinner organic layer over shell and carbonate sand (Radabaugh et al. 2020) are plausible explanations; mortality after Irma was concentrated where surge water stayed ponded (Lagomasino et al. 2021). Ghost-forest methane is therefore likely to depend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degraded</w:t>
      </w:r>
      <w:r>
        <w:t xml:space="preserve"> </w:t>
      </w:r>
      <w:r>
        <w:rPr>
          <w:i/>
          <w:iCs/>
        </w:rPr>
        <w:t xml:space="preserve">Avicennia</w:t>
      </w:r>
      <w:r>
        <w:t xml:space="preserve"> </w:t>
      </w:r>
      <w:r>
        <w:t xml:space="preserve">forest in Veracruz, Mexico,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7577893"/>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577893"/>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designs: stem chambers at several heights, prop-root chamber, soil collar and cylinder, floating water chamber, leaf chamber and downed-wood chamber. †</w:t>
      </w:r>
    </w:p>
    <w:p>
      <w:pPr>
        <w:pStyle w:val="BodyText"/>
      </w:pPr>
      <w:r>
        <w:drawing>
          <wp:inline>
            <wp:extent cx="5334000" cy="63711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drawing>
          <wp:inline>
            <wp:extent cx="5334000" cy="2909454"/>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(Top) Chamber measurements by site and campaign against water level. (Bottom) Floating-chamber positions and water depth by campaign. †</w:t>
      </w:r>
    </w:p>
    <w:p>
      <w:pPr>
        <w:pStyle w:val="BodyText"/>
      </w:pPr>
      <w:r>
        <w:drawing>
          <wp:inline>
            <wp:extent cx="5334000" cy="7218307"/>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7218307"/>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and CO2 flux by component for every plot and campaign, including context sites (bootstrap means and 95% CIs; individual measurements as points; inverse-hyperbolic-sine axes). †</w:t>
      </w:r>
    </w:p>
    <w:p>
      <w:pPr>
        <w:pStyle w:val="BodyText"/>
      </w:pPr>
      <w:r>
        <w:drawing>
          <wp:inline>
            <wp:extent cx="5334000" cy="4393409"/>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393409"/>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 Example placements showing detected bubble steps, the de-ebulliated series and the diffusive fit (M7). †</w:t>
      </w:r>
    </w:p>
    <w:p>
      <w:pPr>
        <w:pStyle w:val="BodyText"/>
      </w:pPr>
      <w:r>
        <w:drawing>
          <wp:inline>
            <wp:extent cx="5334000" cy="3556000"/>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and CO2 flux against pneumatophore density per collar, by site (dry season). †</w:t>
      </w:r>
    </w:p>
    <w:p>
      <w:pPr>
        <w:pStyle w:val="BodyText"/>
      </w:pPr>
      <w:r>
        <w:drawing>
          <wp:inline>
            <wp:extent cx="5334000" cy="5745777"/>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745777"/>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Stem CH4 and CO2 by height category, species and live/dead status at sites with species identification; estimated marginal means (95% CI) from linear mixed-effects models (M20). †</w:t>
      </w:r>
    </w:p>
    <w:p>
      <w:pPr>
        <w:pStyle w:val="BodyText"/>
      </w:pPr>
      <w:r>
        <w:drawing>
          <wp:inline>
            <wp:extent cx="5334000" cy="3333750"/>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2843896"/>
            <wp:effectExtent b="0" l="0" r="0" t="0"/>
            <wp:docPr descr="" title="" id="72" name="Picture"/>
            <a:graphic>
              <a:graphicData uri="http://schemas.openxmlformats.org/drawingml/2006/picture">
                <pic:pic>
                  <pic:nvPicPr>
                    <pic:cNvPr descr="output/figures/other/height_extrap_sensitivity_total.png" id="73" name="Picture"/>
                    <pic:cNvPicPr>
                      <a:picLocks noChangeArrowheads="1" noChangeAspect="1"/>
                    </pic:cNvPicPr>
                  </pic:nvPicPr>
                  <pic:blipFill>
                    <a:blip r:embed="rId71"/>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(Top) Fitted exponential stem CH4 profiles by site and campaign against the measured heights. (Bottom) Stand CH4 under six extrapolation forms. †</w:t>
      </w:r>
    </w:p>
    <w:p>
      <w:pPr>
        <w:pStyle w:val="BodyText"/>
      </w:pPr>
      <w:r>
        <w:drawing>
          <wp:inline>
            <wp:extent cx="5334000" cy="218209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18209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surface area per unit ground area by segment class (trunk, branch, prop root) and 0.5 m height bin for the four scanned plots. †</w:t>
      </w:r>
    </w:p>
    <w:p>
      <w:pPr>
        <w:pStyle w:val="BodyText"/>
      </w:pPr>
      <w:r>
        <w:drawing>
          <wp:inline>
            <wp:extent cx="5334000" cy="2310948"/>
            <wp:effectExtent b="0" l="0" r="0" t="0"/>
            <wp:docPr descr="" title="" id="78" name="Picture"/>
            <a:graphic>
              <a:graphicData uri="http://schemas.openxmlformats.org/drawingml/2006/picture">
                <pic:pic>
                  <pic:nvPicPr>
                    <pic:cNvPr descr="output/figures/other/scenario_comparison.png" id="79" name="Picture"/>
                    <pic:cNvPicPr>
                      <a:picLocks noChangeArrowheads="1" noChangeAspect="1"/>
                    </pic:cNvPicPr>
                  </pic:nvPicPr>
                  <pic:blipFill>
                    <a:blip r:embed="rId77"/>
                    <a:stretch>
                      <a:fillRect/>
                    </a:stretch>
                  </pic:blipFill>
                  <pic:spPr bwMode="auto">
                    <a:xfrm>
                      <a:off x="0" y="0"/>
                      <a:ext cx="5334000" cy="2310948"/>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under tide and inundation representations (text S2; table S10). †</w:t>
      </w:r>
    </w:p>
    <w:p>
      <w:pPr>
        <w:pStyle w:val="BodyText"/>
      </w:pPr>
      <w:r>
        <w:drawing>
          <wp:inline>
            <wp:extent cx="5334000" cy="3046847"/>
            <wp:effectExtent b="0" l="0" r="0" t="0"/>
            <wp:docPr descr="" title="" id="81" name="Picture"/>
            <a:graphic>
              <a:graphicData uri="http://schemas.openxmlformats.org/drawingml/2006/picture">
                <pic:pic>
                  <pic:nvPicPr>
                    <pic:cNvPr descr="output/figures/other/pub_uncertainty_decomp.png" id="82" name="Picture"/>
                    <pic:cNvPicPr>
                      <a:picLocks noChangeArrowheads="1" noChangeAspect="1"/>
                    </pic:cNvPicPr>
                  </pic:nvPicPr>
                  <pic:blipFill>
                    <a:blip r:embed="rId80"/>
                    <a:stretch>
                      <a:fillRect/>
                    </a:stretch>
                  </pic:blipFill>
                  <pic:spPr bwMode="auto">
                    <a:xfrm>
                      <a:off x="0" y="0"/>
                      <a:ext cx="5334000" cy="3046847"/>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uncertainty: contribution of each input to the variance of stand CH4 and net forcing (text S4). †</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4191691"/>
            <wp:effectExtent b="0" l="0" r="0" t="0"/>
            <wp:docPr descr="" title="" id="87" name="Picture"/>
            <a:graphic>
              <a:graphicData uri="http://schemas.openxmlformats.org/drawingml/2006/picture">
                <pic:pic>
                  <pic:nvPicPr>
                    <pic:cNvPr descr="output/figures/other/pub_SI_ta_vs_dic.png" id="88" name="Picture"/>
                    <pic:cNvPicPr>
                      <a:picLocks noChangeArrowheads="1" noChangeAspect="1"/>
                    </pic:cNvPicPr>
                  </pic:nvPicPr>
                  <pic:blipFill>
                    <a:blip r:embed="rId86"/>
                    <a:stretch>
                      <a:fillRect/>
                    </a:stretch>
                  </pic:blipFill>
                  <pic:spPr bwMode="auto">
                    <a:xfrm>
                      <a:off x="0" y="0"/>
                      <a:ext cx="5334000" cy="4191691"/>
                    </a:xfrm>
                    <a:prstGeom prst="rect">
                      <a:avLst/>
                    </a:prstGeom>
                    <a:noFill/>
                    <a:ln w="9525">
                      <a:noFill/>
                      <a:headEnd/>
                      <a:tailEnd/>
                    </a:ln>
                  </pic:spPr>
                </pic:pic>
              </a:graphicData>
            </a:graphic>
          </wp:inline>
        </w:drawing>
      </w:r>
    </w:p>
    <w:p>
      <w:pPr>
        <w:pStyle w:val="BodyText"/>
      </w:pPr>
      <w:r>
        <w:drawing>
          <wp:inline>
            <wp:extent cx="5334000" cy="3668007"/>
            <wp:effectExtent b="0" l="0" r="0" t="0"/>
            <wp:docPr descr="" title="" id="90" name="Picture"/>
            <a:graphic>
              <a:graphicData uri="http://schemas.openxmlformats.org/drawingml/2006/picture">
                <pic:pic>
                  <pic:nvPicPr>
                    <pic:cNvPr descr="output/figures/other/pub_SI_ta_vs_salinity.png" id="91" name="Picture"/>
                    <pic:cNvPicPr>
                      <a:picLocks noChangeArrowheads="1" noChangeAspect="1"/>
                    </pic:cNvPicPr>
                  </pic:nvPicPr>
                  <pic:blipFill>
                    <a:blip r:embed="rId89"/>
                    <a:stretch>
                      <a:fillRect/>
                    </a:stretch>
                  </pic:blipFill>
                  <pic:spPr bwMode="auto">
                    <a:xfrm>
                      <a:off x="0" y="0"/>
                      <a:ext cx="5334000" cy="3668007"/>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total alkalinity against calculated DIC and against salinity, with conservative-mixing references (text S7). †</w:t>
      </w:r>
    </w:p>
    <w:p>
      <w:pPr>
        <w:pStyle w:val="BodyText"/>
      </w:pPr>
      <w:r>
        <w:drawing>
          <wp:inline>
            <wp:extent cx="5334000" cy="1778000"/>
            <wp:effectExtent b="0" l="0" r="0" t="0"/>
            <wp:docPr descr="" title="" id="93" name="Picture"/>
            <a:graphic>
              <a:graphicData uri="http://schemas.openxmlformats.org/drawingml/2006/picture">
                <pic:pic>
                  <pic:nvPicPr>
                    <pic:cNvPr descr="output/figures/other/pub_SI_salinity_vs_ch4_bysite.png" id="94" name="Picture"/>
                    <pic:cNvPicPr>
                      <a:picLocks noChangeArrowheads="1" noChangeAspect="1"/>
                    </pic:cNvPicPr>
                  </pic:nvPicPr>
                  <pic:blipFill>
                    <a:blip r:embed="rId92"/>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all sampling rounds. †</w:t>
      </w:r>
    </w:p>
    <w:p>
      <w:pPr>
        <w:pStyle w:val="BodyText"/>
      </w:pPr>
      <w:r>
        <w:drawing>
          <wp:inline>
            <wp:extent cx="5334000" cy="4741333"/>
            <wp:effectExtent b="0" l="0" r="0" t="0"/>
            <wp:docPr descr="" title="" id="96" name="Picture"/>
            <a:graphic>
              <a:graphicData uri="http://schemas.openxmlformats.org/drawingml/2006/picture">
                <pic:pic>
                  <pic:nvPicPr>
                    <pic:cNvPr descr="output/figures/other/fig_carbon_budget.png" id="97" name="Picture"/>
                    <pic:cNvPicPr>
                      <a:picLocks noChangeArrowheads="1" noChangeAspect="1"/>
                    </pic:cNvPicPr>
                  </pic:nvPicPr>
                  <pic:blipFill>
                    <a:blip r:embed="rId9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200400"/>
            <wp:effectExtent b="0" l="0" r="0" t="0"/>
            <wp:docPr descr="" title="" id="99" name="Picture"/>
            <a:graphic>
              <a:graphicData uri="http://schemas.openxmlformats.org/drawingml/2006/picture">
                <pic:pic>
                  <pic:nvPicPr>
                    <pic:cNvPr descr="output/gpp/plots/US-Skr_GPP_mean_diurnal_cycle.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w:t>
      </w:r>
    </w:p>
    <w:p>
      <w:pPr>
        <w:pStyle w:val="BodyText"/>
      </w:pPr>
      <w:r>
        <w:drawing>
          <wp:inline>
            <wp:extent cx="5334000" cy="3840480"/>
            <wp:effectExtent b="0" l="0" r="0" t="0"/>
            <wp:docPr descr="" title="" id="102" name="Picture"/>
            <a:graphic>
              <a:graphicData uri="http://schemas.openxmlformats.org/drawingml/2006/picture">
                <pic:pic>
                  <pic:nvPicPr>
                    <pic:cNvPr descr="output/figures/other/site_closure_comparison.png" id="103" name="Picture"/>
                    <pic:cNvPicPr>
                      <a:picLocks noChangeArrowheads="1" noChangeAspect="1"/>
                    </pic:cNvPicPr>
                  </pic:nvPicPr>
                  <pic:blipFill>
                    <a:blip r:embed="rId101"/>
                    <a:stretch>
                      <a:fillRect/>
                    </a:stretch>
                  </pic:blipFill>
                  <pic:spPr bwMode="auto">
                    <a:xfrm>
                      <a:off x="0" y="0"/>
                      <a:ext cx="5334000" cy="384048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Per-site closure: bottom-up stand CH4 and CO2 by site and campaign beside the airborne class values. †</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 Source:</w:t>
      </w:r>
      <w:r>
        <w:t xml:space="preserve"> </w:t>
      </w:r>
      <w:r>
        <w:rPr>
          <w:rStyle w:val="VerbatimChar"/>
        </w:rPr>
        <w:t xml:space="preserve">output/qa/sensitivity_summary.csv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Barr, J. G. &amp; Fuentes, J. D. et al. AmeriFlux BASE US-Skr Shark River Slough (Tower SRS-6) Everglades, version 2-5. AmeriFlux AMP (dataset). [CHECK: DOI and creator list]</w:t>
            </w:r>
          </w:p>
        </w:tc>
        <w:tc>
          <w:tcPr/>
          <w:p>
            <w:pPr>
              <w:pStyle w:val="Compact"/>
            </w:pPr>
            <w:r>
              <w:t xml:space="preserve">Tower NEE, GPP partitioning, air temperature and pressure for chamber fluxes, Q10</w:t>
            </w:r>
          </w:p>
        </w:tc>
      </w:tr>
      <w:tr>
        <w:tc>
          <w:tcPr/>
          <w:p>
            <w:pPr>
              <w:pStyle w:val="Compact"/>
            </w:pPr>
            <w:r>
              <w:t xml:space="preserve">Castañeda-Moya, E. et al. Water level at the FCE LTER mangrove sites SRS5 and SRS6. Environmental Data Initiative, knb-lter-fce.1168.15 (dataset). [CHECK: title and DOI]</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Litterfall production of mangrove forests along Shark River Slough and Taylor Slough, Everglades National Park (FCE LTER). Environmental Data Initiative, knb-lter-fce.1195.12 (dataset). [CHECK: title and DOI]</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et al. [CARAFE airborne flux data for BlueFlux]. ORNL DAAC (dataset). [CHECK: DAAC dataset ID]</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public archive]</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[BlueFlux aquatic transect dissolved CO2 and CH4, Shark River, October 2022; CHECK citation]</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Allen, M. R. et al. A solution to the misrepresentations of CO2-equivalent emissions of short-lived climate pollutants under ambitious mitigation. npj Clim. Atmos. Sci. 1, 16 (2018). https://doi.org/10.1038/s41612-018-0026-8</w:t>
      </w:r>
    </w:p>
    <w:p>
      <w:pPr>
        <w:pStyle w:val="Compact"/>
        <w:numPr>
          <w:ilvl w:val="0"/>
          <w:numId w:val="1009"/>
        </w:numPr>
      </w:pPr>
      <w:r>
        <w:t xml:space="preserve">Atkin, O. K., Meir, P. &amp; Turnbull, M. H. Improving representation of leaf respiration in large-scale predictive climate–vegetation models. New Phytol. 202, 743–748 (2014). https://doi.org/10.1111/nph.12686</w:t>
      </w:r>
    </w:p>
    <w:p>
      <w:pPr>
        <w:pStyle w:val="Compact"/>
        <w:numPr>
          <w:ilvl w:val="0"/>
          <w:numId w:val="1009"/>
        </w:numPr>
      </w:pPr>
      <w:r>
        <w:t xml:space="preserve">Barr, J. G., Fuentes, J. D., Engel, V. &amp; Zieman, J. C. Physiological responses of red mangroves to the climate in the Florida Everglades. J. Geophys. Res. Biogeosci. 114, G02008 (2009). https://doi.org/10.1029/2008JG000843</w:t>
      </w:r>
    </w:p>
    <w:p>
      <w:pPr>
        <w:pStyle w:val="Compact"/>
        <w:numPr>
          <w:ilvl w:val="0"/>
          <w:numId w:val="1009"/>
        </w:numPr>
      </w:pPr>
      <w:r>
        <w:t xml:space="preserve">Bouillon, S. et al. Importance of intertidal sediment processes and porewater exchange on the water column biogeochemistry in a pristine mangrove creek (Ras Dege, Tanzania). Biogeosciences 4, 311–322 (2007). https://doi.org/10.5194/bg-4-311-2007</w:t>
      </w:r>
    </w:p>
    <w:p>
      <w:pPr>
        <w:pStyle w:val="Compact"/>
        <w:numPr>
          <w:ilvl w:val="0"/>
          <w:numId w:val="1009"/>
        </w:numPr>
      </w:pPr>
      <w:r>
        <w:t xml:space="preserve">Bunting, P. et al. Global Mangrove Extent Change 1996–2020: Global Mangrove Watch Version 3.0. Remote Sens. 14, 3657 (2022). https://doi.org/10.3390/rs14153657</w:t>
      </w:r>
    </w:p>
    <w:p>
      <w:pPr>
        <w:pStyle w:val="Compact"/>
        <w:numPr>
          <w:ilvl w:val="0"/>
          <w:numId w:val="1009"/>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9"/>
        </w:numPr>
      </w:pPr>
      <w:r>
        <w:t xml:space="preserve">Castañeda-Moya, E., Twilley, R. R. &amp; Rivera-Monroy, V. H. Allocation of biomass and net primary productivity of mangrove forests along environmental gradients in the Florida Coastal Everglades, USA. For. Ecol. Manage. 307, 226–241 (2013). https://doi.org/10.1016/j.foreco.2013.07.011</w:t>
      </w:r>
    </w:p>
    <w:p>
      <w:pPr>
        <w:pStyle w:val="Compact"/>
        <w:numPr>
          <w:ilvl w:val="0"/>
          <w:numId w:val="1009"/>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9"/>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9"/>
        </w:numPr>
      </w:pPr>
      <w:r>
        <w:t xml:space="preserve">Griffiths, L. N. &amp; Mitsch, W. J. Estimating the effects of a hurricane on carbon storage in mangrove wetlands in Southwest Florida. Plants 10, 1749 (2021). https://doi.org/10.3390/plants10081749</w:t>
      </w:r>
    </w:p>
    <w:p>
      <w:pPr>
        <w:pStyle w:val="Compact"/>
        <w:numPr>
          <w:ilvl w:val="0"/>
          <w:numId w:val="1009"/>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9"/>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9"/>
        </w:numPr>
      </w:pPr>
      <w:r>
        <w:t xml:space="preserve">Ho, D. T. et al. Dissolved carbon biogeochemistry and export in mangrove-dominated rivers of the Florida Everglades. Biogeosciences 14, 2543–2559 (2017). https://doi.org/10.5194/bg-14-2543-2017</w:t>
      </w:r>
    </w:p>
    <w:p>
      <w:pPr>
        <w:pStyle w:val="Compact"/>
        <w:numPr>
          <w:ilvl w:val="0"/>
          <w:numId w:val="1009"/>
        </w:numPr>
      </w:pPr>
      <w:r>
        <w:t xml:space="preserve">Huntingford, C. et al. Implications of improved representations of plant respiration in a changing climate. Nat. Commun. 8, 1602 (2017). https://doi.org/10.1038/s41467-017-01774-z [CHECK article number]</w:t>
      </w:r>
    </w:p>
    <w:p>
      <w:pPr>
        <w:pStyle w:val="Compact"/>
        <w:numPr>
          <w:ilvl w:val="0"/>
          <w:numId w:val="1009"/>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9"/>
        </w:numPr>
      </w:pPr>
      <w:r>
        <w:t xml:space="preserve">Hutjes, R. W. A. et al. Dis-aggregation of airborne flux measurements using footprint analysis. Agric. For. Meteorol. 150, 966–983 (2010). https://doi.org/10.1016/j.agrformet.2010.03.004</w:t>
      </w:r>
    </w:p>
    <w:p>
      <w:pPr>
        <w:pStyle w:val="Compact"/>
        <w:numPr>
          <w:ilvl w:val="0"/>
          <w:numId w:val="1009"/>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9"/>
        </w:numPr>
      </w:pPr>
      <w:r>
        <w:t xml:space="preserve">Kljun, N., Calanca, P., Rotach, M. W. &amp; Schmid, H. P. A simple two-dimensional parameterisation for Flux Footprint Prediction (FFP). Geosci. Model Dev. 8, 3695–3713 (2015). https://doi.org/10.5194/gmd-8-3695-2015</w:t>
      </w:r>
    </w:p>
    <w:p>
      <w:pPr>
        <w:pStyle w:val="Compact"/>
        <w:numPr>
          <w:ilvl w:val="0"/>
          <w:numId w:val="1009"/>
        </w:numPr>
      </w:pPr>
      <w:r>
        <w:t xml:space="preserve">Krauss, K. W. et al. Woody debris in the mangrove forests of South Florida. Biotropica 37, 9–15 (2005). https://doi.org/10.1111/j.1744-7429.2005.03058.x</w:t>
      </w:r>
    </w:p>
    <w:p>
      <w:pPr>
        <w:pStyle w:val="Compact"/>
        <w:numPr>
          <w:ilvl w:val="0"/>
          <w:numId w:val="1009"/>
        </w:numPr>
      </w:pPr>
      <w:r>
        <w:t xml:space="preserve">Lagomasino, D. et al. Storm surge and ponding explain mangrove dieback in southwest Florida following Hurricane Irma. Nat. Commun. 12, 4003 (2021). https://doi.org/10.1038/s41467-021-24253-y</w:t>
      </w:r>
    </w:p>
    <w:p>
      <w:pPr>
        <w:pStyle w:val="Compact"/>
        <w:numPr>
          <w:ilvl w:val="0"/>
          <w:numId w:val="1009"/>
        </w:numPr>
      </w:pPr>
      <w:r>
        <w:t xml:space="preserve">Lin, C.-W. et al. Flushing emissions of methane and carbon dioxide from mangrove soils during tidal cycles. Sci. Total Environ. 919, 170768 (2024). https://doi.org/10.1016/j.scitotenv.2024.170768</w:t>
      </w:r>
    </w:p>
    <w:p>
      <w:pPr>
        <w:pStyle w:val="Compact"/>
        <w:numPr>
          <w:ilvl w:val="0"/>
          <w:numId w:val="1009"/>
        </w:numPr>
      </w:pPr>
      <w:r>
        <w:t xml:space="preserve">Lovelock, C. E., Ruess, R. W. &amp; Feller, I. C. CO2 efflux from cleared mangrove peat. PLoS ONE 6, e21279 (2011). https://doi.org/10.1371/journal.pone.0021279</w:t>
      </w:r>
    </w:p>
    <w:p>
      <w:pPr>
        <w:pStyle w:val="Compact"/>
        <w:numPr>
          <w:ilvl w:val="0"/>
          <w:numId w:val="1009"/>
        </w:numPr>
      </w:pPr>
      <w:r>
        <w:t xml:space="preserve">Martinez, M. &amp; Ardón, M. Drivers of greenhouse gas emissions from standing dead trees in ghost forests. Biogeochemistry 154, 471–488 (2021). https://doi.org/10.1007/s10533-021-00797-5</w:t>
      </w:r>
    </w:p>
    <w:p>
      <w:pPr>
        <w:pStyle w:val="Compact"/>
        <w:numPr>
          <w:ilvl w:val="0"/>
          <w:numId w:val="1009"/>
        </w:numPr>
      </w:pPr>
      <w:r>
        <w:t xml:space="preserve">Osland, M. J. et al. A tropical cyclone-induced ecological regime shift: mangrove forest conversion to mudflat in Everglades National Park (Florida, USA). Wetlands 40, 1445–1458 (2020). https://doi.org/10.1007/s13157-020-01291-8</w:t>
      </w:r>
    </w:p>
    <w:p>
      <w:pPr>
        <w:pStyle w:val="Compact"/>
        <w:numPr>
          <w:ilvl w:val="0"/>
          <w:numId w:val="1009"/>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9"/>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9"/>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9"/>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9"/>
        </w:numPr>
      </w:pPr>
      <w:r>
        <w:t xml:space="preserve">Reed, D. et al. Resilience to hurricanes is high in mangrove blue carbon forests. Glob. Change Biol. 31, e70124 (2025). https://doi.org/10.1111/gcb.70124</w:t>
      </w:r>
    </w:p>
    <w:p>
      <w:pPr>
        <w:pStyle w:val="Compact"/>
        <w:numPr>
          <w:ilvl w:val="0"/>
          <w:numId w:val="1009"/>
        </w:numPr>
      </w:pPr>
      <w:r>
        <w:t xml:space="preserve">Reithmaier, G. M. S., Ho, D. T., Johnston, S. G. &amp; Maher, D. T. Mangroves as a source of greenhouse gases to the atmosphere and alkalinity and dissolved carbon to the coastal ocean: a case study from the Everglades National Park, Florida. J. Geophys. Res. Biogeosci. 125, e2020JG005812 (2020). https://doi.org/10.1029/2020JG005812</w:t>
      </w:r>
    </w:p>
    <w:p>
      <w:pPr>
        <w:pStyle w:val="Compact"/>
        <w:numPr>
          <w:ilvl w:val="0"/>
          <w:numId w:val="1009"/>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9"/>
        </w:numPr>
      </w:pPr>
      <w:r>
        <w:t xml:space="preserve">Romero-Uribe, H. M., López-Portillo, J., Reverchon, F. &amp; Hernández, M. E. Effect of degradation of a black mangrove forest on seasonal greenhouse gas emissions. Environ. Sci. Pollut. Res. 29, 11951–11965 (2022). https://doi.org/10.1007/s11356-021-16597-1</w:t>
      </w:r>
    </w:p>
    <w:p>
      <w:pPr>
        <w:pStyle w:val="Compact"/>
        <w:numPr>
          <w:ilvl w:val="0"/>
          <w:numId w:val="1009"/>
        </w:numPr>
      </w:pPr>
      <w:r>
        <w:t xml:space="preserve">Sippo, J. Z. et al. Coastal carbon cycle changes following mangrove loss. Limnol. Oceanogr. 65, 2642–2656 (2020). https://doi.org/10.1002/lno.11476</w:t>
      </w:r>
    </w:p>
    <w:p>
      <w:pPr>
        <w:pStyle w:val="Compact"/>
        <w:numPr>
          <w:ilvl w:val="0"/>
          <w:numId w:val="1009"/>
        </w:numPr>
      </w:pPr>
      <w:r>
        <w:t xml:space="preserve">Smith, M. A., Cain, M. &amp; Allen, M. R. Further improvement of warming-equivalent emissions calculation. npj Clim. Atmos. Sci. 4, 19 (2021). https://doi.org/10.1038/s41612-021-00169-8</w:t>
      </w:r>
    </w:p>
    <w:p>
      <w:pPr>
        <w:pStyle w:val="Compact"/>
        <w:numPr>
          <w:ilvl w:val="0"/>
          <w:numId w:val="1009"/>
        </w:numPr>
      </w:pPr>
      <w:r>
        <w:t xml:space="preserve">Stegehuis, A. I., Ho, D. T., Bopp, L. &amp; Guenet, B. Reduced carbon outflow from a Floridian mangrove estuary up to two years after a hurricane. Commun. Earth Environ. 7, 395 (2026). https://doi.org/10.1038/s43247-026-03249-w</w:t>
      </w:r>
    </w:p>
    <w:p>
      <w:pPr>
        <w:pStyle w:val="Compact"/>
        <w:numPr>
          <w:ilvl w:val="0"/>
          <w:numId w:val="1009"/>
        </w:numPr>
      </w:pPr>
      <w:r>
        <w:t xml:space="preserve">Sturchio, M. A. et al. Temperature acclimation of leaf respiration differs between marsh and mangrove vegetation in a coastal wetland ecotone. Glob. Change Biol. 28, 612–629 (2022). https://doi.org/10.1111/gcb.15938</w:t>
      </w:r>
    </w:p>
    <w:p>
      <w:pPr>
        <w:pStyle w:val="Compact"/>
        <w:numPr>
          <w:ilvl w:val="0"/>
          <w:numId w:val="1009"/>
        </w:numPr>
      </w:pPr>
      <w:r>
        <w:t xml:space="preserve">Taillie, P. J. et al. Widespread mangrove damage resulting from the 2017 Atlantic mega hurricane season. Environ. Res. Lett. 15, 064010 (2020). https://doi.org/10.1088/1748-9326/ab82cf</w:t>
      </w:r>
    </w:p>
    <w:p>
      <w:pPr>
        <w:pStyle w:val="Compact"/>
        <w:numPr>
          <w:ilvl w:val="0"/>
          <w:numId w:val="1009"/>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9"/>
        </w:numPr>
      </w:pPr>
      <w:r>
        <w:t xml:space="preserve">Wanninkhof, R. Relationship between wind speed and gas exchange over the ocean revisited. Limnol. Oceanogr. Methods 12, 351–362 (2014). https://doi.org/10.4319/lom.2014.12.351</w:t>
      </w:r>
    </w:p>
    <w:p>
      <w:pPr>
        <w:pStyle w:val="Compact"/>
        <w:numPr>
          <w:ilvl w:val="0"/>
          <w:numId w:val="1009"/>
        </w:numPr>
      </w:pPr>
      <w:r>
        <w:t xml:space="preserve">Weiss, R. F. Carbon dioxide in water and seawater: the solubility of a non-ideal gas. Mar. Chem. 2, 203–215 (1974). https://doi.org/10.1016/0304-4203(74)90015-2</w:t>
      </w:r>
    </w:p>
    <w:p>
      <w:pPr>
        <w:pStyle w:val="Compact"/>
        <w:numPr>
          <w:ilvl w:val="0"/>
          <w:numId w:val="1009"/>
        </w:numPr>
      </w:pPr>
      <w:r>
        <w:t xml:space="preserve">Wolfe, G. M. et al. The NASA Carbon Airborne Flux Experiment (CARAFE): instrumentation and methodology. Atmos. Meas. Tech. 11, 1757–1776 (2018). https://doi.org/10.5194/amt-11-1757-2018</w:t>
      </w:r>
    </w:p>
    <w:p>
      <w:pPr>
        <w:pStyle w:val="Compact"/>
        <w:numPr>
          <w:ilvl w:val="0"/>
          <w:numId w:val="1009"/>
        </w:numPr>
      </w:pPr>
      <w:r>
        <w:t xml:space="preserve">Wood, S. A. et al. Mitigating near-term climate change. Environ. Res. Lett. 18, 101002 (2023). https://doi.org/10.1088/1748-9326/acfdbd</w:t>
      </w:r>
    </w:p>
    <w:p>
      <w:pPr>
        <w:pStyle w:val="Compact"/>
        <w:numPr>
          <w:ilvl w:val="0"/>
          <w:numId w:val="1009"/>
        </w:numPr>
      </w:pPr>
      <w:r>
        <w:t xml:space="preserve">Yamamoto, S., Alcauskas, J. B. &amp; Crozier, T. E. Solubility of methane in distilled water and seawater. J. Chem. Eng. Data 21, 78–80 (1976). https://doi.org/10.1021/je60068a029</w:t>
      </w:r>
    </w:p>
    <w:p>
      <w:pPr>
        <w:pStyle w:val="Compact"/>
        <w:numPr>
          <w:ilvl w:val="0"/>
          <w:numId w:val="1009"/>
        </w:numPr>
      </w:pPr>
      <w:r>
        <w:t xml:space="preserve">Yong, Z.-J., Lin, W.-J., Lin, C.-W. &amp; Lin, H.-J. Tidal influence on carbon dioxide and methane fluxes from tree stems and soils in mangrove forests. Biogeosciences 21, 5247–5260 (2024). https://doi.org/10.5194/bg-21-5247-2024</w:t>
      </w:r>
    </w:p>
    <w:p>
      <w:pPr>
        <w:pStyle w:val="Compact"/>
        <w:numPr>
          <w:ilvl w:val="0"/>
          <w:numId w:val="1009"/>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9"/>
        </w:numPr>
      </w:pPr>
      <w:r>
        <w:t xml:space="preserve">Zhao, X. et al. Tropical cyclones cumulatively control regional carbon fluxes in Everglades mangrove wetlands (Florida, USA). Sci. Rep. 11, 13927 (2021). https://doi.org/10.1038/s41598-021-92899-1</w:t>
      </w:r>
    </w:p>
    <w:p>
      <w:pPr>
        <w:pStyle w:val="Compact"/>
        <w:numPr>
          <w:ilvl w:val="0"/>
          <w:numId w:val="1009"/>
        </w:numPr>
      </w:pPr>
      <w:r>
        <w:t xml:space="preserve">Zhu, X. et al. Asynchronous methane and carbon dioxide fluxes drive temporal variability of mangrove blue carbon sequestration. Geophys. Res. Lett. 51, e2023GL107235 (2024). https://doi.org/10.1029/2023GL107235</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5" Target="media/rId95.png" /><Relationship Type="http://schemas.openxmlformats.org/officeDocument/2006/relationships/image" Id="rId71" Target="media/rId71.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92" Target="media/rId92.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101" Target="media/rId101.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8" Target="media/rId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2026-10-03T10:52:20Z</dcterms:created>
  <dcterms:modified xsi:type="dcterms:W3CDTF">2026-10-03T10:52:20Z</dcterms:modified>
</cp:coreProperties>
</file>

<file path=docProps/custom.xml><?xml version="1.0" encoding="utf-8"?>
<Properties xmlns="http://schemas.openxmlformats.org/officeDocument/2006/custom-properties" xmlns:vt="http://schemas.openxmlformats.org/officeDocument/2006/docPropsVTypes"/>
</file>