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(44, 45) to measure the area of each surface; the US-Skr eddy-covariance tower; CARAFE airborne eddy covariance (46, 47), which resolves intact and ghost mangrove fluxes across south Florida;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w:t>
      </w:r>
      <w:r>
        <w:t xml:space="preserve"> </w:t>
      </w:r>
      <w:r>
        <w:rPr>
          <w:i/>
          <w:iCs/>
        </w:rPr>
        <w:t xml:space="preserve">[PLACEHOLDER — terrestrial laser scans of intact (SRS6) and ghost (CP40) forest.]</w:t>
      </w:r>
      <w:r>
        <w:t xml:space="preserve"> </w:t>
      </w:r>
      <w:r>
        <w:t xml:space="preserve">(</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Our ground sites are intensive process sites: few in number, chosen to resolve where and why emissions change, not to represent the region by themselves. Two lines of evidence support them. Sites within a class agreed with each other (intact SRS5 and SRS6; ghost CP40 and FLM30; table S3), and they agreed with independent measurements at larger scale.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(52)) (Fig. 3C). Chambers scaled by laser-scanned area and footprint-disaggregated airborne fluxes share no measurements, so their agreement does not depend on any one method’s assumptions. The airborne fluxes integrate intact and ghost mangrove along flight legs across south Florida (fig. S20), so the agreement also shows that our sites are representative of their classes; the regional and climate-scale claims below rest on the class contrast that the airborne data resolve across the region, with the ground sites explaining its mechanism.</w:t>
      </w:r>
      <w:r>
        <w:t xml:space="preserve"> </w:t>
      </w:r>
      <w:r>
        <w:rPr>
          <w:i/>
          <w:iCs/>
        </w:rPr>
        <w:t xml:space="preserve">[PLACEHOLDER — airborne coverage: flight-leg footprint area over intact and ghost mangrove (km2) and the number of legs per class (E. Delaria); and a regional switch computed from the airborne class fluxes beside the chamber-based value.]</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Ground replication is limited to two sites per class (one regenerating site), which is why we treat the ground sites as process sites and rest the regional claims on the airborne contrast.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2026-10-04T08:39:24Z</dcterms:created>
  <dcterms:modified xsi:type="dcterms:W3CDTF">2026-10-04T08:39:24Z</dcterms:modified>
</cp:coreProperties>
</file>

<file path=docProps/custom.xml><?xml version="1.0" encoding="utf-8"?>
<Properties xmlns="http://schemas.openxmlformats.org/officeDocument/2006/custom-properties" xmlns:vt="http://schemas.openxmlformats.org/officeDocument/2006/docPropsVTypes"/>
</file>